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sz w:val="44"/>
          <w:szCs w:val="44"/>
        </w:rPr>
      </w:pPr>
      <w:r>
        <w:rPr>
          <w:rFonts w:hint="eastAsia" w:ascii="宋体" w:hAnsi="宋体"/>
          <w:b/>
          <w:sz w:val="44"/>
          <w:szCs w:val="44"/>
        </w:rPr>
        <w:drawing>
          <wp:anchor distT="0" distB="0" distL="114300" distR="114300" simplePos="0" relativeHeight="251660288" behindDoc="0" locked="0" layoutInCell="1" allowOverlap="1">
            <wp:simplePos x="0" y="0"/>
            <wp:positionH relativeFrom="column">
              <wp:posOffset>-382905</wp:posOffset>
            </wp:positionH>
            <wp:positionV relativeFrom="paragraph">
              <wp:posOffset>-7620</wp:posOffset>
            </wp:positionV>
            <wp:extent cx="5948045" cy="571500"/>
            <wp:effectExtent l="0" t="0" r="0" b="0"/>
            <wp:wrapSquare wrapText="bothSides"/>
            <wp:docPr id="2" name="图片 2" descr="瑞和安惠封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瑞和安惠封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48045" cy="571500"/>
                    </a:xfrm>
                    <a:prstGeom prst="rect">
                      <a:avLst/>
                    </a:prstGeom>
                    <a:noFill/>
                    <a:ln>
                      <a:noFill/>
                    </a:ln>
                  </pic:spPr>
                </pic:pic>
              </a:graphicData>
            </a:graphic>
          </wp:anchor>
        </w:drawing>
      </w:r>
    </w:p>
    <w:p>
      <w:pPr>
        <w:autoSpaceDE w:val="0"/>
        <w:autoSpaceDN w:val="0"/>
        <w:adjustRightInd w:val="0"/>
        <w:spacing w:line="360" w:lineRule="auto"/>
        <w:ind w:left="-2" w:leftChars="-1" w:right="-483" w:rightChars="-230"/>
        <w:rPr>
          <w:rFonts w:asciiTheme="minorEastAsia" w:hAnsiTheme="minorEastAsia" w:eastAsiaTheme="minorEastAsia"/>
          <w:b/>
          <w:sz w:val="44"/>
          <w:szCs w:val="44"/>
        </w:rPr>
      </w:pPr>
      <w:r>
        <w:rPr>
          <w:rFonts w:hint="eastAsia" w:asciiTheme="minorEastAsia" w:hAnsiTheme="minorEastAsia" w:eastAsiaTheme="minorEastAsia"/>
          <w:b/>
          <w:sz w:val="44"/>
          <w:szCs w:val="44"/>
        </w:rPr>
        <w:t>郑州机场至许昌市域铁路工程许昌段建设项目</w:t>
      </w:r>
    </w:p>
    <w:p>
      <w:pPr>
        <w:autoSpaceDE w:val="0"/>
        <w:autoSpaceDN w:val="0"/>
        <w:adjustRightInd w:val="0"/>
        <w:spacing w:line="360" w:lineRule="auto"/>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(施工总承包)监理</w:t>
      </w:r>
      <w:bookmarkStart w:id="1523" w:name="_GoBack"/>
      <w:bookmarkEnd w:id="1523"/>
    </w:p>
    <w:p/>
    <w:p>
      <w:pPr>
        <w:autoSpaceDE w:val="0"/>
        <w:autoSpaceDN w:val="0"/>
        <w:adjustRightInd w:val="0"/>
        <w:spacing w:line="276" w:lineRule="auto"/>
        <w:jc w:val="center"/>
        <w:rPr>
          <w:rFonts w:ascii="宋体" w:hAnsi="宋体" w:cs="黑体"/>
          <w:b/>
          <w:spacing w:val="60"/>
          <w:kern w:val="0"/>
          <w:sz w:val="84"/>
          <w:szCs w:val="84"/>
        </w:rPr>
      </w:pPr>
      <w:r>
        <w:rPr>
          <w:rFonts w:hint="eastAsia" w:ascii="宋体" w:hAnsi="宋体" w:cs="黑体"/>
          <w:b/>
          <w:spacing w:val="60"/>
          <w:kern w:val="0"/>
          <w:sz w:val="84"/>
          <w:szCs w:val="84"/>
        </w:rPr>
        <w:t>招标文件</w:t>
      </w:r>
    </w:p>
    <w:p>
      <w:pPr>
        <w:autoSpaceDE w:val="0"/>
        <w:autoSpaceDN w:val="0"/>
        <w:adjustRightInd w:val="0"/>
        <w:spacing w:line="276" w:lineRule="auto"/>
        <w:jc w:val="center"/>
        <w:rPr>
          <w:rFonts w:ascii="新宋体" w:hAnsi="新宋体" w:eastAsia="新宋体"/>
          <w:b/>
          <w:sz w:val="32"/>
          <w:szCs w:val="32"/>
        </w:rPr>
      </w:pPr>
      <w:r>
        <w:rPr>
          <w:rFonts w:hint="eastAsia" w:ascii="新宋体" w:hAnsi="新宋体" w:eastAsia="新宋体"/>
          <w:b/>
          <w:sz w:val="32"/>
          <w:szCs w:val="32"/>
        </w:rPr>
        <w:t>项目编号：XCGC-F2017257</w:t>
      </w:r>
    </w:p>
    <w:p>
      <w:pPr>
        <w:autoSpaceDE w:val="0"/>
        <w:autoSpaceDN w:val="0"/>
        <w:adjustRightInd w:val="0"/>
        <w:spacing w:line="276" w:lineRule="auto"/>
        <w:ind w:left="0" w:leftChars="0" w:firstLine="0" w:firstLineChars="0"/>
        <w:jc w:val="center"/>
        <w:rPr>
          <w:rFonts w:ascii="新宋体" w:hAnsi="新宋体" w:eastAsia="新宋体"/>
          <w:b/>
          <w:sz w:val="32"/>
          <w:szCs w:val="32"/>
        </w:rPr>
      </w:pPr>
      <w:r>
        <w:rPr>
          <w:rFonts w:hint="eastAsia" w:ascii="新宋体" w:hAnsi="新宋体" w:eastAsia="新宋体"/>
          <w:b/>
          <w:sz w:val="28"/>
          <w:szCs w:val="32"/>
        </w:rPr>
        <w:t>标段：第三标段（“四电”等系统施工安装部分监理）</w:t>
      </w:r>
    </w:p>
    <w:p>
      <w:pPr>
        <w:pStyle w:val="31"/>
        <w:tabs>
          <w:tab w:val="left" w:pos="1980"/>
        </w:tabs>
        <w:jc w:val="both"/>
        <w:rPr>
          <w:rFonts w:hAnsi="宋体" w:cs="黑体"/>
          <w:b/>
          <w:color w:val="auto"/>
          <w:sz w:val="32"/>
          <w:szCs w:val="32"/>
        </w:rPr>
      </w:pPr>
      <w:r>
        <w:rPr>
          <w:rFonts w:hint="eastAsia" w:hAnsi="宋体"/>
          <w:sz w:val="36"/>
        </w:rPr>
        <w:drawing>
          <wp:anchor distT="0" distB="0" distL="114300" distR="114300" simplePos="0" relativeHeight="251659264" behindDoc="0" locked="0" layoutInCell="1" allowOverlap="1">
            <wp:simplePos x="0" y="0"/>
            <wp:positionH relativeFrom="page">
              <wp:posOffset>2209165</wp:posOffset>
            </wp:positionH>
            <wp:positionV relativeFrom="page">
              <wp:posOffset>4622165</wp:posOffset>
            </wp:positionV>
            <wp:extent cx="3237230" cy="1200150"/>
            <wp:effectExtent l="0" t="0" r="12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237230" cy="1200150"/>
                    </a:xfrm>
                    <a:prstGeom prst="rect">
                      <a:avLst/>
                    </a:prstGeom>
                    <a:noFill/>
                    <a:ln>
                      <a:noFill/>
                    </a:ln>
                    <a:effectLst/>
                  </pic:spPr>
                </pic:pic>
              </a:graphicData>
            </a:graphic>
          </wp:anchor>
        </w:drawing>
      </w:r>
    </w:p>
    <w:p>
      <w:pPr>
        <w:pStyle w:val="31"/>
        <w:tabs>
          <w:tab w:val="left" w:pos="1980"/>
        </w:tabs>
        <w:jc w:val="both"/>
        <w:rPr>
          <w:rFonts w:hAnsi="宋体" w:cs="黑体"/>
          <w:b/>
          <w:color w:val="auto"/>
          <w:sz w:val="32"/>
          <w:szCs w:val="32"/>
        </w:rPr>
      </w:pPr>
    </w:p>
    <w:p>
      <w:pPr>
        <w:pStyle w:val="31"/>
        <w:tabs>
          <w:tab w:val="left" w:pos="1980"/>
        </w:tabs>
        <w:jc w:val="both"/>
        <w:rPr>
          <w:rFonts w:hAnsi="宋体" w:cs="黑体"/>
          <w:b/>
          <w:color w:val="auto"/>
          <w:sz w:val="32"/>
          <w:szCs w:val="32"/>
        </w:rPr>
      </w:pPr>
    </w:p>
    <w:p>
      <w:pPr>
        <w:pStyle w:val="31"/>
        <w:tabs>
          <w:tab w:val="left" w:pos="1980"/>
        </w:tabs>
        <w:jc w:val="both"/>
        <w:rPr>
          <w:rFonts w:hAnsi="宋体" w:cs="黑体"/>
          <w:b/>
          <w:color w:val="auto"/>
          <w:sz w:val="32"/>
          <w:szCs w:val="32"/>
        </w:rPr>
      </w:pPr>
    </w:p>
    <w:p>
      <w:pPr>
        <w:ind w:firstLine="216" w:firstLineChars="49"/>
        <w:jc w:val="center"/>
        <w:rPr>
          <w:rFonts w:ascii="黑体" w:hAnsi="宋体" w:eastAsia="黑体"/>
          <w:b/>
          <w:sz w:val="44"/>
        </w:rPr>
      </w:pPr>
    </w:p>
    <w:p>
      <w:pPr>
        <w:ind w:firstLine="216" w:firstLineChars="49"/>
        <w:jc w:val="center"/>
        <w:rPr>
          <w:rFonts w:ascii="黑体" w:hAnsi="宋体" w:eastAsia="黑体"/>
          <w:b/>
          <w:sz w:val="44"/>
        </w:rPr>
      </w:pPr>
    </w:p>
    <w:p/>
    <w:p/>
    <w:p/>
    <w:p/>
    <w:p/>
    <w:p/>
    <w:p/>
    <w:p>
      <w:pPr>
        <w:spacing w:line="360" w:lineRule="auto"/>
        <w:ind w:firstLine="993" w:firstLineChars="309"/>
        <w:rPr>
          <w:rFonts w:ascii="宋体" w:hAnsi="宋体" w:cs="宋体"/>
          <w:b/>
          <w:sz w:val="32"/>
          <w:szCs w:val="32"/>
        </w:rPr>
      </w:pPr>
      <w:r>
        <w:rPr>
          <w:rFonts w:hint="eastAsia" w:ascii="宋体" w:hAnsi="宋体" w:cs="宋体"/>
          <w:b/>
          <w:sz w:val="32"/>
          <w:szCs w:val="32"/>
        </w:rPr>
        <w:t>招   标   人:许昌市建设投资有限责任公司</w:t>
      </w:r>
    </w:p>
    <w:p>
      <w:pPr>
        <w:spacing w:line="360" w:lineRule="auto"/>
        <w:ind w:firstLine="993" w:firstLineChars="309"/>
        <w:rPr>
          <w:rFonts w:ascii="宋体" w:hAnsi="宋体" w:cs="宋体"/>
          <w:b/>
          <w:sz w:val="32"/>
          <w:szCs w:val="32"/>
        </w:rPr>
      </w:pPr>
      <w:r>
        <w:rPr>
          <w:rFonts w:hint="eastAsia" w:ascii="宋体" w:hAnsi="宋体" w:cs="宋体"/>
          <w:b/>
          <w:sz w:val="32"/>
          <w:szCs w:val="32"/>
        </w:rPr>
        <w:t>招标代理机构:瑞和安惠项目管理集团有限公司</w:t>
      </w:r>
    </w:p>
    <w:p>
      <w:pPr>
        <w:spacing w:line="360" w:lineRule="auto"/>
        <w:ind w:firstLine="993" w:firstLineChars="309"/>
        <w:jc w:val="left"/>
        <w:rPr>
          <w:rFonts w:ascii="宋体" w:hAnsi="宋体" w:cs="宋体"/>
          <w:b/>
          <w:sz w:val="32"/>
          <w:szCs w:val="32"/>
        </w:rPr>
      </w:pPr>
      <w:r>
        <w:rPr>
          <w:rFonts w:hint="eastAsia" w:ascii="宋体" w:hAnsi="宋体" w:cs="宋体"/>
          <w:b/>
          <w:sz w:val="32"/>
          <w:szCs w:val="32"/>
        </w:rPr>
        <w:t>日        期:二〇一七年十二月</w:t>
      </w:r>
    </w:p>
    <w:p>
      <w:pPr>
        <w:pStyle w:val="9"/>
      </w:pPr>
    </w:p>
    <w:p>
      <w:pPr>
        <w:pStyle w:val="9"/>
        <w:jc w:val="center"/>
        <w:rPr>
          <w:b/>
          <w:sz w:val="40"/>
        </w:rPr>
      </w:pPr>
      <w:r>
        <w:rPr>
          <w:rFonts w:hint="eastAsia"/>
          <w:b/>
          <w:sz w:val="40"/>
        </w:rPr>
        <w:t>目  录</w:t>
      </w:r>
    </w:p>
    <w:p>
      <w:pPr>
        <w:pStyle w:val="17"/>
        <w:tabs>
          <w:tab w:val="right" w:leader="dot" w:pos="8788"/>
          <w:tab w:val="clear" w:pos="8778"/>
        </w:tabs>
        <w:spacing w:line="360" w:lineRule="auto"/>
      </w:pPr>
      <w:r>
        <w:fldChar w:fldCharType="begin"/>
      </w:r>
      <w:r>
        <w:instrText xml:space="preserve"> TOC \o "1-3" \h \z \u </w:instrText>
      </w:r>
      <w:r>
        <w:fldChar w:fldCharType="separate"/>
      </w:r>
      <w:r>
        <w:fldChar w:fldCharType="begin"/>
      </w:r>
      <w:r>
        <w:instrText xml:space="preserve"> HYPERLINK \l "_Toc18285" </w:instrText>
      </w:r>
      <w:r>
        <w:fldChar w:fldCharType="separate"/>
      </w:r>
      <w:r>
        <w:rPr>
          <w:rFonts w:hint="eastAsia"/>
        </w:rPr>
        <w:t>第一章 招标公告</w:t>
      </w:r>
      <w:r>
        <w:tab/>
      </w:r>
      <w:r>
        <w:fldChar w:fldCharType="begin"/>
      </w:r>
      <w:r>
        <w:instrText xml:space="preserve"> PAGEREF _Toc18285 </w:instrText>
      </w:r>
      <w:r>
        <w:fldChar w:fldCharType="separate"/>
      </w:r>
      <w:r>
        <w:t>3</w:t>
      </w:r>
      <w:r>
        <w:fldChar w:fldCharType="end"/>
      </w:r>
      <w:r>
        <w:fldChar w:fldCharType="end"/>
      </w:r>
    </w:p>
    <w:p>
      <w:pPr>
        <w:pStyle w:val="17"/>
        <w:tabs>
          <w:tab w:val="right" w:leader="dot" w:pos="8788"/>
          <w:tab w:val="clear" w:pos="8778"/>
        </w:tabs>
        <w:spacing w:line="360" w:lineRule="auto"/>
      </w:pPr>
      <w:r>
        <w:fldChar w:fldCharType="begin"/>
      </w:r>
      <w:r>
        <w:instrText xml:space="preserve"> HYPERLINK \l "_Toc29310" </w:instrText>
      </w:r>
      <w:r>
        <w:fldChar w:fldCharType="separate"/>
      </w:r>
      <w:r>
        <w:rPr>
          <w:rFonts w:hint="eastAsia"/>
        </w:rPr>
        <w:t>第二章 投标人须知</w:t>
      </w:r>
      <w:r>
        <w:tab/>
      </w:r>
      <w:r>
        <w:fldChar w:fldCharType="begin"/>
      </w:r>
      <w:r>
        <w:instrText xml:space="preserve"> PAGEREF _Toc29310 </w:instrText>
      </w:r>
      <w:r>
        <w:fldChar w:fldCharType="separate"/>
      </w:r>
      <w:r>
        <w:t>7</w:t>
      </w:r>
      <w:r>
        <w:fldChar w:fldCharType="end"/>
      </w:r>
      <w:r>
        <w:fldChar w:fldCharType="end"/>
      </w:r>
    </w:p>
    <w:p>
      <w:pPr>
        <w:pStyle w:val="20"/>
        <w:tabs>
          <w:tab w:val="right" w:leader="dot" w:pos="8788"/>
        </w:tabs>
        <w:spacing w:line="360" w:lineRule="auto"/>
      </w:pPr>
      <w:r>
        <w:fldChar w:fldCharType="begin"/>
      </w:r>
      <w:r>
        <w:instrText xml:space="preserve"> HYPERLINK \l "_Toc5890" </w:instrText>
      </w:r>
      <w:r>
        <w:fldChar w:fldCharType="separate"/>
      </w:r>
      <w:r>
        <w:rPr>
          <w:rFonts w:hint="eastAsia"/>
        </w:rPr>
        <w:t>投标人须知前附表</w:t>
      </w:r>
      <w:r>
        <w:tab/>
      </w:r>
      <w:r>
        <w:fldChar w:fldCharType="begin"/>
      </w:r>
      <w:r>
        <w:instrText xml:space="preserve"> PAGEREF _Toc5890 </w:instrText>
      </w:r>
      <w:r>
        <w:fldChar w:fldCharType="separate"/>
      </w:r>
      <w:r>
        <w:t>7</w:t>
      </w:r>
      <w:r>
        <w:fldChar w:fldCharType="end"/>
      </w:r>
      <w:r>
        <w:fldChar w:fldCharType="end"/>
      </w:r>
    </w:p>
    <w:p>
      <w:pPr>
        <w:pStyle w:val="20"/>
        <w:tabs>
          <w:tab w:val="right" w:leader="dot" w:pos="8788"/>
        </w:tabs>
        <w:spacing w:line="360" w:lineRule="auto"/>
      </w:pPr>
      <w:r>
        <w:fldChar w:fldCharType="begin"/>
      </w:r>
      <w:r>
        <w:instrText xml:space="preserve"> HYPERLINK \l "_Toc12702" </w:instrText>
      </w:r>
      <w:r>
        <w:fldChar w:fldCharType="separate"/>
      </w:r>
      <w:r>
        <w:t>1.总则</w:t>
      </w:r>
      <w:r>
        <w:tab/>
      </w:r>
      <w:r>
        <w:fldChar w:fldCharType="begin"/>
      </w:r>
      <w:r>
        <w:instrText xml:space="preserve"> PAGEREF _Toc12702 </w:instrText>
      </w:r>
      <w:r>
        <w:fldChar w:fldCharType="separate"/>
      </w:r>
      <w:r>
        <w:t>16</w:t>
      </w:r>
      <w:r>
        <w:fldChar w:fldCharType="end"/>
      </w:r>
      <w:r>
        <w:fldChar w:fldCharType="end"/>
      </w:r>
    </w:p>
    <w:p>
      <w:pPr>
        <w:pStyle w:val="20"/>
        <w:tabs>
          <w:tab w:val="right" w:leader="dot" w:pos="8788"/>
        </w:tabs>
        <w:spacing w:line="360" w:lineRule="auto"/>
      </w:pPr>
      <w:r>
        <w:fldChar w:fldCharType="begin"/>
      </w:r>
      <w:r>
        <w:instrText xml:space="preserve"> HYPERLINK \l "_Toc12432" </w:instrText>
      </w:r>
      <w:r>
        <w:fldChar w:fldCharType="separate"/>
      </w:r>
      <w:r>
        <w:t>2.招标文件</w:t>
      </w:r>
      <w:r>
        <w:tab/>
      </w:r>
      <w:r>
        <w:fldChar w:fldCharType="begin"/>
      </w:r>
      <w:r>
        <w:instrText xml:space="preserve"> PAGEREF _Toc12432 </w:instrText>
      </w:r>
      <w:r>
        <w:fldChar w:fldCharType="separate"/>
      </w:r>
      <w:r>
        <w:t>18</w:t>
      </w:r>
      <w:r>
        <w:fldChar w:fldCharType="end"/>
      </w:r>
      <w:r>
        <w:fldChar w:fldCharType="end"/>
      </w:r>
    </w:p>
    <w:p>
      <w:pPr>
        <w:pStyle w:val="20"/>
        <w:tabs>
          <w:tab w:val="right" w:leader="dot" w:pos="8788"/>
        </w:tabs>
        <w:spacing w:line="360" w:lineRule="auto"/>
      </w:pPr>
      <w:r>
        <w:fldChar w:fldCharType="begin"/>
      </w:r>
      <w:r>
        <w:instrText xml:space="preserve"> HYPERLINK \l "_Toc30824" </w:instrText>
      </w:r>
      <w:r>
        <w:fldChar w:fldCharType="separate"/>
      </w:r>
      <w:r>
        <w:t>3.投标文件</w:t>
      </w:r>
      <w:r>
        <w:tab/>
      </w:r>
      <w:r>
        <w:fldChar w:fldCharType="begin"/>
      </w:r>
      <w:r>
        <w:instrText xml:space="preserve"> PAGEREF _Toc30824 </w:instrText>
      </w:r>
      <w:r>
        <w:fldChar w:fldCharType="separate"/>
      </w:r>
      <w:r>
        <w:t>19</w:t>
      </w:r>
      <w:r>
        <w:fldChar w:fldCharType="end"/>
      </w:r>
      <w:r>
        <w:fldChar w:fldCharType="end"/>
      </w:r>
    </w:p>
    <w:p>
      <w:pPr>
        <w:pStyle w:val="20"/>
        <w:tabs>
          <w:tab w:val="right" w:leader="dot" w:pos="8788"/>
        </w:tabs>
        <w:spacing w:line="360" w:lineRule="auto"/>
      </w:pPr>
      <w:r>
        <w:fldChar w:fldCharType="begin"/>
      </w:r>
      <w:r>
        <w:instrText xml:space="preserve"> HYPERLINK \l "_Toc1720" </w:instrText>
      </w:r>
      <w:r>
        <w:fldChar w:fldCharType="separate"/>
      </w:r>
      <w:r>
        <w:t>4.投标</w:t>
      </w:r>
      <w:r>
        <w:tab/>
      </w:r>
      <w:r>
        <w:fldChar w:fldCharType="begin"/>
      </w:r>
      <w:r>
        <w:instrText xml:space="preserve"> PAGEREF _Toc1720 </w:instrText>
      </w:r>
      <w:r>
        <w:fldChar w:fldCharType="separate"/>
      </w:r>
      <w:r>
        <w:t>25</w:t>
      </w:r>
      <w:r>
        <w:fldChar w:fldCharType="end"/>
      </w:r>
      <w:r>
        <w:fldChar w:fldCharType="end"/>
      </w:r>
    </w:p>
    <w:p>
      <w:pPr>
        <w:pStyle w:val="20"/>
        <w:tabs>
          <w:tab w:val="right" w:leader="dot" w:pos="8788"/>
        </w:tabs>
        <w:spacing w:line="360" w:lineRule="auto"/>
      </w:pPr>
      <w:r>
        <w:fldChar w:fldCharType="begin"/>
      </w:r>
      <w:r>
        <w:instrText xml:space="preserve"> HYPERLINK \l "_Toc20148" </w:instrText>
      </w:r>
      <w:r>
        <w:fldChar w:fldCharType="separate"/>
      </w:r>
      <w:r>
        <w:t>5.开标</w:t>
      </w:r>
      <w:r>
        <w:tab/>
      </w:r>
      <w:r>
        <w:fldChar w:fldCharType="begin"/>
      </w:r>
      <w:r>
        <w:instrText xml:space="preserve"> PAGEREF _Toc20148 </w:instrText>
      </w:r>
      <w:r>
        <w:fldChar w:fldCharType="separate"/>
      </w:r>
      <w:r>
        <w:t>25</w:t>
      </w:r>
      <w:r>
        <w:fldChar w:fldCharType="end"/>
      </w:r>
      <w:r>
        <w:fldChar w:fldCharType="end"/>
      </w:r>
    </w:p>
    <w:p>
      <w:pPr>
        <w:pStyle w:val="20"/>
        <w:tabs>
          <w:tab w:val="right" w:leader="dot" w:pos="8788"/>
        </w:tabs>
        <w:spacing w:line="360" w:lineRule="auto"/>
      </w:pPr>
      <w:r>
        <w:fldChar w:fldCharType="begin"/>
      </w:r>
      <w:r>
        <w:instrText xml:space="preserve"> HYPERLINK \l "_Toc24256" </w:instrText>
      </w:r>
      <w:r>
        <w:fldChar w:fldCharType="separate"/>
      </w:r>
      <w:r>
        <w:t>6.评标</w:t>
      </w:r>
      <w:r>
        <w:tab/>
      </w:r>
      <w:r>
        <w:fldChar w:fldCharType="begin"/>
      </w:r>
      <w:r>
        <w:instrText xml:space="preserve"> PAGEREF _Toc24256 </w:instrText>
      </w:r>
      <w:r>
        <w:fldChar w:fldCharType="separate"/>
      </w:r>
      <w:r>
        <w:t>26</w:t>
      </w:r>
      <w:r>
        <w:fldChar w:fldCharType="end"/>
      </w:r>
      <w:r>
        <w:fldChar w:fldCharType="end"/>
      </w:r>
    </w:p>
    <w:p>
      <w:pPr>
        <w:pStyle w:val="20"/>
        <w:tabs>
          <w:tab w:val="right" w:leader="dot" w:pos="8788"/>
        </w:tabs>
        <w:spacing w:line="360" w:lineRule="auto"/>
      </w:pPr>
      <w:r>
        <w:fldChar w:fldCharType="begin"/>
      </w:r>
      <w:r>
        <w:instrText xml:space="preserve"> HYPERLINK \l "_Toc8979" </w:instrText>
      </w:r>
      <w:r>
        <w:fldChar w:fldCharType="separate"/>
      </w:r>
      <w:r>
        <w:t>7.合同授予</w:t>
      </w:r>
      <w:r>
        <w:tab/>
      </w:r>
      <w:r>
        <w:fldChar w:fldCharType="begin"/>
      </w:r>
      <w:r>
        <w:instrText xml:space="preserve"> PAGEREF _Toc8979 </w:instrText>
      </w:r>
      <w:r>
        <w:fldChar w:fldCharType="separate"/>
      </w:r>
      <w:r>
        <w:t>26</w:t>
      </w:r>
      <w:r>
        <w:fldChar w:fldCharType="end"/>
      </w:r>
      <w:r>
        <w:fldChar w:fldCharType="end"/>
      </w:r>
    </w:p>
    <w:p>
      <w:pPr>
        <w:pStyle w:val="20"/>
        <w:tabs>
          <w:tab w:val="right" w:leader="dot" w:pos="8788"/>
        </w:tabs>
        <w:spacing w:line="360" w:lineRule="auto"/>
      </w:pPr>
      <w:r>
        <w:fldChar w:fldCharType="begin"/>
      </w:r>
      <w:r>
        <w:instrText xml:space="preserve"> HYPERLINK \l "_Toc23686" </w:instrText>
      </w:r>
      <w:r>
        <w:fldChar w:fldCharType="separate"/>
      </w:r>
      <w:r>
        <w:t>8.重新招标和不再招标</w:t>
      </w:r>
      <w:r>
        <w:tab/>
      </w:r>
      <w:r>
        <w:fldChar w:fldCharType="begin"/>
      </w:r>
      <w:r>
        <w:instrText xml:space="preserve"> PAGEREF _Toc23686 </w:instrText>
      </w:r>
      <w:r>
        <w:fldChar w:fldCharType="separate"/>
      </w:r>
      <w:r>
        <w:t>27</w:t>
      </w:r>
      <w:r>
        <w:fldChar w:fldCharType="end"/>
      </w:r>
      <w:r>
        <w:fldChar w:fldCharType="end"/>
      </w:r>
    </w:p>
    <w:p>
      <w:pPr>
        <w:pStyle w:val="20"/>
        <w:tabs>
          <w:tab w:val="right" w:leader="dot" w:pos="8788"/>
        </w:tabs>
        <w:spacing w:line="360" w:lineRule="auto"/>
      </w:pPr>
      <w:r>
        <w:fldChar w:fldCharType="begin"/>
      </w:r>
      <w:r>
        <w:instrText xml:space="preserve"> HYPERLINK \l "_Toc17256" </w:instrText>
      </w:r>
      <w:r>
        <w:fldChar w:fldCharType="separate"/>
      </w:r>
      <w:r>
        <w:t>9.纪律和监督</w:t>
      </w:r>
      <w:r>
        <w:tab/>
      </w:r>
      <w:r>
        <w:fldChar w:fldCharType="begin"/>
      </w:r>
      <w:r>
        <w:instrText xml:space="preserve"> PAGEREF _Toc17256 </w:instrText>
      </w:r>
      <w:r>
        <w:fldChar w:fldCharType="separate"/>
      </w:r>
      <w:r>
        <w:t>27</w:t>
      </w:r>
      <w:r>
        <w:fldChar w:fldCharType="end"/>
      </w:r>
      <w:r>
        <w:fldChar w:fldCharType="end"/>
      </w:r>
    </w:p>
    <w:p>
      <w:pPr>
        <w:pStyle w:val="20"/>
        <w:tabs>
          <w:tab w:val="right" w:leader="dot" w:pos="8788"/>
        </w:tabs>
        <w:spacing w:line="360" w:lineRule="auto"/>
      </w:pPr>
      <w:r>
        <w:fldChar w:fldCharType="begin"/>
      </w:r>
      <w:r>
        <w:instrText xml:space="preserve"> HYPERLINK \l "_Toc17155" </w:instrText>
      </w:r>
      <w:r>
        <w:fldChar w:fldCharType="separate"/>
      </w:r>
      <w:r>
        <w:t>10.需要补充的其他内容</w:t>
      </w:r>
      <w:r>
        <w:tab/>
      </w:r>
      <w:r>
        <w:fldChar w:fldCharType="begin"/>
      </w:r>
      <w:r>
        <w:instrText xml:space="preserve"> PAGEREF _Toc17155 </w:instrText>
      </w:r>
      <w:r>
        <w:fldChar w:fldCharType="separate"/>
      </w:r>
      <w:r>
        <w:t>28</w:t>
      </w:r>
      <w:r>
        <w:fldChar w:fldCharType="end"/>
      </w:r>
      <w:r>
        <w:fldChar w:fldCharType="end"/>
      </w:r>
    </w:p>
    <w:p>
      <w:pPr>
        <w:pStyle w:val="20"/>
        <w:tabs>
          <w:tab w:val="right" w:leader="dot" w:pos="8788"/>
        </w:tabs>
        <w:spacing w:line="360" w:lineRule="auto"/>
      </w:pPr>
      <w:r>
        <w:fldChar w:fldCharType="begin"/>
      </w:r>
      <w:r>
        <w:instrText xml:space="preserve"> HYPERLINK \l "_Toc30983" </w:instrText>
      </w:r>
      <w:r>
        <w:fldChar w:fldCharType="separate"/>
      </w:r>
      <w:r>
        <w:rPr>
          <w:rFonts w:hint="eastAsia"/>
        </w:rPr>
        <w:t>附表一：开标记录表</w:t>
      </w:r>
      <w:r>
        <w:tab/>
      </w:r>
      <w:r>
        <w:fldChar w:fldCharType="begin"/>
      </w:r>
      <w:r>
        <w:instrText xml:space="preserve"> PAGEREF _Toc30983 </w:instrText>
      </w:r>
      <w:r>
        <w:fldChar w:fldCharType="separate"/>
      </w:r>
      <w:r>
        <w:t>29</w:t>
      </w:r>
      <w:r>
        <w:fldChar w:fldCharType="end"/>
      </w:r>
      <w:r>
        <w:fldChar w:fldCharType="end"/>
      </w:r>
    </w:p>
    <w:p>
      <w:pPr>
        <w:pStyle w:val="20"/>
        <w:tabs>
          <w:tab w:val="right" w:leader="dot" w:pos="8788"/>
        </w:tabs>
        <w:spacing w:line="360" w:lineRule="auto"/>
      </w:pPr>
      <w:r>
        <w:fldChar w:fldCharType="begin"/>
      </w:r>
      <w:r>
        <w:instrText xml:space="preserve"> HYPERLINK \l "_Toc3602" </w:instrText>
      </w:r>
      <w:r>
        <w:fldChar w:fldCharType="separate"/>
      </w:r>
      <w:r>
        <w:rPr>
          <w:rFonts w:hint="eastAsia"/>
        </w:rPr>
        <w:t>附表二：问题澄清通知</w:t>
      </w:r>
      <w:r>
        <w:tab/>
      </w:r>
      <w:r>
        <w:fldChar w:fldCharType="begin"/>
      </w:r>
      <w:r>
        <w:instrText xml:space="preserve"> PAGEREF _Toc3602 </w:instrText>
      </w:r>
      <w:r>
        <w:fldChar w:fldCharType="separate"/>
      </w:r>
      <w:r>
        <w:t>30</w:t>
      </w:r>
      <w:r>
        <w:fldChar w:fldCharType="end"/>
      </w:r>
      <w:r>
        <w:fldChar w:fldCharType="end"/>
      </w:r>
    </w:p>
    <w:p>
      <w:pPr>
        <w:pStyle w:val="20"/>
        <w:tabs>
          <w:tab w:val="right" w:leader="dot" w:pos="8788"/>
        </w:tabs>
        <w:spacing w:line="360" w:lineRule="auto"/>
      </w:pPr>
      <w:r>
        <w:fldChar w:fldCharType="begin"/>
      </w:r>
      <w:r>
        <w:instrText xml:space="preserve"> HYPERLINK \l "_Toc21152" </w:instrText>
      </w:r>
      <w:r>
        <w:fldChar w:fldCharType="separate"/>
      </w:r>
      <w:r>
        <w:rPr>
          <w:rFonts w:hint="eastAsia"/>
        </w:rPr>
        <w:t>附表三：问题的澄清</w:t>
      </w:r>
      <w:r>
        <w:tab/>
      </w:r>
      <w:r>
        <w:fldChar w:fldCharType="begin"/>
      </w:r>
      <w:r>
        <w:instrText xml:space="preserve"> PAGEREF _Toc21152 </w:instrText>
      </w:r>
      <w:r>
        <w:fldChar w:fldCharType="separate"/>
      </w:r>
      <w:r>
        <w:t>31</w:t>
      </w:r>
      <w:r>
        <w:fldChar w:fldCharType="end"/>
      </w:r>
      <w:r>
        <w:fldChar w:fldCharType="end"/>
      </w:r>
    </w:p>
    <w:p>
      <w:pPr>
        <w:pStyle w:val="20"/>
        <w:tabs>
          <w:tab w:val="right" w:leader="dot" w:pos="8788"/>
        </w:tabs>
        <w:spacing w:line="360" w:lineRule="auto"/>
      </w:pPr>
      <w:r>
        <w:fldChar w:fldCharType="begin"/>
      </w:r>
      <w:r>
        <w:instrText xml:space="preserve"> HYPERLINK \l "_Toc16151" </w:instrText>
      </w:r>
      <w:r>
        <w:fldChar w:fldCharType="separate"/>
      </w:r>
      <w:r>
        <w:rPr>
          <w:rFonts w:hint="eastAsia"/>
        </w:rPr>
        <w:t>附表四：中标通知书</w:t>
      </w:r>
      <w:r>
        <w:tab/>
      </w:r>
      <w:r>
        <w:fldChar w:fldCharType="begin"/>
      </w:r>
      <w:r>
        <w:instrText xml:space="preserve"> PAGEREF _Toc16151 </w:instrText>
      </w:r>
      <w:r>
        <w:fldChar w:fldCharType="separate"/>
      </w:r>
      <w:r>
        <w:t>32</w:t>
      </w:r>
      <w:r>
        <w:fldChar w:fldCharType="end"/>
      </w:r>
      <w:r>
        <w:fldChar w:fldCharType="end"/>
      </w:r>
    </w:p>
    <w:p>
      <w:pPr>
        <w:pStyle w:val="17"/>
        <w:tabs>
          <w:tab w:val="right" w:leader="dot" w:pos="8788"/>
          <w:tab w:val="clear" w:pos="8778"/>
        </w:tabs>
        <w:spacing w:line="360" w:lineRule="auto"/>
      </w:pPr>
      <w:r>
        <w:fldChar w:fldCharType="begin"/>
      </w:r>
      <w:r>
        <w:instrText xml:space="preserve"> HYPERLINK \l "_Toc15293" </w:instrText>
      </w:r>
      <w:r>
        <w:fldChar w:fldCharType="separate"/>
      </w:r>
      <w:r>
        <w:t>第三章 评标办法（综合评估法）</w:t>
      </w:r>
      <w:r>
        <w:tab/>
      </w:r>
      <w:r>
        <w:fldChar w:fldCharType="begin"/>
      </w:r>
      <w:r>
        <w:instrText xml:space="preserve"> PAGEREF _Toc15293 </w:instrText>
      </w:r>
      <w:r>
        <w:fldChar w:fldCharType="separate"/>
      </w:r>
      <w:r>
        <w:t>35</w:t>
      </w:r>
      <w:r>
        <w:fldChar w:fldCharType="end"/>
      </w:r>
      <w:r>
        <w:fldChar w:fldCharType="end"/>
      </w:r>
    </w:p>
    <w:p>
      <w:pPr>
        <w:pStyle w:val="20"/>
        <w:tabs>
          <w:tab w:val="right" w:leader="dot" w:pos="8788"/>
        </w:tabs>
        <w:spacing w:line="360" w:lineRule="auto"/>
      </w:pPr>
      <w:r>
        <w:fldChar w:fldCharType="begin"/>
      </w:r>
      <w:r>
        <w:instrText xml:space="preserve"> HYPERLINK \l "_Toc28248" </w:instrText>
      </w:r>
      <w:r>
        <w:fldChar w:fldCharType="separate"/>
      </w:r>
      <w:r>
        <w:rPr>
          <w:rFonts w:hint="eastAsia"/>
        </w:rPr>
        <w:t>评标办法前附表</w:t>
      </w:r>
      <w:r>
        <w:tab/>
      </w:r>
      <w:r>
        <w:fldChar w:fldCharType="begin"/>
      </w:r>
      <w:r>
        <w:instrText xml:space="preserve"> PAGEREF _Toc28248 </w:instrText>
      </w:r>
      <w:r>
        <w:fldChar w:fldCharType="separate"/>
      </w:r>
      <w:r>
        <w:t>35</w:t>
      </w:r>
      <w:r>
        <w:fldChar w:fldCharType="end"/>
      </w:r>
      <w:r>
        <w:fldChar w:fldCharType="end"/>
      </w:r>
    </w:p>
    <w:p>
      <w:pPr>
        <w:pStyle w:val="20"/>
        <w:tabs>
          <w:tab w:val="right" w:leader="dot" w:pos="8788"/>
        </w:tabs>
        <w:spacing w:line="360" w:lineRule="auto"/>
      </w:pPr>
      <w:r>
        <w:fldChar w:fldCharType="begin"/>
      </w:r>
      <w:r>
        <w:instrText xml:space="preserve"> HYPERLINK \l "_Toc20691" </w:instrText>
      </w:r>
      <w:r>
        <w:fldChar w:fldCharType="separate"/>
      </w:r>
      <w:r>
        <w:rPr>
          <w:rFonts w:hint="eastAsia"/>
          <w:szCs w:val="22"/>
        </w:rPr>
        <w:t>附表1</w:t>
      </w:r>
      <w:r>
        <w:tab/>
      </w:r>
      <w:r>
        <w:fldChar w:fldCharType="begin"/>
      </w:r>
      <w:r>
        <w:instrText xml:space="preserve"> PAGEREF _Toc20691 </w:instrText>
      </w:r>
      <w:r>
        <w:fldChar w:fldCharType="separate"/>
      </w:r>
      <w:r>
        <w:t>41</w:t>
      </w:r>
      <w:r>
        <w:fldChar w:fldCharType="end"/>
      </w:r>
      <w:r>
        <w:fldChar w:fldCharType="end"/>
      </w:r>
    </w:p>
    <w:p>
      <w:pPr>
        <w:pStyle w:val="20"/>
        <w:tabs>
          <w:tab w:val="right" w:leader="dot" w:pos="8788"/>
        </w:tabs>
        <w:spacing w:line="360" w:lineRule="auto"/>
      </w:pPr>
      <w:r>
        <w:fldChar w:fldCharType="begin"/>
      </w:r>
      <w:r>
        <w:instrText xml:space="preserve"> HYPERLINK \l "_Toc7855" </w:instrText>
      </w:r>
      <w:r>
        <w:fldChar w:fldCharType="separate"/>
      </w:r>
      <w:r>
        <w:t>附</w:t>
      </w:r>
      <w:r>
        <w:rPr>
          <w:rFonts w:hint="eastAsia"/>
        </w:rPr>
        <w:t>表2：</w:t>
      </w:r>
      <w:r>
        <w:t>拟投入监理人员</w:t>
      </w:r>
      <w:r>
        <w:rPr>
          <w:rFonts w:hint="eastAsia"/>
        </w:rPr>
        <w:t>配置</w:t>
      </w:r>
      <w:r>
        <w:t>一览表</w:t>
      </w:r>
      <w:r>
        <w:tab/>
      </w:r>
      <w:r>
        <w:fldChar w:fldCharType="begin"/>
      </w:r>
      <w:r>
        <w:instrText xml:space="preserve"> PAGEREF _Toc7855 </w:instrText>
      </w:r>
      <w:r>
        <w:fldChar w:fldCharType="separate"/>
      </w:r>
      <w:r>
        <w:t>42</w:t>
      </w:r>
      <w:r>
        <w:fldChar w:fldCharType="end"/>
      </w:r>
      <w:r>
        <w:fldChar w:fldCharType="end"/>
      </w:r>
    </w:p>
    <w:p>
      <w:pPr>
        <w:pStyle w:val="20"/>
        <w:tabs>
          <w:tab w:val="right" w:leader="dot" w:pos="8788"/>
        </w:tabs>
        <w:spacing w:line="360" w:lineRule="auto"/>
      </w:pPr>
      <w:r>
        <w:fldChar w:fldCharType="begin"/>
      </w:r>
      <w:r>
        <w:instrText xml:space="preserve"> HYPERLINK \l "_Toc26785" </w:instrText>
      </w:r>
      <w:r>
        <w:fldChar w:fldCharType="separate"/>
      </w:r>
      <w:r>
        <w:t>附表</w:t>
      </w:r>
      <w:r>
        <w:rPr>
          <w:rFonts w:hint="eastAsia"/>
        </w:rPr>
        <w:t>3：</w:t>
      </w:r>
      <w:r>
        <w:t>拟投入监理工作条件要求</w:t>
      </w:r>
      <w:r>
        <w:tab/>
      </w:r>
      <w:r>
        <w:fldChar w:fldCharType="begin"/>
      </w:r>
      <w:r>
        <w:instrText xml:space="preserve"> PAGEREF _Toc26785 </w:instrText>
      </w:r>
      <w:r>
        <w:fldChar w:fldCharType="separate"/>
      </w:r>
      <w:r>
        <w:t>44</w:t>
      </w:r>
      <w:r>
        <w:fldChar w:fldCharType="end"/>
      </w:r>
      <w:r>
        <w:fldChar w:fldCharType="end"/>
      </w:r>
    </w:p>
    <w:p>
      <w:pPr>
        <w:pStyle w:val="20"/>
        <w:tabs>
          <w:tab w:val="right" w:leader="dot" w:pos="8788"/>
        </w:tabs>
        <w:spacing w:line="360" w:lineRule="auto"/>
      </w:pPr>
      <w:r>
        <w:fldChar w:fldCharType="begin"/>
      </w:r>
      <w:r>
        <w:instrText xml:space="preserve"> HYPERLINK \l "_Toc30186" </w:instrText>
      </w:r>
      <w:r>
        <w:fldChar w:fldCharType="separate"/>
      </w:r>
      <w:r>
        <w:t>1.评标方法</w:t>
      </w:r>
      <w:r>
        <w:tab/>
      </w:r>
      <w:r>
        <w:fldChar w:fldCharType="begin"/>
      </w:r>
      <w:r>
        <w:instrText xml:space="preserve"> PAGEREF _Toc30186 </w:instrText>
      </w:r>
      <w:r>
        <w:fldChar w:fldCharType="separate"/>
      </w:r>
      <w:r>
        <w:t>46</w:t>
      </w:r>
      <w:r>
        <w:fldChar w:fldCharType="end"/>
      </w:r>
      <w:r>
        <w:fldChar w:fldCharType="end"/>
      </w:r>
    </w:p>
    <w:p>
      <w:pPr>
        <w:pStyle w:val="20"/>
        <w:tabs>
          <w:tab w:val="right" w:leader="dot" w:pos="8788"/>
        </w:tabs>
        <w:spacing w:line="360" w:lineRule="auto"/>
      </w:pPr>
      <w:r>
        <w:fldChar w:fldCharType="begin"/>
      </w:r>
      <w:r>
        <w:instrText xml:space="preserve"> HYPERLINK \l "_Toc15265" </w:instrText>
      </w:r>
      <w:r>
        <w:fldChar w:fldCharType="separate"/>
      </w:r>
      <w:r>
        <w:t>2.评审标准</w:t>
      </w:r>
      <w:r>
        <w:tab/>
      </w:r>
      <w:r>
        <w:fldChar w:fldCharType="begin"/>
      </w:r>
      <w:r>
        <w:instrText xml:space="preserve"> PAGEREF _Toc15265 </w:instrText>
      </w:r>
      <w:r>
        <w:fldChar w:fldCharType="separate"/>
      </w:r>
      <w:r>
        <w:t>46</w:t>
      </w:r>
      <w:r>
        <w:fldChar w:fldCharType="end"/>
      </w:r>
      <w:r>
        <w:fldChar w:fldCharType="end"/>
      </w:r>
    </w:p>
    <w:p>
      <w:pPr>
        <w:pStyle w:val="20"/>
        <w:tabs>
          <w:tab w:val="right" w:leader="dot" w:pos="8788"/>
        </w:tabs>
        <w:spacing w:line="360" w:lineRule="auto"/>
      </w:pPr>
      <w:r>
        <w:fldChar w:fldCharType="begin"/>
      </w:r>
      <w:r>
        <w:instrText xml:space="preserve"> HYPERLINK \l "_Toc13907" </w:instrText>
      </w:r>
      <w:r>
        <w:fldChar w:fldCharType="separate"/>
      </w:r>
      <w:r>
        <w:t>3.评标程序</w:t>
      </w:r>
      <w:r>
        <w:tab/>
      </w:r>
      <w:r>
        <w:fldChar w:fldCharType="begin"/>
      </w:r>
      <w:r>
        <w:instrText xml:space="preserve"> PAGEREF _Toc13907 </w:instrText>
      </w:r>
      <w:r>
        <w:fldChar w:fldCharType="separate"/>
      </w:r>
      <w:r>
        <w:t>46</w:t>
      </w:r>
      <w:r>
        <w:fldChar w:fldCharType="end"/>
      </w:r>
      <w:r>
        <w:fldChar w:fldCharType="end"/>
      </w:r>
    </w:p>
    <w:p>
      <w:pPr>
        <w:pStyle w:val="20"/>
        <w:tabs>
          <w:tab w:val="right" w:leader="dot" w:pos="8788"/>
        </w:tabs>
        <w:spacing w:line="360" w:lineRule="auto"/>
      </w:pPr>
      <w:r>
        <w:fldChar w:fldCharType="begin"/>
      </w:r>
      <w:r>
        <w:instrText xml:space="preserve"> HYPERLINK \l "_Toc25413" </w:instrText>
      </w:r>
      <w:r>
        <w:fldChar w:fldCharType="separate"/>
      </w:r>
      <w:r>
        <w:t>附件A：评标详细程序</w:t>
      </w:r>
      <w:r>
        <w:tab/>
      </w:r>
      <w:r>
        <w:fldChar w:fldCharType="begin"/>
      </w:r>
      <w:r>
        <w:instrText xml:space="preserve"> PAGEREF _Toc25413 </w:instrText>
      </w:r>
      <w:r>
        <w:fldChar w:fldCharType="separate"/>
      </w:r>
      <w:r>
        <w:t>49</w:t>
      </w:r>
      <w:r>
        <w:fldChar w:fldCharType="end"/>
      </w:r>
      <w:r>
        <w:fldChar w:fldCharType="end"/>
      </w:r>
    </w:p>
    <w:p>
      <w:pPr>
        <w:pStyle w:val="20"/>
        <w:tabs>
          <w:tab w:val="right" w:leader="dot" w:pos="8788"/>
        </w:tabs>
        <w:spacing w:line="360" w:lineRule="auto"/>
      </w:pPr>
      <w:r>
        <w:fldChar w:fldCharType="begin"/>
      </w:r>
      <w:r>
        <w:instrText xml:space="preserve"> HYPERLINK \l "_Toc16060" </w:instrText>
      </w:r>
      <w:r>
        <w:fldChar w:fldCharType="separate"/>
      </w:r>
      <w:r>
        <w:t>附件B：</w:t>
      </w:r>
      <w:r>
        <w:rPr>
          <w:rFonts w:hint="eastAsia"/>
        </w:rPr>
        <w:t>否决投标</w:t>
      </w:r>
      <w:r>
        <w:t>条件</w:t>
      </w:r>
      <w:r>
        <w:tab/>
      </w:r>
      <w:r>
        <w:fldChar w:fldCharType="begin"/>
      </w:r>
      <w:r>
        <w:instrText xml:space="preserve"> PAGEREF _Toc16060 </w:instrText>
      </w:r>
      <w:r>
        <w:fldChar w:fldCharType="separate"/>
      </w:r>
      <w:r>
        <w:t>52</w:t>
      </w:r>
      <w:r>
        <w:fldChar w:fldCharType="end"/>
      </w:r>
      <w:r>
        <w:fldChar w:fldCharType="end"/>
      </w:r>
    </w:p>
    <w:p>
      <w:pPr>
        <w:pStyle w:val="17"/>
        <w:tabs>
          <w:tab w:val="right" w:leader="dot" w:pos="8788"/>
          <w:tab w:val="clear" w:pos="8778"/>
        </w:tabs>
        <w:spacing w:line="360" w:lineRule="auto"/>
      </w:pPr>
      <w:r>
        <w:fldChar w:fldCharType="begin"/>
      </w:r>
      <w:r>
        <w:instrText xml:space="preserve"> HYPERLINK \l "_Toc20445" </w:instrText>
      </w:r>
      <w:r>
        <w:fldChar w:fldCharType="separate"/>
      </w:r>
      <w:r>
        <w:rPr>
          <w:rFonts w:hint="eastAsia"/>
        </w:rPr>
        <w:t xml:space="preserve">第四章 </w:t>
      </w:r>
      <w:r>
        <w:t>合同条款及格式</w:t>
      </w:r>
      <w:r>
        <w:tab/>
      </w:r>
      <w:r>
        <w:fldChar w:fldCharType="begin"/>
      </w:r>
      <w:r>
        <w:instrText xml:space="preserve"> PAGEREF _Toc20445 </w:instrText>
      </w:r>
      <w:r>
        <w:fldChar w:fldCharType="separate"/>
      </w:r>
      <w:r>
        <w:t>53</w:t>
      </w:r>
      <w:r>
        <w:fldChar w:fldCharType="end"/>
      </w:r>
      <w:r>
        <w:fldChar w:fldCharType="end"/>
      </w:r>
    </w:p>
    <w:p>
      <w:pPr>
        <w:pStyle w:val="20"/>
        <w:tabs>
          <w:tab w:val="right" w:leader="dot" w:pos="8788"/>
        </w:tabs>
        <w:spacing w:line="360" w:lineRule="auto"/>
      </w:pPr>
      <w:r>
        <w:fldChar w:fldCharType="begin"/>
      </w:r>
      <w:r>
        <w:instrText xml:space="preserve"> HYPERLINK \l "_Toc27436" </w:instrText>
      </w:r>
      <w:r>
        <w:fldChar w:fldCharType="separate"/>
      </w:r>
      <w:r>
        <w:rPr>
          <w:rFonts w:hint="eastAsia"/>
        </w:rPr>
        <w:t>第一部分  协议书</w:t>
      </w:r>
      <w:r>
        <w:tab/>
      </w:r>
      <w:r>
        <w:fldChar w:fldCharType="begin"/>
      </w:r>
      <w:r>
        <w:instrText xml:space="preserve"> PAGEREF _Toc27436 </w:instrText>
      </w:r>
      <w:r>
        <w:fldChar w:fldCharType="separate"/>
      </w:r>
      <w:r>
        <w:t>53</w:t>
      </w:r>
      <w:r>
        <w:fldChar w:fldCharType="end"/>
      </w:r>
      <w:r>
        <w:fldChar w:fldCharType="end"/>
      </w:r>
    </w:p>
    <w:p>
      <w:pPr>
        <w:pStyle w:val="20"/>
        <w:tabs>
          <w:tab w:val="right" w:leader="dot" w:pos="8788"/>
        </w:tabs>
        <w:spacing w:line="360" w:lineRule="auto"/>
      </w:pPr>
      <w:r>
        <w:fldChar w:fldCharType="begin"/>
      </w:r>
      <w:r>
        <w:instrText xml:space="preserve"> HYPERLINK \l "_Toc18396" </w:instrText>
      </w:r>
      <w:r>
        <w:fldChar w:fldCharType="separate"/>
      </w:r>
      <w:r>
        <w:rPr>
          <w:rFonts w:hint="eastAsia"/>
        </w:rPr>
        <w:t>第二部分  通用条件</w:t>
      </w:r>
      <w:r>
        <w:tab/>
      </w:r>
      <w:r>
        <w:fldChar w:fldCharType="begin"/>
      </w:r>
      <w:r>
        <w:instrText xml:space="preserve"> PAGEREF _Toc18396 </w:instrText>
      </w:r>
      <w:r>
        <w:fldChar w:fldCharType="separate"/>
      </w:r>
      <w:r>
        <w:t>55</w:t>
      </w:r>
      <w:r>
        <w:fldChar w:fldCharType="end"/>
      </w:r>
      <w:r>
        <w:fldChar w:fldCharType="end"/>
      </w:r>
    </w:p>
    <w:p>
      <w:pPr>
        <w:pStyle w:val="20"/>
        <w:tabs>
          <w:tab w:val="right" w:leader="dot" w:pos="8788"/>
        </w:tabs>
        <w:spacing w:line="360" w:lineRule="auto"/>
      </w:pPr>
      <w:r>
        <w:fldChar w:fldCharType="begin"/>
      </w:r>
      <w:r>
        <w:instrText xml:space="preserve"> HYPERLINK \l "_Toc10120" </w:instrText>
      </w:r>
      <w:r>
        <w:fldChar w:fldCharType="separate"/>
      </w:r>
      <w:r>
        <w:rPr>
          <w:rFonts w:hint="eastAsia"/>
        </w:rPr>
        <w:t>第三部分  专用条件</w:t>
      </w:r>
      <w:r>
        <w:tab/>
      </w:r>
      <w:r>
        <w:fldChar w:fldCharType="begin"/>
      </w:r>
      <w:r>
        <w:instrText xml:space="preserve"> PAGEREF _Toc10120 </w:instrText>
      </w:r>
      <w:r>
        <w:fldChar w:fldCharType="separate"/>
      </w:r>
      <w:r>
        <w:t>63</w:t>
      </w:r>
      <w:r>
        <w:fldChar w:fldCharType="end"/>
      </w:r>
      <w:r>
        <w:fldChar w:fldCharType="end"/>
      </w:r>
    </w:p>
    <w:p>
      <w:pPr>
        <w:pStyle w:val="20"/>
        <w:tabs>
          <w:tab w:val="right" w:leader="dot" w:pos="8788"/>
        </w:tabs>
        <w:spacing w:line="360" w:lineRule="auto"/>
      </w:pPr>
      <w:r>
        <w:fldChar w:fldCharType="begin"/>
      </w:r>
      <w:r>
        <w:instrText xml:space="preserve"> HYPERLINK \l "_Toc10910" </w:instrText>
      </w:r>
      <w:r>
        <w:fldChar w:fldCharType="separate"/>
      </w:r>
      <w:r>
        <w:rPr>
          <w:rFonts w:hint="eastAsia"/>
        </w:rPr>
        <w:t>附录A相关服务的范围和内容</w:t>
      </w:r>
      <w:r>
        <w:tab/>
      </w:r>
      <w:r>
        <w:fldChar w:fldCharType="begin"/>
      </w:r>
      <w:r>
        <w:instrText xml:space="preserve"> PAGEREF _Toc10910 </w:instrText>
      </w:r>
      <w:r>
        <w:fldChar w:fldCharType="separate"/>
      </w:r>
      <w:r>
        <w:t>81</w:t>
      </w:r>
      <w:r>
        <w:fldChar w:fldCharType="end"/>
      </w:r>
      <w:r>
        <w:fldChar w:fldCharType="end"/>
      </w:r>
    </w:p>
    <w:p>
      <w:pPr>
        <w:pStyle w:val="20"/>
        <w:tabs>
          <w:tab w:val="right" w:leader="dot" w:pos="8788"/>
        </w:tabs>
        <w:spacing w:line="360" w:lineRule="auto"/>
      </w:pPr>
      <w:r>
        <w:fldChar w:fldCharType="begin"/>
      </w:r>
      <w:r>
        <w:instrText xml:space="preserve"> HYPERLINK \l "_Toc31360" </w:instrText>
      </w:r>
      <w:r>
        <w:fldChar w:fldCharType="separate"/>
      </w:r>
      <w:r>
        <w:rPr>
          <w:rFonts w:hint="eastAsia"/>
        </w:rPr>
        <w:t>附录B委托人派遣的人员和提供的房屋、资料、设备</w:t>
      </w:r>
      <w:r>
        <w:tab/>
      </w:r>
      <w:r>
        <w:fldChar w:fldCharType="begin"/>
      </w:r>
      <w:r>
        <w:instrText xml:space="preserve"> PAGEREF _Toc31360 </w:instrText>
      </w:r>
      <w:r>
        <w:fldChar w:fldCharType="separate"/>
      </w:r>
      <w:r>
        <w:t>82</w:t>
      </w:r>
      <w:r>
        <w:fldChar w:fldCharType="end"/>
      </w:r>
      <w:r>
        <w:fldChar w:fldCharType="end"/>
      </w:r>
    </w:p>
    <w:p>
      <w:pPr>
        <w:pStyle w:val="20"/>
        <w:tabs>
          <w:tab w:val="right" w:leader="dot" w:pos="8788"/>
        </w:tabs>
        <w:spacing w:line="360" w:lineRule="auto"/>
      </w:pPr>
      <w:r>
        <w:fldChar w:fldCharType="begin"/>
      </w:r>
      <w:r>
        <w:instrText xml:space="preserve"> HYPERLINK \l "_Toc21613" </w:instrText>
      </w:r>
      <w:r>
        <w:fldChar w:fldCharType="separate"/>
      </w:r>
      <w:r>
        <w:rPr>
          <w:rFonts w:hint="eastAsia"/>
        </w:rPr>
        <w:t>附录C廉洁从业合同格式</w:t>
      </w:r>
      <w:r>
        <w:tab/>
      </w:r>
      <w:r>
        <w:fldChar w:fldCharType="begin"/>
      </w:r>
      <w:r>
        <w:instrText xml:space="preserve"> PAGEREF _Toc21613 </w:instrText>
      </w:r>
      <w:r>
        <w:fldChar w:fldCharType="separate"/>
      </w:r>
      <w:r>
        <w:t>83</w:t>
      </w:r>
      <w:r>
        <w:fldChar w:fldCharType="end"/>
      </w:r>
      <w:r>
        <w:fldChar w:fldCharType="end"/>
      </w:r>
    </w:p>
    <w:p>
      <w:pPr>
        <w:pStyle w:val="20"/>
        <w:tabs>
          <w:tab w:val="right" w:leader="dot" w:pos="8788"/>
        </w:tabs>
        <w:spacing w:line="360" w:lineRule="auto"/>
      </w:pPr>
      <w:r>
        <w:fldChar w:fldCharType="begin"/>
      </w:r>
      <w:r>
        <w:instrText xml:space="preserve"> HYPERLINK \l "_Toc17498" </w:instrText>
      </w:r>
      <w:r>
        <w:fldChar w:fldCharType="separate"/>
      </w:r>
      <w:r>
        <w:rPr>
          <w:rFonts w:hint="eastAsia"/>
        </w:rPr>
        <w:t>附录D安全责任保证书</w:t>
      </w:r>
      <w:r>
        <w:tab/>
      </w:r>
      <w:r>
        <w:fldChar w:fldCharType="begin"/>
      </w:r>
      <w:r>
        <w:instrText xml:space="preserve"> PAGEREF _Toc17498 </w:instrText>
      </w:r>
      <w:r>
        <w:fldChar w:fldCharType="separate"/>
      </w:r>
      <w:r>
        <w:t>85</w:t>
      </w:r>
      <w:r>
        <w:fldChar w:fldCharType="end"/>
      </w:r>
      <w:r>
        <w:fldChar w:fldCharType="end"/>
      </w:r>
    </w:p>
    <w:p>
      <w:pPr>
        <w:pStyle w:val="20"/>
        <w:tabs>
          <w:tab w:val="right" w:leader="dot" w:pos="8788"/>
        </w:tabs>
        <w:spacing w:line="360" w:lineRule="auto"/>
      </w:pPr>
      <w:r>
        <w:fldChar w:fldCharType="begin"/>
      </w:r>
      <w:r>
        <w:instrText xml:space="preserve"> HYPERLINK \l "_Toc11302" </w:instrText>
      </w:r>
      <w:r>
        <w:fldChar w:fldCharType="separate"/>
      </w:r>
      <w:r>
        <w:rPr>
          <w:rFonts w:hint="eastAsia"/>
        </w:rPr>
        <w:t>附录E履约保函格式</w:t>
      </w:r>
      <w:r>
        <w:tab/>
      </w:r>
      <w:r>
        <w:fldChar w:fldCharType="begin"/>
      </w:r>
      <w:r>
        <w:instrText xml:space="preserve"> PAGEREF _Toc11302 </w:instrText>
      </w:r>
      <w:r>
        <w:fldChar w:fldCharType="separate"/>
      </w:r>
      <w:r>
        <w:t>92</w:t>
      </w:r>
      <w:r>
        <w:fldChar w:fldCharType="end"/>
      </w:r>
      <w:r>
        <w:fldChar w:fldCharType="end"/>
      </w:r>
    </w:p>
    <w:p>
      <w:pPr>
        <w:pStyle w:val="17"/>
        <w:tabs>
          <w:tab w:val="right" w:leader="dot" w:pos="8788"/>
          <w:tab w:val="clear" w:pos="8778"/>
        </w:tabs>
        <w:spacing w:line="360" w:lineRule="auto"/>
      </w:pPr>
      <w:r>
        <w:fldChar w:fldCharType="begin"/>
      </w:r>
      <w:r>
        <w:instrText xml:space="preserve"> HYPERLINK \l "_Toc31738" </w:instrText>
      </w:r>
      <w:r>
        <w:fldChar w:fldCharType="separate"/>
      </w:r>
      <w:r>
        <w:rPr>
          <w:rFonts w:hint="eastAsia"/>
        </w:rPr>
        <w:t>第五章 监理服务内容、技术标准和要求</w:t>
      </w:r>
      <w:r>
        <w:tab/>
      </w:r>
      <w:r>
        <w:fldChar w:fldCharType="begin"/>
      </w:r>
      <w:r>
        <w:instrText xml:space="preserve"> PAGEREF _Toc31738 </w:instrText>
      </w:r>
      <w:r>
        <w:fldChar w:fldCharType="separate"/>
      </w:r>
      <w:r>
        <w:t>93</w:t>
      </w:r>
      <w:r>
        <w:fldChar w:fldCharType="end"/>
      </w:r>
      <w:r>
        <w:fldChar w:fldCharType="end"/>
      </w:r>
    </w:p>
    <w:p>
      <w:pPr>
        <w:pStyle w:val="17"/>
        <w:tabs>
          <w:tab w:val="right" w:leader="dot" w:pos="8788"/>
          <w:tab w:val="clear" w:pos="8778"/>
        </w:tabs>
        <w:spacing w:line="360" w:lineRule="auto"/>
      </w:pPr>
      <w:r>
        <w:fldChar w:fldCharType="begin"/>
      </w:r>
      <w:r>
        <w:instrText xml:space="preserve"> HYPERLINK \l "_Toc11527" </w:instrText>
      </w:r>
      <w:r>
        <w:fldChar w:fldCharType="separate"/>
      </w:r>
      <w:r>
        <w:rPr>
          <w:rFonts w:hint="eastAsia"/>
        </w:rPr>
        <w:t>第六章 投标文件格式</w:t>
      </w:r>
      <w:r>
        <w:tab/>
      </w:r>
      <w:r>
        <w:fldChar w:fldCharType="begin"/>
      </w:r>
      <w:r>
        <w:instrText xml:space="preserve"> PAGEREF _Toc11527 </w:instrText>
      </w:r>
      <w:r>
        <w:fldChar w:fldCharType="separate"/>
      </w:r>
      <w:r>
        <w:t>94</w:t>
      </w:r>
      <w:r>
        <w:fldChar w:fldCharType="end"/>
      </w:r>
      <w:r>
        <w:fldChar w:fldCharType="end"/>
      </w:r>
    </w:p>
    <w:p>
      <w:pPr>
        <w:pStyle w:val="20"/>
        <w:tabs>
          <w:tab w:val="right" w:leader="dot" w:pos="8788"/>
        </w:tabs>
        <w:spacing w:line="360" w:lineRule="auto"/>
      </w:pPr>
      <w:r>
        <w:fldChar w:fldCharType="begin"/>
      </w:r>
      <w:r>
        <w:instrText xml:space="preserve"> HYPERLINK \l "_Toc21942" </w:instrText>
      </w:r>
      <w:r>
        <w:fldChar w:fldCharType="separate"/>
      </w:r>
      <w:r>
        <w:rPr>
          <w:rFonts w:hint="eastAsia"/>
        </w:rPr>
        <w:t>一、投标函及投标函附录</w:t>
      </w:r>
      <w:r>
        <w:tab/>
      </w:r>
      <w:r>
        <w:fldChar w:fldCharType="begin"/>
      </w:r>
      <w:r>
        <w:instrText xml:space="preserve"> PAGEREF _Toc21942 </w:instrText>
      </w:r>
      <w:r>
        <w:fldChar w:fldCharType="separate"/>
      </w:r>
      <w:r>
        <w:t>96</w:t>
      </w:r>
      <w:r>
        <w:fldChar w:fldCharType="end"/>
      </w:r>
      <w:r>
        <w:fldChar w:fldCharType="end"/>
      </w:r>
    </w:p>
    <w:p>
      <w:pPr>
        <w:pStyle w:val="20"/>
        <w:tabs>
          <w:tab w:val="right" w:leader="dot" w:pos="8788"/>
        </w:tabs>
        <w:spacing w:line="360" w:lineRule="auto"/>
      </w:pPr>
      <w:r>
        <w:fldChar w:fldCharType="begin"/>
      </w:r>
      <w:r>
        <w:instrText xml:space="preserve"> HYPERLINK \l "_Toc4052" </w:instrText>
      </w:r>
      <w:r>
        <w:fldChar w:fldCharType="separate"/>
      </w:r>
      <w:r>
        <w:rPr>
          <w:rFonts w:hint="eastAsia"/>
        </w:rPr>
        <w:t>二、法定代表人身份证明及授权委托书</w:t>
      </w:r>
      <w:r>
        <w:tab/>
      </w:r>
      <w:r>
        <w:fldChar w:fldCharType="begin"/>
      </w:r>
      <w:r>
        <w:instrText xml:space="preserve"> PAGEREF _Toc4052 </w:instrText>
      </w:r>
      <w:r>
        <w:fldChar w:fldCharType="separate"/>
      </w:r>
      <w:r>
        <w:t>98</w:t>
      </w:r>
      <w:r>
        <w:fldChar w:fldCharType="end"/>
      </w:r>
      <w:r>
        <w:fldChar w:fldCharType="end"/>
      </w:r>
    </w:p>
    <w:p>
      <w:pPr>
        <w:pStyle w:val="20"/>
        <w:tabs>
          <w:tab w:val="right" w:leader="dot" w:pos="8788"/>
        </w:tabs>
        <w:spacing w:line="360" w:lineRule="auto"/>
      </w:pPr>
      <w:r>
        <w:fldChar w:fldCharType="begin"/>
      </w:r>
      <w:r>
        <w:instrText xml:space="preserve"> HYPERLINK \l "_Toc19938" </w:instrText>
      </w:r>
      <w:r>
        <w:fldChar w:fldCharType="separate"/>
      </w:r>
      <w:r>
        <w:rPr>
          <w:rFonts w:hint="eastAsia"/>
        </w:rPr>
        <w:t>三、投标保证金</w:t>
      </w:r>
      <w:r>
        <w:tab/>
      </w:r>
      <w:r>
        <w:fldChar w:fldCharType="begin"/>
      </w:r>
      <w:r>
        <w:instrText xml:space="preserve"> PAGEREF _Toc19938 </w:instrText>
      </w:r>
      <w:r>
        <w:fldChar w:fldCharType="separate"/>
      </w:r>
      <w:r>
        <w:t>100</w:t>
      </w:r>
      <w:r>
        <w:fldChar w:fldCharType="end"/>
      </w:r>
      <w:r>
        <w:fldChar w:fldCharType="end"/>
      </w:r>
    </w:p>
    <w:p>
      <w:pPr>
        <w:pStyle w:val="20"/>
        <w:tabs>
          <w:tab w:val="right" w:leader="dot" w:pos="8788"/>
        </w:tabs>
        <w:spacing w:line="360" w:lineRule="auto"/>
      </w:pPr>
      <w:r>
        <w:fldChar w:fldCharType="begin"/>
      </w:r>
      <w:r>
        <w:instrText xml:space="preserve"> HYPERLINK \l "_Toc29619" </w:instrText>
      </w:r>
      <w:r>
        <w:fldChar w:fldCharType="separate"/>
      </w:r>
      <w:r>
        <w:rPr>
          <w:rFonts w:hint="eastAsia"/>
          <w:szCs w:val="21"/>
        </w:rPr>
        <w:t>四</w:t>
      </w:r>
      <w:r>
        <w:rPr>
          <w:rFonts w:hint="eastAsia"/>
        </w:rPr>
        <w:t>、项目管理机构</w:t>
      </w:r>
      <w:r>
        <w:tab/>
      </w:r>
      <w:r>
        <w:fldChar w:fldCharType="begin"/>
      </w:r>
      <w:r>
        <w:instrText xml:space="preserve"> PAGEREF _Toc29619 </w:instrText>
      </w:r>
      <w:r>
        <w:fldChar w:fldCharType="separate"/>
      </w:r>
      <w:r>
        <w:t>101</w:t>
      </w:r>
      <w:r>
        <w:fldChar w:fldCharType="end"/>
      </w:r>
      <w:r>
        <w:fldChar w:fldCharType="end"/>
      </w:r>
    </w:p>
    <w:p>
      <w:pPr>
        <w:pStyle w:val="20"/>
        <w:tabs>
          <w:tab w:val="right" w:leader="dot" w:pos="8788"/>
        </w:tabs>
        <w:spacing w:line="360" w:lineRule="auto"/>
      </w:pPr>
      <w:r>
        <w:fldChar w:fldCharType="begin"/>
      </w:r>
      <w:r>
        <w:instrText xml:space="preserve"> HYPERLINK \l "_Toc26597" </w:instrText>
      </w:r>
      <w:r>
        <w:fldChar w:fldCharType="separate"/>
      </w:r>
      <w:r>
        <w:rPr>
          <w:rFonts w:hint="eastAsia"/>
        </w:rPr>
        <w:t>五、资格审查资料</w:t>
      </w:r>
      <w:r>
        <w:tab/>
      </w:r>
      <w:r>
        <w:fldChar w:fldCharType="begin"/>
      </w:r>
      <w:r>
        <w:instrText xml:space="preserve"> PAGEREF _Toc26597 </w:instrText>
      </w:r>
      <w:r>
        <w:fldChar w:fldCharType="separate"/>
      </w:r>
      <w:r>
        <w:t>105</w:t>
      </w:r>
      <w:r>
        <w:fldChar w:fldCharType="end"/>
      </w:r>
      <w:r>
        <w:fldChar w:fldCharType="end"/>
      </w:r>
    </w:p>
    <w:p>
      <w:pPr>
        <w:pStyle w:val="20"/>
        <w:tabs>
          <w:tab w:val="right" w:leader="dot" w:pos="8788"/>
        </w:tabs>
        <w:spacing w:line="360" w:lineRule="auto"/>
      </w:pPr>
      <w:r>
        <w:fldChar w:fldCharType="begin"/>
      </w:r>
      <w:r>
        <w:instrText xml:space="preserve"> HYPERLINK \l "_Toc10682" </w:instrText>
      </w:r>
      <w:r>
        <w:fldChar w:fldCharType="separate"/>
      </w:r>
      <w:r>
        <w:rPr>
          <w:rFonts w:hint="eastAsia"/>
        </w:rPr>
        <w:t>六、拟投入本工程监理工作条件一览表</w:t>
      </w:r>
      <w:r>
        <w:tab/>
      </w:r>
      <w:r>
        <w:fldChar w:fldCharType="begin"/>
      </w:r>
      <w:r>
        <w:instrText xml:space="preserve"> PAGEREF _Toc10682 </w:instrText>
      </w:r>
      <w:r>
        <w:fldChar w:fldCharType="separate"/>
      </w:r>
      <w:r>
        <w:t>113</w:t>
      </w:r>
      <w:r>
        <w:fldChar w:fldCharType="end"/>
      </w:r>
      <w:r>
        <w:fldChar w:fldCharType="end"/>
      </w:r>
    </w:p>
    <w:p>
      <w:pPr>
        <w:pStyle w:val="20"/>
        <w:tabs>
          <w:tab w:val="right" w:leader="dot" w:pos="8788"/>
        </w:tabs>
        <w:spacing w:line="360" w:lineRule="auto"/>
      </w:pPr>
      <w:r>
        <w:fldChar w:fldCharType="begin"/>
      </w:r>
      <w:r>
        <w:instrText xml:space="preserve"> HYPERLINK \l "_Toc19980" </w:instrText>
      </w:r>
      <w:r>
        <w:fldChar w:fldCharType="separate"/>
      </w:r>
      <w:r>
        <w:rPr>
          <w:rFonts w:hint="eastAsia"/>
        </w:rPr>
        <w:t>七、不良行为记录</w:t>
      </w:r>
      <w:r>
        <w:tab/>
      </w:r>
      <w:r>
        <w:fldChar w:fldCharType="begin"/>
      </w:r>
      <w:r>
        <w:instrText xml:space="preserve"> PAGEREF _Toc19980 </w:instrText>
      </w:r>
      <w:r>
        <w:fldChar w:fldCharType="separate"/>
      </w:r>
      <w:r>
        <w:t>114</w:t>
      </w:r>
      <w:r>
        <w:fldChar w:fldCharType="end"/>
      </w:r>
      <w:r>
        <w:fldChar w:fldCharType="end"/>
      </w:r>
    </w:p>
    <w:p>
      <w:pPr>
        <w:pStyle w:val="20"/>
        <w:tabs>
          <w:tab w:val="right" w:leader="dot" w:pos="8788"/>
        </w:tabs>
        <w:spacing w:line="360" w:lineRule="auto"/>
      </w:pPr>
      <w:r>
        <w:fldChar w:fldCharType="begin"/>
      </w:r>
      <w:r>
        <w:instrText xml:space="preserve"> HYPERLINK \l "_Toc32425" </w:instrText>
      </w:r>
      <w:r>
        <w:fldChar w:fldCharType="separate"/>
      </w:r>
      <w:r>
        <w:rPr>
          <w:rFonts w:hint="eastAsia"/>
        </w:rPr>
        <w:t>八、信用情况</w:t>
      </w:r>
      <w:r>
        <w:tab/>
      </w:r>
      <w:r>
        <w:fldChar w:fldCharType="begin"/>
      </w:r>
      <w:r>
        <w:instrText xml:space="preserve"> PAGEREF _Toc32425 </w:instrText>
      </w:r>
      <w:r>
        <w:fldChar w:fldCharType="separate"/>
      </w:r>
      <w:r>
        <w:t>114</w:t>
      </w:r>
      <w:r>
        <w:fldChar w:fldCharType="end"/>
      </w:r>
      <w:r>
        <w:fldChar w:fldCharType="end"/>
      </w:r>
    </w:p>
    <w:p>
      <w:pPr>
        <w:pStyle w:val="20"/>
        <w:tabs>
          <w:tab w:val="right" w:leader="dot" w:pos="8788"/>
        </w:tabs>
        <w:spacing w:line="360" w:lineRule="auto"/>
      </w:pPr>
      <w:r>
        <w:fldChar w:fldCharType="begin"/>
      </w:r>
      <w:r>
        <w:instrText xml:space="preserve"> HYPERLINK \l "_Toc4228" </w:instrText>
      </w:r>
      <w:r>
        <w:fldChar w:fldCharType="separate"/>
      </w:r>
      <w:r>
        <w:rPr>
          <w:rFonts w:hint="eastAsia"/>
        </w:rPr>
        <w:t>九、监理大纲</w:t>
      </w:r>
      <w:r>
        <w:tab/>
      </w:r>
      <w:r>
        <w:fldChar w:fldCharType="begin"/>
      </w:r>
      <w:r>
        <w:instrText xml:space="preserve"> PAGEREF _Toc4228 </w:instrText>
      </w:r>
      <w:r>
        <w:fldChar w:fldCharType="separate"/>
      </w:r>
      <w:r>
        <w:t>115</w:t>
      </w:r>
      <w:r>
        <w:fldChar w:fldCharType="end"/>
      </w:r>
      <w:r>
        <w:fldChar w:fldCharType="end"/>
      </w:r>
    </w:p>
    <w:p>
      <w:pPr>
        <w:pStyle w:val="20"/>
        <w:tabs>
          <w:tab w:val="right" w:leader="dot" w:pos="8788"/>
        </w:tabs>
        <w:spacing w:line="360" w:lineRule="auto"/>
      </w:pPr>
      <w:r>
        <w:fldChar w:fldCharType="begin"/>
      </w:r>
      <w:r>
        <w:instrText xml:space="preserve"> HYPERLINK \l "_Toc14988" </w:instrText>
      </w:r>
      <w:r>
        <w:fldChar w:fldCharType="separate"/>
      </w:r>
      <w:r>
        <w:rPr>
          <w:rFonts w:hint="eastAsia"/>
        </w:rPr>
        <w:t>十、其他材料</w:t>
      </w:r>
      <w:r>
        <w:tab/>
      </w:r>
      <w:r>
        <w:fldChar w:fldCharType="begin"/>
      </w:r>
      <w:r>
        <w:instrText xml:space="preserve"> PAGEREF _Toc14988 </w:instrText>
      </w:r>
      <w:r>
        <w:fldChar w:fldCharType="separate"/>
      </w:r>
      <w:r>
        <w:t>116</w:t>
      </w:r>
      <w:r>
        <w:fldChar w:fldCharType="end"/>
      </w:r>
      <w:r>
        <w:fldChar w:fldCharType="end"/>
      </w:r>
    </w:p>
    <w:p>
      <w:pPr>
        <w:pStyle w:val="20"/>
        <w:tabs>
          <w:tab w:val="right" w:leader="dot" w:pos="8788"/>
        </w:tabs>
        <w:spacing w:line="360" w:lineRule="auto"/>
      </w:pPr>
      <w:r>
        <w:fldChar w:fldCharType="begin"/>
      </w:r>
      <w:r>
        <w:instrText xml:space="preserve"> HYPERLINK \l "_Toc32156" </w:instrText>
      </w:r>
      <w:r>
        <w:fldChar w:fldCharType="separate"/>
      </w:r>
      <w:r>
        <w:rPr>
          <w:rFonts w:hint="eastAsia"/>
        </w:rPr>
        <w:t>十一、投标人递交资料原件清单</w:t>
      </w:r>
      <w:r>
        <w:tab/>
      </w:r>
      <w:r>
        <w:fldChar w:fldCharType="begin"/>
      </w:r>
      <w:r>
        <w:instrText xml:space="preserve"> PAGEREF _Toc32156 </w:instrText>
      </w:r>
      <w:r>
        <w:fldChar w:fldCharType="separate"/>
      </w:r>
      <w:r>
        <w:t>117</w:t>
      </w:r>
      <w:r>
        <w:fldChar w:fldCharType="end"/>
      </w:r>
      <w:r>
        <w:fldChar w:fldCharType="end"/>
      </w:r>
    </w:p>
    <w:p>
      <w:pPr>
        <w:pStyle w:val="9"/>
        <w:spacing w:line="360" w:lineRule="auto"/>
      </w:pPr>
      <w:r>
        <w:fldChar w:fldCharType="end"/>
      </w:r>
    </w:p>
    <w:p>
      <w:pPr>
        <w:pStyle w:val="9"/>
      </w:pPr>
    </w:p>
    <w:p>
      <w:pPr>
        <w:pStyle w:val="9"/>
      </w:pPr>
    </w:p>
    <w:p>
      <w:pPr>
        <w:pStyle w:val="9"/>
      </w:pPr>
    </w:p>
    <w:p>
      <w:pPr>
        <w:pStyle w:val="9"/>
      </w:pPr>
    </w:p>
    <w:p>
      <w:pPr>
        <w:pStyle w:val="9"/>
      </w:pPr>
    </w:p>
    <w:p>
      <w:pPr>
        <w:pStyle w:val="9"/>
      </w:pPr>
    </w:p>
    <w:p>
      <w:pPr>
        <w:pStyle w:val="3"/>
      </w:pPr>
      <w:bookmarkStart w:id="0" w:name="_Toc18285"/>
      <w:r>
        <w:rPr>
          <w:rFonts w:hint="eastAsia"/>
        </w:rPr>
        <w:t>第一章 招标公告</w:t>
      </w:r>
      <w:bookmarkEnd w:id="0"/>
    </w:p>
    <w:p>
      <w:pPr>
        <w:widowControl/>
        <w:spacing w:line="312" w:lineRule="auto"/>
        <w:jc w:val="left"/>
        <w:rPr>
          <w:rFonts w:cs="宋体" w:asciiTheme="minorEastAsia" w:hAnsiTheme="minorEastAsia" w:eastAsiaTheme="minorEastAsia"/>
          <w:b/>
          <w:bCs/>
          <w:sz w:val="24"/>
        </w:rPr>
      </w:pPr>
      <w:bookmarkStart w:id="1" w:name="_Toc27003"/>
      <w:r>
        <w:rPr>
          <w:rFonts w:hint="eastAsia" w:cs="宋体" w:asciiTheme="minorEastAsia" w:hAnsiTheme="minorEastAsia" w:eastAsiaTheme="minorEastAsia"/>
          <w:b/>
          <w:bCs/>
          <w:sz w:val="24"/>
        </w:rPr>
        <w:t>1．招标条件</w:t>
      </w:r>
      <w:bookmarkEnd w:id="1"/>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本招标项目名称为</w:t>
      </w:r>
      <w:r>
        <w:rPr>
          <w:rFonts w:hint="eastAsia" w:cs="宋体" w:asciiTheme="minorEastAsia" w:hAnsiTheme="minorEastAsia" w:eastAsiaTheme="minorEastAsia"/>
          <w:sz w:val="24"/>
          <w:u w:val="single"/>
        </w:rPr>
        <w:t xml:space="preserve"> 郑州机场至许昌市域铁路工程许昌段建设项目(施工总承包)监理</w:t>
      </w:r>
      <w:r>
        <w:rPr>
          <w:rFonts w:hint="eastAsia" w:cs="宋体" w:asciiTheme="minorEastAsia" w:hAnsiTheme="minorEastAsia" w:eastAsiaTheme="minorEastAsia"/>
          <w:sz w:val="24"/>
        </w:rPr>
        <w:t>，项目业主为</w:t>
      </w:r>
      <w:r>
        <w:rPr>
          <w:rFonts w:hint="eastAsia" w:cs="宋体" w:asciiTheme="minorEastAsia" w:hAnsiTheme="minorEastAsia" w:eastAsiaTheme="minorEastAsia"/>
          <w:sz w:val="24"/>
          <w:u w:val="single"/>
        </w:rPr>
        <w:t>许昌市建设投资有限责任公司</w:t>
      </w:r>
      <w:r>
        <w:rPr>
          <w:rFonts w:hint="eastAsia" w:cs="宋体" w:asciiTheme="minorEastAsia" w:hAnsiTheme="minorEastAsia" w:eastAsiaTheme="minorEastAsia"/>
          <w:sz w:val="24"/>
        </w:rPr>
        <w:t>，建设资金为</w:t>
      </w:r>
      <w:r>
        <w:rPr>
          <w:rFonts w:hint="eastAsia" w:cs="宋体" w:asciiTheme="minorEastAsia" w:hAnsiTheme="minorEastAsia" w:eastAsiaTheme="minorEastAsia"/>
          <w:sz w:val="24"/>
          <w:u w:val="single"/>
        </w:rPr>
        <w:t xml:space="preserve"> 自筹资金</w:t>
      </w:r>
      <w:r>
        <w:rPr>
          <w:rFonts w:hint="eastAsia" w:cs="宋体" w:asciiTheme="minorEastAsia" w:hAnsiTheme="minorEastAsia" w:eastAsiaTheme="minorEastAsia"/>
          <w:sz w:val="24"/>
        </w:rPr>
        <w:t xml:space="preserve">，资金来源已确定。项目已具备招标条件，现对该项目进行公开招标。 </w:t>
      </w:r>
    </w:p>
    <w:p>
      <w:pPr>
        <w:widowControl/>
        <w:spacing w:line="312" w:lineRule="auto"/>
        <w:jc w:val="left"/>
        <w:rPr>
          <w:rFonts w:cs="宋体" w:asciiTheme="minorEastAsia" w:hAnsiTheme="minorEastAsia" w:eastAsiaTheme="minorEastAsia"/>
          <w:b/>
          <w:bCs/>
          <w:sz w:val="24"/>
        </w:rPr>
      </w:pPr>
      <w:bookmarkStart w:id="2" w:name="_Toc8532"/>
      <w:r>
        <w:rPr>
          <w:rFonts w:hint="eastAsia" w:cs="宋体" w:asciiTheme="minorEastAsia" w:hAnsiTheme="minorEastAsia" w:eastAsiaTheme="minorEastAsia"/>
          <w:b/>
          <w:bCs/>
          <w:sz w:val="24"/>
        </w:rPr>
        <w:t>2．项目概况与招标范围</w:t>
      </w:r>
      <w:bookmarkEnd w:id="2"/>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2.1项目编号：XCGC-F2017257</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2.2建设地点：许昌市。</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项目概况：郑州机场至许昌市域铁路是中原城市群城际轨道交通网的骨干线路，线路衔接郑州机场、郑州航空港区、长葛、许昌，贯穿中原城市群郑州-许昌产业带的核心区域，郑州机场至许昌市域铁路工程根据行政边界范围，分郑州段和许昌段两段分别进行建设。本次招标范围为许昌段；郑州机场至许昌市域铁路（许昌段）北起郑州、许昌市界经华夏幸福城站，南至许昌东站，线路全长33.78km。设站11座，其中高架站9座，地下站2站，平均站间距约3.6km，设梅庄停车场1座，在颍川大道站、永兴东路站附近设主变2座。本段线路初、近期采用B型车4辆编组，远期采用B型车6辆编组，设计时速为120KM/h，本项目概算投资额约98.79亿元。</w:t>
      </w:r>
    </w:p>
    <w:p>
      <w:pPr>
        <w:widowControl/>
        <w:spacing w:line="312"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2.4标段划分：本项目监理共划分为三个标段：每个投标人可对三个标段作出投标申请，但最多只能中一个标段。</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第一标段：包含6站6区间及1座主变，6站分别为：许昌东站、永昌大道站、永兴东路站、昌盛路站、新元大道站、农大路站；6区间分别为：许昌东站～永昌大道站区间（含盾构区间）、永昌大道站～永兴东路站区间（含高架、U型槽、明挖及盾构区间）、永兴东路站～昌盛路站区间、昌盛路站～新元大道站区间、新元大道站～农大路站区间、农大路站～北苑大道站区间；1座主变为：永兴东路主变；投资额约为21.9亿元；</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第二标段：包含5站5区间、1个停车场和1座主变，5站分别为：北苑大道站、葛天大道站、颍川大道站、大周西站、华夏幸福城站；5区间分别为：北苑大道站～葛天大道站区间、葛天大道站～颖川大道站区间、颖川大道站～大周西站区间、大周西站～华夏幸福城站区间、华夏幸福城站～郑州、许昌市界区间；1个停车场为：梅庄停车场（含停车场出入场线)；1座主变为：颍川大道主变，投资额约为24.61亿元；</w:t>
      </w:r>
    </w:p>
    <w:p>
      <w:pPr>
        <w:spacing w:line="312"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第三标段：郑州机场至许昌市域铁路工程许昌段建设项目</w:t>
      </w:r>
      <w:r>
        <w:rPr>
          <w:rFonts w:hint="eastAsia" w:asciiTheme="minorEastAsia" w:hAnsiTheme="minorEastAsia" w:eastAsiaTheme="minorEastAsia"/>
          <w:sz w:val="24"/>
        </w:rPr>
        <w:t>工程“四电”</w:t>
      </w:r>
      <w:r>
        <w:rPr>
          <w:rFonts w:hint="eastAsia" w:cs="宋体" w:asciiTheme="minorEastAsia" w:hAnsiTheme="minorEastAsia" w:eastAsiaTheme="minorEastAsia"/>
          <w:sz w:val="24"/>
        </w:rPr>
        <w:t>（</w:t>
      </w:r>
      <w:r>
        <w:rPr>
          <w:rFonts w:hint="eastAsia" w:cs="宋体" w:asciiTheme="minorEastAsia" w:hAnsiTheme="minorEastAsia" w:eastAsiaTheme="minorEastAsia"/>
          <w:b/>
          <w:bCs/>
          <w:sz w:val="24"/>
        </w:rPr>
        <w:t>通信系统、信号系统、牵引供电系统、电力供电系统，下同</w:t>
      </w:r>
      <w:r>
        <w:rPr>
          <w:rFonts w:hint="eastAsia" w:cs="宋体" w:asciiTheme="minorEastAsia" w:hAnsiTheme="minorEastAsia" w:eastAsiaTheme="minorEastAsia"/>
          <w:sz w:val="24"/>
        </w:rPr>
        <w:t>）</w:t>
      </w:r>
      <w:r>
        <w:rPr>
          <w:rFonts w:hint="eastAsia" w:asciiTheme="minorEastAsia" w:hAnsiTheme="minorEastAsia" w:eastAsiaTheme="minorEastAsia"/>
          <w:sz w:val="24"/>
        </w:rPr>
        <w:t>等系统施工安装及相关系统供货商实施的全部工作的监理服务，</w:t>
      </w:r>
      <w:r>
        <w:rPr>
          <w:rFonts w:hint="eastAsia" w:cs="宋体" w:asciiTheme="minorEastAsia" w:hAnsiTheme="minorEastAsia" w:eastAsiaTheme="minorEastAsia"/>
          <w:sz w:val="24"/>
        </w:rPr>
        <w:t>投资额约为19.95亿元</w:t>
      </w:r>
      <w:r>
        <w:rPr>
          <w:rFonts w:hint="eastAsia" w:asciiTheme="minorEastAsia" w:hAnsiTheme="minorEastAsia" w:eastAsiaTheme="minorEastAsia"/>
          <w:sz w:val="24"/>
        </w:rPr>
        <w:t>。</w:t>
      </w:r>
    </w:p>
    <w:p>
      <w:pPr>
        <w:pStyle w:val="9"/>
        <w:spacing w:after="0"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2.5招标范围：</w:t>
      </w:r>
    </w:p>
    <w:p>
      <w:pPr>
        <w:pStyle w:val="9"/>
        <w:spacing w:after="0"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第一标段：对应标段范围内的土建工程、轨道工程、人防工程、建筑装饰工程、部分系统设备采购及安装工程、车站范围内的动力和照明、通风空调、给排水及消防工程、导向系统、附属设施、车站附属设施（标志导向、路引系统）站前广场及停车场、车站绿化工程等与本工程相关的监理；</w:t>
      </w:r>
    </w:p>
    <w:p>
      <w:pPr>
        <w:pStyle w:val="9"/>
        <w:spacing w:after="0"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第二标段：对应标段范围内的土建工程、轨道工程、人防工程、建筑装饰工程、部分系统设备采购及安装工程、车站范围内的动力和照明、通风空调、给排水及消防工程、导向系统、附属设施、车站附属设施（标志导向、路引系统）站前广场及停车场、车站绿化工程等与本工程相关的监理；</w:t>
      </w:r>
    </w:p>
    <w:p>
      <w:pPr>
        <w:pStyle w:val="9"/>
        <w:spacing w:after="0"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第三标段：对应标段范围内的“四电”等系统施工安装及相关系统供货商实施的全部工作的监理服务，主要包括全线通信系统、信号系统、牵引供电系统、电力供电系统、主变电所及外部电源引入、接触网、动力照明及综合监控系统、防灾报警、环境与设备监控系统、安防与门禁系统、气体灭火系统、自动售检票系统、停车场设备、电扶梯系统、站台门系统、广告灯箱设备材料供货、检验、施工安装、调试、系统试运行等与本工程相关的监理。</w:t>
      </w:r>
    </w:p>
    <w:p>
      <w:pPr>
        <w:spacing w:line="312" w:lineRule="auto"/>
        <w:ind w:firstLine="523" w:firstLineChars="218"/>
        <w:rPr>
          <w:rFonts w:cs="宋体" w:asciiTheme="minorEastAsia" w:hAnsiTheme="minorEastAsia" w:eastAsiaTheme="minorEastAsia"/>
          <w:sz w:val="24"/>
        </w:rPr>
      </w:pPr>
      <w:r>
        <w:rPr>
          <w:rFonts w:hint="eastAsia" w:cs="宋体" w:asciiTheme="minorEastAsia" w:hAnsiTheme="minorEastAsia" w:eastAsiaTheme="minorEastAsia"/>
          <w:sz w:val="24"/>
        </w:rPr>
        <w:t>2.6监理服务期限：</w:t>
      </w:r>
      <w:r>
        <w:rPr>
          <w:rFonts w:hint="eastAsia" w:cs="宋体" w:asciiTheme="minorEastAsia" w:hAnsiTheme="minorEastAsia" w:eastAsiaTheme="minorEastAsia"/>
          <w:bCs/>
          <w:sz w:val="24"/>
        </w:rPr>
        <w:t>本工程的施工准备阶段、施工阶段及缺陷责任期结束且通过验收、移交及保修期内的全部监理服务。计划工期暂定38个月，缺陷责任期24个月。开始时间以招标人发出的进场通知书为准。</w:t>
      </w:r>
    </w:p>
    <w:p>
      <w:pPr>
        <w:widowControl/>
        <w:spacing w:line="312" w:lineRule="auto"/>
        <w:jc w:val="left"/>
        <w:rPr>
          <w:rFonts w:cs="宋体" w:asciiTheme="minorEastAsia" w:hAnsiTheme="minorEastAsia" w:eastAsiaTheme="minorEastAsia"/>
          <w:b/>
          <w:bCs/>
          <w:sz w:val="24"/>
        </w:rPr>
      </w:pPr>
      <w:bookmarkStart w:id="3" w:name="_Toc18655"/>
      <w:r>
        <w:rPr>
          <w:rFonts w:hint="eastAsia" w:cs="宋体" w:asciiTheme="minorEastAsia" w:hAnsiTheme="minorEastAsia" w:eastAsiaTheme="minorEastAsia"/>
          <w:b/>
          <w:bCs/>
          <w:sz w:val="24"/>
        </w:rPr>
        <w:t>3．投标人资格要求</w:t>
      </w:r>
      <w:bookmarkEnd w:id="3"/>
    </w:p>
    <w:p>
      <w:pPr>
        <w:spacing w:line="312"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3.1投标人应是在中华人民共和国境内注册的企业法人，且具有有效的企业法人营业执照。</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color w:val="000000"/>
          <w:sz w:val="24"/>
        </w:rPr>
        <w:t>3.2投标人须具备住</w:t>
      </w:r>
      <w:r>
        <w:rPr>
          <w:rFonts w:hint="eastAsia" w:cs="宋体" w:asciiTheme="minorEastAsia" w:hAnsiTheme="minorEastAsia" w:eastAsiaTheme="minorEastAsia"/>
          <w:sz w:val="24"/>
        </w:rPr>
        <w:t>房城乡建设主管部门颁发的工程监理综合资质</w:t>
      </w:r>
      <w:r>
        <w:rPr>
          <w:rStyle w:val="27"/>
          <w:rFonts w:hint="eastAsia" w:cs="宋体" w:asciiTheme="minorEastAsia" w:hAnsiTheme="minorEastAsia" w:eastAsiaTheme="minorEastAsia"/>
          <w:sz w:val="24"/>
          <w:szCs w:val="24"/>
        </w:rPr>
        <w:t>或</w:t>
      </w:r>
      <w:r>
        <w:rPr>
          <w:rFonts w:hint="eastAsia" w:cs="宋体" w:asciiTheme="minorEastAsia" w:hAnsiTheme="minorEastAsia" w:eastAsiaTheme="minorEastAsia"/>
          <w:bCs/>
          <w:kern w:val="0"/>
          <w:sz w:val="24"/>
        </w:rPr>
        <w:t>铁路工程监理甲级资质或市政公用工程监理甲级资质，且证书合法有效，资质许可的业务范围应满足本工程的需要。</w:t>
      </w:r>
    </w:p>
    <w:p>
      <w:pPr>
        <w:pStyle w:val="22"/>
        <w:widowControl w:val="0"/>
        <w:tabs>
          <w:tab w:val="left" w:pos="720"/>
          <w:tab w:val="left" w:pos="737"/>
          <w:tab w:val="left" w:pos="1135"/>
        </w:tabs>
        <w:autoSpaceDE w:val="0"/>
        <w:autoSpaceDN w:val="0"/>
        <w:adjustRightInd w:val="0"/>
        <w:spacing w:before="0" w:beforeAutospacing="0" w:after="0" w:afterAutospacing="0" w:line="312"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3.3</w:t>
      </w:r>
      <w:r>
        <w:rPr>
          <w:rFonts w:hint="eastAsia" w:cs="宋体" w:asciiTheme="minorEastAsia" w:hAnsiTheme="minorEastAsia" w:eastAsiaTheme="minorEastAsia"/>
          <w:bCs/>
        </w:rPr>
        <w:t>投标人拟派</w:t>
      </w:r>
      <w:r>
        <w:rPr>
          <w:rFonts w:hint="eastAsia" w:cs="宋体" w:asciiTheme="minorEastAsia" w:hAnsiTheme="minorEastAsia" w:eastAsiaTheme="minorEastAsia"/>
        </w:rPr>
        <w:t>项目总监理工程师资格：</w:t>
      </w:r>
    </w:p>
    <w:p>
      <w:pPr>
        <w:pStyle w:val="22"/>
        <w:widowControl w:val="0"/>
        <w:tabs>
          <w:tab w:val="left" w:pos="720"/>
          <w:tab w:val="left" w:pos="737"/>
          <w:tab w:val="left" w:pos="1135"/>
        </w:tabs>
        <w:autoSpaceDE w:val="0"/>
        <w:autoSpaceDN w:val="0"/>
        <w:adjustRightInd w:val="0"/>
        <w:spacing w:before="0" w:beforeAutospacing="0" w:after="0" w:afterAutospacing="0" w:line="312"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3.3.1投标人拟投第一、二标段的：投标人拟派项目总监理工程师须具备注册于投标人本单位的铁路工程或市政公用工程专业注册监理工程师资格，具有相关专业高级技术职称，至少担任过一项类似项目的总监理工程师职务，为投标人在职正式员工，与投标人单位签订了劳动合同，自投标文件递交截止时间之前，投标人已为其缴纳连续6个月及以上的养老保险，不得担任其他在建建设工程项目的总监理工程师；</w:t>
      </w:r>
    </w:p>
    <w:p>
      <w:pPr>
        <w:pStyle w:val="22"/>
        <w:widowControl w:val="0"/>
        <w:tabs>
          <w:tab w:val="left" w:pos="720"/>
          <w:tab w:val="left" w:pos="737"/>
          <w:tab w:val="left" w:pos="1135"/>
        </w:tabs>
        <w:autoSpaceDE w:val="0"/>
        <w:autoSpaceDN w:val="0"/>
        <w:adjustRightInd w:val="0"/>
        <w:spacing w:before="0" w:beforeAutospacing="0" w:after="0" w:afterAutospacing="0" w:line="312"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3.3.2投标人拟投第三标段的：投标人拟派项目总监理工程师须具备注册于投标人本单位的铁路工程或机电安装工程专业注册监理工程师资格，具有相关专业高级技术职称</w:t>
      </w:r>
      <w:r>
        <w:rPr>
          <w:rFonts w:hint="eastAsia" w:cs="宋体" w:asciiTheme="minorEastAsia" w:hAnsiTheme="minorEastAsia" w:eastAsiaTheme="minorEastAsia"/>
          <w:color w:val="000000"/>
        </w:rPr>
        <w:t>，至少担任过一项类似项目的总监理工程师职务，为投标人在职正式员工，与投标人单位签订了劳动合同，自投标文件递交截止时间之前，投标人已为其缴纳连续6个月及以上的养老保险，不得担任其他在建建设工程项目的总监理工程师。</w:t>
      </w:r>
    </w:p>
    <w:p>
      <w:pPr>
        <w:spacing w:line="312"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3.4业绩要求：</w:t>
      </w:r>
      <w:r>
        <w:rPr>
          <w:rFonts w:hint="eastAsia" w:cs="宋体" w:asciiTheme="minorEastAsia" w:hAnsiTheme="minorEastAsia" w:eastAsiaTheme="minorEastAsia"/>
          <w:sz w:val="24"/>
        </w:rPr>
        <w:t>投标人自2012年1月1日至今至少具有一项中华人民共和国境内合同金额1000万元人民币及以上类似项目监理业绩（不含联合体和分包合同）。</w:t>
      </w:r>
    </w:p>
    <w:p>
      <w:pPr>
        <w:spacing w:line="312" w:lineRule="auto"/>
        <w:ind w:firstLine="480" w:firstLineChars="200"/>
      </w:pPr>
      <w:r>
        <w:rPr>
          <w:rFonts w:hint="eastAsia" w:cs="宋体" w:asciiTheme="minorEastAsia" w:hAnsiTheme="minorEastAsia" w:eastAsiaTheme="minorEastAsia"/>
          <w:sz w:val="24"/>
        </w:rPr>
        <w:t>3.5单位负责人为同一人或者存在控股、管理关系的不同单位，不得同时参加同一标段投标，否则相关投标均无效。</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3.6信誉要求：投标人没有处于破产、被责令停产、停业、投标资格被限制状态。</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信用要求：根据执行《关于在招标投标活动中对失信被执行人实施联合惩戒的通知》法（2016）285号文件的规定，投标人在“信用中国”网站（www.creditchina.gov.cn）上，没有被列为“失信被执行人”、“重大税收违法案件当事人名单”、 “政府采购严重违法失信名单”。</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3.8财务要求：企业近三年财务状况良好，连续三年盈利，审计报告中无否定意见或无法表示意见，提供2014、2015、2016年度经会计师事务所审计后的财务报告。</w:t>
      </w:r>
    </w:p>
    <w:p>
      <w:pPr>
        <w:pStyle w:val="9"/>
        <w:spacing w:after="0"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3.9本次招标不接受联合体投标。</w:t>
      </w:r>
    </w:p>
    <w:p>
      <w:pPr>
        <w:pStyle w:val="9"/>
        <w:spacing w:after="0" w:line="312" w:lineRule="auto"/>
        <w:ind w:firstLine="480" w:firstLineChars="200"/>
        <w:rPr>
          <w:rFonts w:cs="宋体" w:asciiTheme="minorEastAsia" w:hAnsiTheme="minorEastAsia" w:eastAsiaTheme="minorEastAsia"/>
          <w:b/>
          <w:bCs/>
          <w:sz w:val="24"/>
        </w:rPr>
      </w:pPr>
      <w:r>
        <w:rPr>
          <w:rFonts w:hint="eastAsia" w:cs="宋体" w:asciiTheme="minorEastAsia" w:hAnsiTheme="minorEastAsia" w:eastAsiaTheme="minorEastAsia"/>
          <w:sz w:val="24"/>
        </w:rPr>
        <w:t>注：</w:t>
      </w:r>
      <w:r>
        <w:rPr>
          <w:rFonts w:hint="eastAsia" w:cs="宋体" w:asciiTheme="minorEastAsia" w:hAnsiTheme="minorEastAsia" w:eastAsiaTheme="minorEastAsia"/>
          <w:b/>
          <w:bCs/>
          <w:sz w:val="24"/>
        </w:rPr>
        <w:t>1）本招标项目第一标段类似项目指自2012年01月01日至投标截止时间前（以合同签订时间为准），依法招标的合同包含高架站、地下车站、盾构工法、明挖区间及高架区间的城市轨道交通工程或铁路工程土建施工监理项目，高架站、地下车站、盾构工法、明挖区间及高架区间不在同一个合同项下的可以累加，但一个合同只能累加一次；</w:t>
      </w:r>
    </w:p>
    <w:p>
      <w:pPr>
        <w:pStyle w:val="9"/>
        <w:spacing w:after="0" w:line="312"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2）本招标项目第二标段类似项目指自2012年01月01日至投标截止时间前（以合同签订时间为准），依法招标的合同包含高架站、高架区间及停车场的城市轨道交通工程或铁路工程土建施工监理项目，高架站、高架区间及停车场不在同一个合同项下的可以累加，但一个合同只能累加一次；</w:t>
      </w:r>
    </w:p>
    <w:p>
      <w:pPr>
        <w:pStyle w:val="9"/>
        <w:spacing w:after="0" w:line="312"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3）本招标项目第三标段类似项目指自2012年01月01日至投标截止时间前（以合同签订时间为准），依法招标的合同包含</w:t>
      </w:r>
      <w:r>
        <w:rPr>
          <w:rFonts w:hint="eastAsia" w:cs="宋体" w:asciiTheme="minorEastAsia" w:hAnsiTheme="minorEastAsia" w:eastAsiaTheme="minorEastAsia"/>
          <w:b/>
          <w:bCs/>
          <w:sz w:val="24"/>
        </w:rPr>
        <w:t>“四电”系统的城市轨道交通工程或铁路工程施工监理项目，“四电”系统不在同一个合同项下</w:t>
      </w:r>
      <w:r>
        <w:rPr>
          <w:rFonts w:hint="eastAsia" w:cs="宋体" w:asciiTheme="minorEastAsia" w:hAnsiTheme="minorEastAsia" w:eastAsiaTheme="minorEastAsia"/>
          <w:b/>
          <w:sz w:val="24"/>
        </w:rPr>
        <w:t>的可以累加，但一个合同只能累加一次。</w:t>
      </w:r>
    </w:p>
    <w:p>
      <w:pPr>
        <w:spacing w:line="312" w:lineRule="auto"/>
        <w:rPr>
          <w:rFonts w:cs="宋体" w:asciiTheme="minorEastAsia" w:hAnsiTheme="minorEastAsia" w:eastAsiaTheme="minorEastAsia"/>
          <w:b/>
          <w:bCs/>
          <w:sz w:val="24"/>
        </w:rPr>
      </w:pPr>
      <w:bookmarkStart w:id="4" w:name="_Toc12968"/>
      <w:r>
        <w:rPr>
          <w:rFonts w:hint="eastAsia" w:cs="宋体" w:asciiTheme="minorEastAsia" w:hAnsiTheme="minorEastAsia" w:eastAsiaTheme="minorEastAsia"/>
          <w:b/>
          <w:bCs/>
          <w:sz w:val="24"/>
        </w:rPr>
        <w:t>4.</w:t>
      </w:r>
      <w:bookmarkStart w:id="5" w:name="_Toc16386"/>
      <w:r>
        <w:rPr>
          <w:rFonts w:hint="eastAsia" w:cs="宋体" w:asciiTheme="minorEastAsia" w:hAnsiTheme="minorEastAsia" w:eastAsiaTheme="minorEastAsia"/>
          <w:b/>
          <w:bCs/>
          <w:sz w:val="24"/>
        </w:rPr>
        <w:t>网上下载招标文件</w:t>
      </w:r>
      <w:bookmarkEnd w:id="4"/>
    </w:p>
    <w:p>
      <w:pPr>
        <w:kinsoku w:val="0"/>
        <w:spacing w:line="312" w:lineRule="auto"/>
        <w:ind w:right="-252" w:rightChars="-120"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一）持CA数字认证证书，登录【全国公共资源交易平台（河南省·许昌市）】“系统用户注册”入口（http://221.14.6.70:8088/ggzy/eps/public/RegistAllJcxx.html）进行免费注册登记（详见“常见问题解答-诚信库网上注册相关资料下载”）。</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（二）在投标截止时间前登录【全国公共资源交易平台（河南省·许昌市）】“投标人/供应商登录”入口（http://221.14.6.70:8088/ggzy/）自行下载招标文件（详见“常见问题解答-交易系统操作手册”）。</w:t>
      </w:r>
    </w:p>
    <w:bookmarkEnd w:id="5"/>
    <w:p>
      <w:pPr>
        <w:spacing w:line="312" w:lineRule="auto"/>
        <w:ind w:firstLine="480" w:firstLineChars="200"/>
        <w:rPr>
          <w:rFonts w:cs="宋体" w:asciiTheme="minorEastAsia" w:hAnsiTheme="minorEastAsia" w:eastAsiaTheme="minorEastAsia"/>
          <w:sz w:val="24"/>
        </w:rPr>
      </w:pPr>
      <w:bookmarkStart w:id="6" w:name="_Toc4255"/>
      <w:bookmarkStart w:id="7" w:name="_Toc21181"/>
      <w:r>
        <w:rPr>
          <w:rFonts w:hint="eastAsia" w:cs="宋体" w:asciiTheme="minorEastAsia" w:hAnsiTheme="minorEastAsia" w:eastAsiaTheme="minorEastAsia"/>
          <w:sz w:val="24"/>
        </w:rPr>
        <w:t>（三）投标人在递交纸质投标文件时向代理公司缴纳招标文件费用，本项目招标文件费用为3</w:t>
      </w:r>
      <w:r>
        <w:rPr>
          <w:rFonts w:cs="宋体" w:asciiTheme="minorEastAsia" w:hAnsiTheme="minorEastAsia" w:eastAsiaTheme="minorEastAsia"/>
          <w:sz w:val="24"/>
        </w:rPr>
        <w:t>00元/套</w:t>
      </w:r>
      <w:r>
        <w:rPr>
          <w:rFonts w:hint="eastAsia" w:cs="宋体" w:asciiTheme="minorEastAsia" w:hAnsiTheme="minorEastAsia" w:eastAsiaTheme="minorEastAsia"/>
          <w:sz w:val="24"/>
        </w:rPr>
        <w:t>，售后不退。</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（四）未通过《全国公共资源交易平台(河南省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)》下载招标文件的投标人，其投标文件将拒收。</w:t>
      </w:r>
    </w:p>
    <w:p>
      <w:pPr>
        <w:spacing w:line="312" w:lineRule="auto"/>
        <w:rPr>
          <w:rFonts w:cs="宋体" w:asciiTheme="minorEastAsia" w:hAnsiTheme="minorEastAsia" w:eastAsiaTheme="minorEastAsia"/>
          <w:b/>
          <w:bCs/>
          <w:sz w:val="24"/>
        </w:rPr>
      </w:pPr>
      <w:bookmarkStart w:id="8" w:name="_Toc11010"/>
      <w:r>
        <w:rPr>
          <w:rFonts w:hint="eastAsia" w:cs="宋体" w:asciiTheme="minorEastAsia" w:hAnsiTheme="minorEastAsia" w:eastAsiaTheme="minorEastAsia"/>
          <w:b/>
          <w:bCs/>
          <w:sz w:val="24"/>
        </w:rPr>
        <w:t>5．投标文件的递交</w:t>
      </w:r>
      <w:bookmarkEnd w:id="6"/>
      <w:bookmarkEnd w:id="7"/>
      <w:bookmarkEnd w:id="8"/>
    </w:p>
    <w:p>
      <w:pPr>
        <w:spacing w:line="312" w:lineRule="auto"/>
        <w:ind w:firstLine="480" w:firstLineChars="200"/>
        <w:rPr>
          <w:rFonts w:cs="宋体" w:asciiTheme="minorEastAsia" w:hAnsiTheme="minorEastAsia" w:eastAsiaTheme="minorEastAsia"/>
          <w:sz w:val="24"/>
        </w:rPr>
      </w:pPr>
      <w:bookmarkStart w:id="9" w:name="_Toc16889"/>
      <w:bookmarkStart w:id="10" w:name="_Toc11662"/>
      <w:r>
        <w:rPr>
          <w:rFonts w:hint="eastAsia" w:cs="宋体" w:asciiTheme="minorEastAsia" w:hAnsiTheme="minorEastAsia" w:eastAsiaTheme="minorEastAsia"/>
          <w:sz w:val="24"/>
        </w:rPr>
        <w:t>（一）投标文件递交的截止时间及开标时间：2018年01月03日09时30分。</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（二）投标文件递交地点：许昌市公共资源交易中心（许昌市龙兴路竹林路交汇处公共资源大厦三楼）第一开标室。</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（三）逾期送达的或者未送达指定地点的投标文件，招标人不予受理。</w:t>
      </w:r>
    </w:p>
    <w:p>
      <w:pPr>
        <w:spacing w:line="312" w:lineRule="auto"/>
        <w:rPr>
          <w:rFonts w:cs="宋体" w:asciiTheme="minorEastAsia" w:hAnsiTheme="minorEastAsia" w:eastAsiaTheme="minorEastAsia"/>
          <w:b/>
          <w:bCs/>
          <w:sz w:val="24"/>
        </w:rPr>
      </w:pPr>
      <w:bookmarkStart w:id="11" w:name="_Toc23556"/>
      <w:r>
        <w:rPr>
          <w:rFonts w:hint="eastAsia" w:cs="宋体" w:asciiTheme="minorEastAsia" w:hAnsiTheme="minorEastAsia" w:eastAsiaTheme="minorEastAsia"/>
          <w:b/>
          <w:bCs/>
          <w:sz w:val="24"/>
        </w:rPr>
        <w:t>6．发布公告的媒介</w:t>
      </w:r>
      <w:bookmarkEnd w:id="9"/>
      <w:bookmarkEnd w:id="10"/>
      <w:bookmarkEnd w:id="11"/>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本公告同时在《中国采购与招标网》、《河南招标采购综合网》、</w:t>
      </w:r>
      <w:bookmarkStart w:id="12" w:name="_Toc1481"/>
      <w:bookmarkStart w:id="13" w:name="_Toc23152"/>
      <w:r>
        <w:rPr>
          <w:rFonts w:hint="eastAsia" w:cs="宋体" w:asciiTheme="minorEastAsia" w:hAnsiTheme="minorEastAsia" w:eastAsiaTheme="minorEastAsia"/>
          <w:sz w:val="24"/>
        </w:rPr>
        <w:t>《全国公共资源交易平台(河南省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)》上发布。</w:t>
      </w:r>
    </w:p>
    <w:p>
      <w:pPr>
        <w:spacing w:line="312" w:lineRule="auto"/>
        <w:rPr>
          <w:rFonts w:cs="宋体" w:asciiTheme="minorEastAsia" w:hAnsiTheme="minorEastAsia" w:eastAsiaTheme="minorEastAsia"/>
          <w:b/>
          <w:bCs/>
          <w:sz w:val="24"/>
        </w:rPr>
      </w:pPr>
      <w:bookmarkStart w:id="14" w:name="_Toc2363"/>
      <w:r>
        <w:rPr>
          <w:rFonts w:hint="eastAsia" w:cs="宋体" w:asciiTheme="minorEastAsia" w:hAnsiTheme="minorEastAsia" w:eastAsiaTheme="minorEastAsia"/>
          <w:b/>
          <w:bCs/>
          <w:sz w:val="24"/>
        </w:rPr>
        <w:t>7．联系方式</w:t>
      </w:r>
      <w:bookmarkEnd w:id="12"/>
      <w:bookmarkEnd w:id="13"/>
      <w:bookmarkEnd w:id="14"/>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招标人：许昌市建设投资有限责任公司</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地  址：许昌市魏文路与龙兴路交叉口创业服务中心A座19楼</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联系人：刘先生 常先生 </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电  话：0374-2699366 </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招标代理机构：瑞和安惠项目管理集团有限公司                 </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地    址：郑州市金水区金水东路与东风南路交叉口绿地原盛国际1号楼A座12B层</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项目负责人：郭女士</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联 系 人：郑女士  步女士  刘先生</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电    话：0371-55001511  55001513  55001515</w:t>
      </w:r>
    </w:p>
    <w:p>
      <w:pPr>
        <w:spacing w:line="312" w:lineRule="auto"/>
        <w:ind w:firstLine="480" w:firstLineChars="200"/>
        <w:rPr>
          <w:rFonts w:cs="宋体" w:asciiTheme="minorEastAsia" w:hAnsiTheme="minorEastAsia" w:eastAsiaTheme="minorEastAsia"/>
          <w:sz w:val="24"/>
        </w:rPr>
      </w:pPr>
    </w:p>
    <w:p>
      <w:pPr>
        <w:pStyle w:val="9"/>
        <w:spacing w:after="0" w:line="312" w:lineRule="auto"/>
      </w:pPr>
    </w:p>
    <w:p>
      <w:pPr>
        <w:spacing w:line="312" w:lineRule="auto"/>
        <w:ind w:firstLine="480" w:firstLineChars="200"/>
        <w:jc w:val="right"/>
        <w:rPr>
          <w:rFonts w:cs="宋体" w:asciiTheme="minorEastAsia" w:hAnsiTheme="minorEastAsia" w:eastAsiaTheme="minorEastAsia"/>
          <w:sz w:val="24"/>
        </w:rPr>
      </w:pPr>
      <w:r>
        <w:rPr>
          <w:rFonts w:hint="eastAsia" w:cs="宋体" w:asciiTheme="minorEastAsia" w:hAnsiTheme="minorEastAsia" w:eastAsiaTheme="minorEastAsia"/>
          <w:sz w:val="24"/>
        </w:rPr>
        <w:t>许昌市建设投资有限责任公司</w:t>
      </w:r>
    </w:p>
    <w:p>
      <w:pPr>
        <w:pStyle w:val="9"/>
        <w:spacing w:after="0" w:line="312" w:lineRule="auto"/>
        <w:jc w:val="right"/>
        <w:rPr>
          <w:rFonts w:asciiTheme="minorEastAsia" w:hAnsiTheme="minorEastAsia" w:eastAsiaTheme="minorEastAsia"/>
          <w:sz w:val="24"/>
        </w:rPr>
      </w:pPr>
      <w:r>
        <w:rPr>
          <w:rFonts w:hint="eastAsia" w:cs="宋体" w:asciiTheme="minorEastAsia" w:hAnsiTheme="minorEastAsia" w:eastAsiaTheme="minorEastAsia"/>
          <w:sz w:val="24"/>
        </w:rPr>
        <w:t>2017年12月14日</w:t>
      </w:r>
    </w:p>
    <w:p>
      <w:pPr>
        <w:pStyle w:val="9"/>
      </w:pPr>
      <w:r>
        <w:br w:type="page"/>
      </w:r>
    </w:p>
    <w:p>
      <w:pPr>
        <w:pStyle w:val="3"/>
      </w:pPr>
      <w:bookmarkStart w:id="15" w:name="_Toc29310"/>
      <w:r>
        <w:rPr>
          <w:rFonts w:hint="eastAsia"/>
        </w:rPr>
        <w:t>第二章 投标人须知</w:t>
      </w:r>
      <w:bookmarkEnd w:id="15"/>
    </w:p>
    <w:p>
      <w:pPr>
        <w:pStyle w:val="2"/>
        <w:jc w:val="center"/>
      </w:pPr>
      <w:bookmarkStart w:id="16" w:name="_Toc5890"/>
      <w:r>
        <w:rPr>
          <w:rFonts w:hint="eastAsia"/>
        </w:rPr>
        <w:t>投标人须知前附表</w:t>
      </w:r>
      <w:bookmarkEnd w:id="16"/>
    </w:p>
    <w:tbl>
      <w:tblPr>
        <w:tblStyle w:val="28"/>
        <w:tblW w:w="905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9"/>
        <w:gridCol w:w="27"/>
        <w:gridCol w:w="1910"/>
        <w:gridCol w:w="318"/>
        <w:gridCol w:w="58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89" w:type="dxa"/>
            <w:vAlign w:val="center"/>
          </w:tcPr>
          <w:p>
            <w:pPr>
              <w:adjustRightInd w:val="0"/>
              <w:spacing w:line="40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条款号</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条  款  名  称</w:t>
            </w:r>
          </w:p>
        </w:tc>
        <w:tc>
          <w:tcPr>
            <w:tcW w:w="6130" w:type="dxa"/>
            <w:gridSpan w:val="2"/>
            <w:vAlign w:val="center"/>
          </w:tcPr>
          <w:p>
            <w:pPr>
              <w:adjustRightInd w:val="0"/>
              <w:spacing w:line="40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2"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1.1.2</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招标人</w:t>
            </w:r>
          </w:p>
        </w:tc>
        <w:tc>
          <w:tcPr>
            <w:tcW w:w="6130" w:type="dxa"/>
            <w:gridSpan w:val="2"/>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招标人：许昌市建设投资有限责任公司</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地  址：许昌市魏文路与龙兴路交叉口创业服务中心A座19楼</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联系人：刘先生 常先生 </w:t>
            </w:r>
          </w:p>
          <w:p>
            <w:pPr>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szCs w:val="21"/>
              </w:rPr>
              <w:t xml:space="preserve">电  话：0374-2699366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79"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1.1.3</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招标代理机构</w:t>
            </w:r>
          </w:p>
        </w:tc>
        <w:tc>
          <w:tcPr>
            <w:tcW w:w="6130" w:type="dxa"/>
            <w:gridSpan w:val="2"/>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名称：瑞和安惠项目管理集团有限公司</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地址：郑州市金水区金水东路与东风南路交叉口绿地原盛国际1号楼A座12B层 </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项目负责人：郭女士</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联 系 人：郑女士  步女士  刘先生</w:t>
            </w:r>
          </w:p>
          <w:p>
            <w:pPr>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szCs w:val="21"/>
              </w:rPr>
              <w:t>电    话：0371-55001511、55001513 、55001515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1.1.4</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工程名称</w:t>
            </w:r>
          </w:p>
        </w:tc>
        <w:tc>
          <w:tcPr>
            <w:tcW w:w="6130" w:type="dxa"/>
            <w:gridSpan w:val="2"/>
            <w:vAlign w:val="center"/>
          </w:tcPr>
          <w:p>
            <w:pPr>
              <w:spacing w:line="400" w:lineRule="exact"/>
              <w:rPr>
                <w:rFonts w:cs="宋体" w:asciiTheme="minorEastAsia" w:hAnsiTheme="minorEastAsia" w:eastAsiaTheme="minorEastAsia"/>
                <w:szCs w:val="21"/>
              </w:rPr>
            </w:pPr>
            <w:r>
              <w:rPr>
                <w:rFonts w:hint="eastAsia" w:asciiTheme="minorEastAsia" w:hAnsiTheme="minorEastAsia" w:eastAsiaTheme="minorEastAsia"/>
                <w:szCs w:val="21"/>
              </w:rPr>
              <w:t>郑州机场至许昌市域铁路工程许昌段建设项目(施工总承包)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w:t>
            </w:r>
            <w:r>
              <w:rPr>
                <w:rFonts w:hint="eastAsia" w:asciiTheme="minorEastAsia" w:hAnsiTheme="minorEastAsia" w:eastAsiaTheme="minorEastAsia"/>
                <w:szCs w:val="21"/>
              </w:rPr>
              <w:t>5</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项目</w:t>
            </w:r>
            <w:r>
              <w:rPr>
                <w:rFonts w:asciiTheme="minorEastAsia" w:hAnsiTheme="minorEastAsia" w:eastAsiaTheme="minorEastAsia"/>
                <w:szCs w:val="21"/>
              </w:rPr>
              <w:t>名称</w:t>
            </w:r>
          </w:p>
        </w:tc>
        <w:tc>
          <w:tcPr>
            <w:tcW w:w="6130"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郑州机场至许昌市域铁路工程许昌段建设项目(施工总承包)监理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w:t>
            </w:r>
            <w:r>
              <w:rPr>
                <w:rFonts w:hint="eastAsia" w:asciiTheme="minorEastAsia" w:hAnsiTheme="minorEastAsia" w:eastAsiaTheme="minorEastAsia"/>
                <w:szCs w:val="21"/>
              </w:rPr>
              <w:t>6</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建设地点</w:t>
            </w:r>
          </w:p>
        </w:tc>
        <w:tc>
          <w:tcPr>
            <w:tcW w:w="6130"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许昌</w:t>
            </w:r>
            <w:r>
              <w:rPr>
                <w:rFonts w:asciiTheme="minorEastAsia" w:hAnsiTheme="minorEastAsia" w:eastAsiaTheme="minorEastAsia"/>
                <w:szCs w:val="21"/>
              </w:rPr>
              <w:t>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1.2.1</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资金来源</w:t>
            </w:r>
          </w:p>
        </w:tc>
        <w:tc>
          <w:tcPr>
            <w:tcW w:w="6130"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自筹</w:t>
            </w:r>
            <w:r>
              <w:rPr>
                <w:rFonts w:hint="eastAsia" w:asciiTheme="minorEastAsia" w:hAnsiTheme="minorEastAsia" w:eastAsiaTheme="minorEastAsia"/>
                <w:szCs w:val="21"/>
              </w:rPr>
              <w:t>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1.2.</w:t>
            </w:r>
            <w:r>
              <w:rPr>
                <w:rFonts w:hint="eastAsia" w:asciiTheme="minorEastAsia" w:hAnsiTheme="minorEastAsia" w:eastAsiaTheme="minorEastAsia"/>
                <w:szCs w:val="21"/>
              </w:rPr>
              <w:t>2</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资金落实情况</w:t>
            </w:r>
          </w:p>
        </w:tc>
        <w:tc>
          <w:tcPr>
            <w:tcW w:w="6130"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资金来源</w:t>
            </w:r>
            <w:r>
              <w:rPr>
                <w:rFonts w:asciiTheme="minorEastAsia" w:hAnsiTheme="minorEastAsia" w:eastAsiaTheme="minorEastAsia"/>
                <w:szCs w:val="21"/>
              </w:rPr>
              <w:t>已</w:t>
            </w:r>
            <w:r>
              <w:rPr>
                <w:rFonts w:hint="eastAsia" w:asciiTheme="minorEastAsia" w:hAnsiTheme="minorEastAsia" w:eastAsiaTheme="minorEastAsia"/>
                <w:szCs w:val="21"/>
              </w:rPr>
              <w:t>确定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1</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标段划分及</w:t>
            </w:r>
            <w:r>
              <w:rPr>
                <w:rFonts w:asciiTheme="minorEastAsia" w:hAnsiTheme="minorEastAsia" w:eastAsiaTheme="minorEastAsia"/>
                <w:szCs w:val="21"/>
              </w:rPr>
              <w:t>招标范围</w:t>
            </w:r>
          </w:p>
        </w:tc>
        <w:tc>
          <w:tcPr>
            <w:tcW w:w="6130" w:type="dxa"/>
            <w:gridSpan w:val="2"/>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kern w:val="0"/>
                <w:szCs w:val="21"/>
              </w:rPr>
              <w:t>详见第一章招标公告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2</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监理服务期限</w:t>
            </w:r>
          </w:p>
        </w:tc>
        <w:tc>
          <w:tcPr>
            <w:tcW w:w="6130" w:type="dxa"/>
            <w:gridSpan w:val="2"/>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kern w:val="0"/>
                <w:szCs w:val="21"/>
              </w:rPr>
              <w:t>详见第一章招标公告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3</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质量要求</w:t>
            </w:r>
          </w:p>
        </w:tc>
        <w:tc>
          <w:tcPr>
            <w:tcW w:w="6130"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2"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1.4.1</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投标人资格要求</w:t>
            </w:r>
          </w:p>
        </w:tc>
        <w:tc>
          <w:tcPr>
            <w:tcW w:w="6130" w:type="dxa"/>
            <w:gridSpan w:val="2"/>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kern w:val="0"/>
                <w:szCs w:val="21"/>
              </w:rPr>
              <w:t>详见第一章招标公告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1.4.2</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是否接受联合体投标</w:t>
            </w:r>
          </w:p>
        </w:tc>
        <w:tc>
          <w:tcPr>
            <w:tcW w:w="6130"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1.9.1</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踏勘现场</w:t>
            </w:r>
          </w:p>
        </w:tc>
        <w:tc>
          <w:tcPr>
            <w:tcW w:w="6130"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不组织，投标人自行踏勘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1.10.1</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投标预备会</w:t>
            </w:r>
          </w:p>
        </w:tc>
        <w:tc>
          <w:tcPr>
            <w:tcW w:w="6130"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不召开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1.11</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分包</w:t>
            </w:r>
          </w:p>
        </w:tc>
        <w:tc>
          <w:tcPr>
            <w:tcW w:w="6130"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1.12</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偏离</w:t>
            </w:r>
          </w:p>
        </w:tc>
        <w:tc>
          <w:tcPr>
            <w:tcW w:w="6130"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02"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2.1</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构成招标文件的</w:t>
            </w:r>
          </w:p>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其他材料</w:t>
            </w:r>
          </w:p>
        </w:tc>
        <w:tc>
          <w:tcPr>
            <w:tcW w:w="6130"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除招标文件外，招标人在招标期间发出的澄清、修改、补充、补遗和其它有效正式函件等内容均是招标文件的组成部分。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90"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2.2.1</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投标人要求澄清招标文件的截止时间</w:t>
            </w:r>
          </w:p>
        </w:tc>
        <w:tc>
          <w:tcPr>
            <w:tcW w:w="6130" w:type="dxa"/>
            <w:gridSpan w:val="2"/>
            <w:vAlign w:val="center"/>
          </w:tcPr>
          <w:p>
            <w:pPr>
              <w:kinsoku w:val="0"/>
              <w:autoSpaceDE w:val="0"/>
              <w:autoSpaceDN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递交投标文件的截止之日10日前，如有疑问，应在2017年12月24日17:00前登录《</w:t>
            </w:r>
            <w:r>
              <w:rPr>
                <w:rFonts w:hint="eastAsia" w:cs="宋体" w:asciiTheme="minorEastAsia" w:hAnsiTheme="minorEastAsia" w:eastAsiaTheme="minorEastAsia"/>
                <w:szCs w:val="21"/>
              </w:rPr>
              <w:t>全国公共资源交易平台（河南省·许昌市）（投标人/供应商登录”入口http://221.14.6.70:8088/ggzy/）</w:t>
            </w:r>
            <w:r>
              <w:rPr>
                <w:rFonts w:hint="eastAsia" w:asciiTheme="minorEastAsia" w:hAnsiTheme="minorEastAsia" w:eastAsiaTheme="minorEastAsia"/>
                <w:szCs w:val="21"/>
              </w:rPr>
              <w:t>》，凭企业身份认证锁网上提交问题，要求招标人对招标文件予以澄清。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2.2.2</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投标截止时间</w:t>
            </w:r>
          </w:p>
        </w:tc>
        <w:tc>
          <w:tcPr>
            <w:tcW w:w="6130" w:type="dxa"/>
            <w:gridSpan w:val="2"/>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bCs/>
                <w:szCs w:val="21"/>
              </w:rPr>
              <w:t>2018年01月03日09时30分（北京时间，下同）。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2" w:hRule="atLeast"/>
        </w:trPr>
        <w:tc>
          <w:tcPr>
            <w:tcW w:w="989"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2.3.1</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招标文件的修改</w:t>
            </w:r>
          </w:p>
        </w:tc>
        <w:tc>
          <w:tcPr>
            <w:tcW w:w="6130" w:type="dxa"/>
            <w:gridSpan w:val="2"/>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在投标截止时间15天前，招标人可以修改招标文件，并将修改内容上传到《</w:t>
            </w:r>
            <w:r>
              <w:rPr>
                <w:rFonts w:hint="eastAsia" w:cs="宋体" w:asciiTheme="minorEastAsia" w:hAnsiTheme="minorEastAsia" w:eastAsiaTheme="minorEastAsia"/>
                <w:szCs w:val="21"/>
              </w:rPr>
              <w:t>全国公共资源交易平台（河南省·许昌市）（投标人/供应商登录”入口http://221.14.6.70:8088/ggzy/）</w:t>
            </w:r>
            <w:r>
              <w:rPr>
                <w:rFonts w:hint="eastAsia" w:asciiTheme="minorEastAsia" w:hAnsiTheme="minorEastAsia" w:eastAsiaTheme="minorEastAsia"/>
                <w:szCs w:val="21"/>
              </w:rPr>
              <w:t>》，投标人凭企业身份认证锁进行网上下载。该修改内容为招标文件的组成部分。如果修改招标文件的时间距投标截止时间不足15天，相应延长投标截止时间。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989" w:type="dxa"/>
            <w:vAlign w:val="center"/>
          </w:tcPr>
          <w:p>
            <w:pPr>
              <w:adjustRightInd w:val="0"/>
              <w:spacing w:line="400" w:lineRule="exact"/>
              <w:jc w:val="center"/>
              <w:textAlignment w:val="baseline"/>
              <w:rPr>
                <w:rFonts w:asciiTheme="minorEastAsia" w:hAnsiTheme="minorEastAsia" w:eastAsiaTheme="minorEastAsia"/>
                <w:b/>
                <w:szCs w:val="21"/>
              </w:rPr>
            </w:pPr>
            <w:r>
              <w:rPr>
                <w:rFonts w:asciiTheme="minorEastAsia" w:hAnsiTheme="minorEastAsia" w:eastAsiaTheme="minorEastAsia"/>
                <w:szCs w:val="21"/>
              </w:rPr>
              <w:t>3.1.1</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构成投标文件的</w:t>
            </w:r>
          </w:p>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其他材料</w:t>
            </w:r>
          </w:p>
        </w:tc>
        <w:tc>
          <w:tcPr>
            <w:tcW w:w="6130"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投标人认为需要提交的其他证明材料</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3"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3.3.1</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投标有效期</w:t>
            </w:r>
          </w:p>
        </w:tc>
        <w:tc>
          <w:tcPr>
            <w:tcW w:w="6130"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u w:val="single"/>
              </w:rPr>
              <w:t>120</w:t>
            </w:r>
            <w:r>
              <w:rPr>
                <w:rFonts w:hint="eastAsia" w:asciiTheme="minorEastAsia" w:hAnsiTheme="minorEastAsia" w:eastAsiaTheme="minorEastAsia"/>
                <w:szCs w:val="21"/>
              </w:rPr>
              <w:t>日历</w:t>
            </w:r>
            <w:r>
              <w:rPr>
                <w:rFonts w:asciiTheme="minorEastAsia" w:hAnsiTheme="minorEastAsia" w:eastAsiaTheme="minorEastAsia"/>
                <w:szCs w:val="21"/>
              </w:rPr>
              <w:t>天（</w:t>
            </w:r>
            <w:r>
              <w:rPr>
                <w:rFonts w:hint="eastAsia" w:asciiTheme="minorEastAsia" w:hAnsiTheme="minorEastAsia" w:eastAsiaTheme="minorEastAsia"/>
                <w:szCs w:val="21"/>
              </w:rPr>
              <w:t>投标截止之日起</w:t>
            </w:r>
            <w:r>
              <w:rPr>
                <w:rFonts w:asciiTheme="minorEastAsia" w:hAnsiTheme="minorEastAsia" w:eastAsiaTheme="minorEastAsia"/>
                <w:szCs w:val="21"/>
              </w:rPr>
              <w:t>）</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3" w:hRule="atLeast"/>
        </w:trPr>
        <w:tc>
          <w:tcPr>
            <w:tcW w:w="989" w:type="dxa"/>
            <w:vAlign w:val="center"/>
          </w:tcPr>
          <w:p>
            <w:pPr>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3.4.1.1</w:t>
            </w:r>
          </w:p>
        </w:tc>
        <w:tc>
          <w:tcPr>
            <w:tcW w:w="1937" w:type="dxa"/>
            <w:gridSpan w:val="2"/>
            <w:vAlign w:val="center"/>
          </w:tcPr>
          <w:p>
            <w:pPr>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投标保证金须知</w:t>
            </w:r>
          </w:p>
        </w:tc>
        <w:tc>
          <w:tcPr>
            <w:tcW w:w="6130" w:type="dxa"/>
            <w:gridSpan w:val="2"/>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1、因投标人的原因无法及时退还投标（竞买）保证金、滞留三年以上的，投标（竞买）保证金上缴财政。</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2、自文件发布之日起，投标人需进行基本户备案（建设工程项目），已备案的基本户开户银行、账户发生变化的，须重新办理备案手续。备案后方可提交投标（竞买）保证金。</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基本户备案流程：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4、特殊情况处理</w:t>
            </w:r>
          </w:p>
          <w:p>
            <w:pPr>
              <w:adjustRightInd w:val="0"/>
              <w:spacing w:line="400" w:lineRule="exact"/>
              <w:textAlignment w:val="baseline"/>
              <w:rPr>
                <w:rFonts w:asciiTheme="minorEastAsia" w:hAnsiTheme="minorEastAsia" w:eastAsiaTheme="minorEastAsia"/>
                <w:szCs w:val="21"/>
                <w:u w:val="single"/>
              </w:rPr>
            </w:pPr>
            <w:r>
              <w:rPr>
                <w:rFonts w:hint="eastAsia" w:cs="宋体" w:asciiTheme="minorEastAsia" w:hAnsiTheme="minorEastAsia" w:eastAsiaTheme="minorEastAsia"/>
                <w:szCs w:val="21"/>
              </w:rPr>
              <w:t xml:space="preserve">   投标人投标过程中因账户开户银行、银行账号发生变化，不能按照来款途径原路返还投标保证金的，投标人须提供原账户开户银行相关证明及新开账户开户许可证，到中心五楼交易见证部办理退款手续（0374-2968027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3.4.</w:t>
            </w:r>
            <w:r>
              <w:rPr>
                <w:rFonts w:hint="eastAsia" w:asciiTheme="minorEastAsia" w:hAnsiTheme="minorEastAsia" w:eastAsiaTheme="minorEastAsia"/>
                <w:szCs w:val="21"/>
              </w:rPr>
              <w:t>1.2</w:t>
            </w:r>
          </w:p>
        </w:tc>
        <w:tc>
          <w:tcPr>
            <w:tcW w:w="1937" w:type="dxa"/>
            <w:gridSpan w:val="2"/>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投标保证金</w:t>
            </w:r>
          </w:p>
        </w:tc>
        <w:tc>
          <w:tcPr>
            <w:tcW w:w="6130" w:type="dxa"/>
            <w:gridSpan w:val="2"/>
            <w:vAlign w:val="center"/>
          </w:tcPr>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投标保证金递交截止时间：投标截止时间前。</w:t>
            </w:r>
          </w:p>
          <w:p>
            <w:pPr>
              <w:spacing w:line="400" w:lineRule="exact"/>
              <w:rPr>
                <w:rFonts w:asciiTheme="minorEastAsia" w:hAnsiTheme="minorEastAsia" w:eastAsiaTheme="minorEastAsia"/>
                <w:bCs/>
                <w:szCs w:val="21"/>
              </w:rPr>
            </w:pPr>
            <w:r>
              <w:rPr>
                <w:rFonts w:asciiTheme="minorEastAsia" w:hAnsiTheme="minorEastAsia" w:eastAsiaTheme="minorEastAsia"/>
                <w:b/>
                <w:szCs w:val="21"/>
              </w:rPr>
              <w:t>投标保证金金额：</w:t>
            </w:r>
            <w:r>
              <w:rPr>
                <w:rFonts w:hint="eastAsia" w:asciiTheme="minorEastAsia" w:hAnsiTheme="minorEastAsia" w:eastAsiaTheme="minorEastAsia"/>
                <w:b/>
                <w:szCs w:val="21"/>
              </w:rPr>
              <w:t>第三标段：</w:t>
            </w:r>
            <w:r>
              <w:rPr>
                <w:rFonts w:asciiTheme="minorEastAsia" w:hAnsiTheme="minorEastAsia" w:eastAsiaTheme="minorEastAsia"/>
                <w:szCs w:val="21"/>
              </w:rPr>
              <w:t>人民币</w:t>
            </w:r>
            <w:r>
              <w:rPr>
                <w:rFonts w:hint="eastAsia" w:asciiTheme="minorEastAsia" w:hAnsiTheme="minorEastAsia" w:eastAsiaTheme="minorEastAsia"/>
                <w:bCs/>
                <w:szCs w:val="21"/>
                <w:u w:val="single"/>
              </w:rPr>
              <w:t>38</w:t>
            </w:r>
            <w:r>
              <w:rPr>
                <w:rFonts w:asciiTheme="minorEastAsia" w:hAnsiTheme="minorEastAsia" w:eastAsiaTheme="minorEastAsia"/>
                <w:bCs/>
                <w:szCs w:val="21"/>
              </w:rPr>
              <w:t>万元</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1、投标保证金的递交方式：银行转帐、银行电汇（均需从投标人的基本账户汇出）。</w:t>
            </w:r>
          </w:p>
          <w:p>
            <w:pPr>
              <w:spacing w:line="400" w:lineRule="exact"/>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 保证金缴纳方式： </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2.1投标人网上报名后，登录</w:t>
            </w:r>
            <w:r>
              <w:fldChar w:fldCharType="begin"/>
            </w:r>
            <w:r>
              <w:instrText xml:space="preserve"> HYPERLINK "http://221.14.6.70:8088/ggzy" </w:instrText>
            </w:r>
            <w:r>
              <w:fldChar w:fldCharType="separate"/>
            </w:r>
            <w:r>
              <w:rPr>
                <w:rFonts w:hint="eastAsia" w:cs="宋体" w:asciiTheme="minorEastAsia" w:hAnsiTheme="minorEastAsia" w:eastAsiaTheme="minorEastAsia"/>
                <w:szCs w:val="21"/>
              </w:rPr>
              <w:t>http://221.14.6.70:8088/ggzy</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t>系统，依次点击“会员向导”→“参与投标”→“费用缴纳说明”→“保证金缴纳说明单”，获取缴费说明单，根据每个标段的缴纳说明单在缴纳截止时间前缴纳；</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2.2成功缴纳后重新登录前述系统，依次点击“会员向导”→“参与投标”→“保证金绑定”→“绑定”进行投标保证金绑定。</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2.4 每个投标人每个项目每个标段只有唯一缴纳账号，切勿重复缴纳或错误缴纳。</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3、未按上述规定操作引起的无效投标，由投标人自行负责。</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4、汇款凭证无须备注项目编号和项目名称。</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5、出现以下情形造成的投标保证金无效，由投标人自行负责。</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(1)投标保证金未从投标人的基本账户转出；</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(2)投标保证金未按照招标文件划分的标段依次转账。</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6、《保证金缴纳绑定操作指南》获取方法：</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登录全国公共资源交易平台（河南省</w:t>
            </w:r>
            <w:r>
              <w:rPr>
                <w:rFonts w:hint="eastAsia" w:ascii="MS Mincho" w:hAnsi="MS Mincho" w:eastAsia="MS Mincho" w:cs="MS Mincho"/>
                <w:szCs w:val="21"/>
              </w:rPr>
              <w:t>▪</w:t>
            </w:r>
            <w:r>
              <w:rPr>
                <w:rFonts w:hint="eastAsia" w:ascii="宋体" w:hAnsi="宋体" w:cs="宋体"/>
                <w:szCs w:val="21"/>
              </w:rPr>
              <w:t>许昌市）系统</w:t>
            </w:r>
            <w:r>
              <w:rPr>
                <w:rFonts w:hint="eastAsia" w:cs="宋体" w:asciiTheme="minorEastAsia" w:hAnsiTheme="minorEastAsia" w:eastAsiaTheme="minorEastAsia"/>
                <w:szCs w:val="21"/>
              </w:rPr>
              <w:t>-组件下载-《保证金缴纳绑定操作指南》</w:t>
            </w:r>
          </w:p>
          <w:p>
            <w:pPr>
              <w:spacing w:line="400" w:lineRule="exact"/>
              <w:rPr>
                <w:rFonts w:asciiTheme="minorEastAsia" w:hAnsiTheme="minorEastAsia" w:eastAsiaTheme="minorEastAsia"/>
                <w:bCs/>
                <w:szCs w:val="21"/>
              </w:rPr>
            </w:pPr>
            <w:r>
              <w:rPr>
                <w:rFonts w:hint="eastAsia" w:cs="宋体" w:asciiTheme="minorEastAsia" w:hAnsiTheme="minorEastAsia" w:eastAsiaTheme="minorEastAsia"/>
                <w:szCs w:val="21"/>
              </w:rPr>
              <w:t>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3.5.2</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近年财务状况的年份要求</w:t>
            </w:r>
          </w:p>
        </w:tc>
        <w:tc>
          <w:tcPr>
            <w:tcW w:w="6130"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近三年</w:t>
            </w:r>
            <w:r>
              <w:rPr>
                <w:rFonts w:hint="eastAsia" w:asciiTheme="minorEastAsia" w:hAnsiTheme="minorEastAsia" w:eastAsiaTheme="minorEastAsia"/>
                <w:szCs w:val="21"/>
              </w:rPr>
              <w:t>度指2014年度、2015年度、2016年度。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3.5.3</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近年安全、质量情况的年份要求</w:t>
            </w:r>
          </w:p>
        </w:tc>
        <w:tc>
          <w:tcPr>
            <w:tcW w:w="6130"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2012</w:t>
            </w:r>
            <w:r>
              <w:rPr>
                <w:rFonts w:asciiTheme="minorEastAsia" w:hAnsiTheme="minorEastAsia" w:eastAsiaTheme="minorEastAsia"/>
                <w:szCs w:val="21"/>
              </w:rPr>
              <w:t>年01月01日起至投标截止时间</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10"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3.5.4</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近年承担的类似</w:t>
            </w:r>
            <w:r>
              <w:rPr>
                <w:rFonts w:hint="eastAsia" w:asciiTheme="minorEastAsia" w:hAnsiTheme="minorEastAsia" w:eastAsiaTheme="minorEastAsia"/>
                <w:szCs w:val="21"/>
              </w:rPr>
              <w:t>项目业绩</w:t>
            </w:r>
            <w:r>
              <w:rPr>
                <w:rFonts w:asciiTheme="minorEastAsia" w:hAnsiTheme="minorEastAsia" w:eastAsiaTheme="minorEastAsia"/>
                <w:szCs w:val="21"/>
              </w:rPr>
              <w:t>的年份要求</w:t>
            </w:r>
          </w:p>
        </w:tc>
        <w:tc>
          <w:tcPr>
            <w:tcW w:w="6130" w:type="dxa"/>
            <w:gridSpan w:val="2"/>
            <w:vAlign w:val="center"/>
          </w:tcPr>
          <w:p>
            <w:pPr>
              <w:adjustRightInd w:val="0"/>
              <w:spacing w:line="400" w:lineRule="exact"/>
              <w:textAlignment w:val="baseline"/>
            </w:pPr>
            <w:r>
              <w:rPr>
                <w:rFonts w:hint="eastAsia"/>
              </w:rPr>
              <w:t>企业业绩时间要求：</w:t>
            </w:r>
          </w:p>
          <w:p>
            <w:pPr>
              <w:adjustRightInd w:val="0"/>
              <w:spacing w:line="400" w:lineRule="exact"/>
              <w:textAlignment w:val="baseline"/>
            </w:pPr>
            <w:r>
              <w:rPr>
                <w:rFonts w:hint="eastAsia"/>
              </w:rPr>
              <w:t>2012</w:t>
            </w:r>
            <w:r>
              <w:t>年01月01日起至投标截止时间</w:t>
            </w:r>
            <w:r>
              <w:rPr>
                <w:rFonts w:hint="eastAsia"/>
              </w:rPr>
              <w:t>（以合同签订时间为准）。</w:t>
            </w:r>
          </w:p>
          <w:p>
            <w:pPr>
              <w:pStyle w:val="2"/>
              <w:rPr>
                <w:rFonts w:ascii="Times New Roman" w:hAnsi="Times New Roman" w:eastAsia="宋体" w:cs="Times New Roman"/>
                <w:b w:val="0"/>
                <w:bCs w:val="0"/>
                <w:sz w:val="21"/>
              </w:rPr>
            </w:pPr>
            <w:bookmarkStart w:id="17" w:name="_Toc31617"/>
            <w:r>
              <w:rPr>
                <w:rFonts w:hint="eastAsia" w:ascii="Times New Roman" w:hAnsi="Times New Roman" w:eastAsia="宋体" w:cs="Times New Roman"/>
                <w:b w:val="0"/>
                <w:bCs w:val="0"/>
                <w:sz w:val="21"/>
              </w:rPr>
              <w:t>总监理工程师及总监理工程师代表业绩时间要求：</w:t>
            </w:r>
            <w:bookmarkEnd w:id="17"/>
          </w:p>
          <w:p>
            <w:pPr>
              <w:adjustRightInd w:val="0"/>
              <w:spacing w:line="400" w:lineRule="exact"/>
              <w:textAlignment w:val="baseline"/>
              <w:rPr>
                <w:rFonts w:asciiTheme="minorEastAsia" w:hAnsiTheme="minorEastAsia" w:eastAsiaTheme="minorEastAsia"/>
                <w:szCs w:val="21"/>
              </w:rPr>
            </w:pPr>
            <w:r>
              <w:rPr>
                <w:rFonts w:hint="eastAsia"/>
              </w:rPr>
              <w:t>2007年01月01日起至投标截止时间（以合同签订时间为准）。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98"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3.5.</w:t>
            </w:r>
            <w:r>
              <w:rPr>
                <w:rFonts w:hint="eastAsia" w:asciiTheme="minorEastAsia" w:hAnsiTheme="minorEastAsia" w:eastAsiaTheme="minorEastAsia"/>
                <w:szCs w:val="21"/>
              </w:rPr>
              <w:t>7</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近年发生的诉讼及仲裁情况的年份要求</w:t>
            </w:r>
          </w:p>
        </w:tc>
        <w:tc>
          <w:tcPr>
            <w:tcW w:w="6130"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2014</w:t>
            </w:r>
            <w:r>
              <w:rPr>
                <w:rFonts w:asciiTheme="minorEastAsia" w:hAnsiTheme="minorEastAsia" w:eastAsiaTheme="minorEastAsia"/>
                <w:szCs w:val="21"/>
              </w:rPr>
              <w:t>年01月01日起至投标截止时间</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2"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3.6</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是否允许递交备选投标方案</w:t>
            </w:r>
          </w:p>
        </w:tc>
        <w:tc>
          <w:tcPr>
            <w:tcW w:w="6130"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不允许</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7"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3.7.3</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签字盖章要求</w:t>
            </w:r>
          </w:p>
        </w:tc>
        <w:tc>
          <w:tcPr>
            <w:tcW w:w="6130"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cs="宋体" w:asciiTheme="minorEastAsia" w:hAnsiTheme="minorEastAsia" w:eastAsiaTheme="minorEastAsia"/>
                <w:kern w:val="0"/>
                <w:szCs w:val="21"/>
              </w:rPr>
              <w:t>按照招标文件对投标文件格式的要求签字或盖章。盖章指加盖单位公章；签字指由法人代表或其委托代理人签字；法定代表人盖章指盖法定代表人章。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3.7.4</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投标文件份数</w:t>
            </w:r>
          </w:p>
        </w:tc>
        <w:tc>
          <w:tcPr>
            <w:tcW w:w="6130" w:type="dxa"/>
            <w:gridSpan w:val="2"/>
            <w:vAlign w:val="center"/>
          </w:tcPr>
          <w:p>
            <w:pPr>
              <w:adjustRightInd w:val="0"/>
              <w:spacing w:line="400" w:lineRule="exac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纸质文件：正本</w:t>
            </w:r>
            <w:r>
              <w:rPr>
                <w:rFonts w:hint="eastAsia" w:cs="宋体" w:asciiTheme="minorEastAsia" w:hAnsiTheme="minorEastAsia" w:eastAsiaTheme="minorEastAsia"/>
                <w:kern w:val="0"/>
                <w:szCs w:val="21"/>
                <w:u w:val="single"/>
              </w:rPr>
              <w:t xml:space="preserve"> 1 </w:t>
            </w:r>
            <w:r>
              <w:rPr>
                <w:rFonts w:hint="eastAsia" w:cs="宋体" w:asciiTheme="minorEastAsia" w:hAnsiTheme="minorEastAsia" w:eastAsiaTheme="minorEastAsia"/>
                <w:kern w:val="0"/>
                <w:szCs w:val="21"/>
              </w:rPr>
              <w:t>套，副本</w:t>
            </w:r>
            <w:r>
              <w:rPr>
                <w:rFonts w:hint="eastAsia" w:cs="宋体" w:asciiTheme="minorEastAsia" w:hAnsiTheme="minorEastAsia" w:eastAsiaTheme="minorEastAsia"/>
                <w:kern w:val="0"/>
                <w:szCs w:val="21"/>
                <w:u w:val="single"/>
              </w:rPr>
              <w:t xml:space="preserve"> 6 </w:t>
            </w:r>
            <w:r>
              <w:rPr>
                <w:rFonts w:hint="eastAsia" w:cs="宋体" w:asciiTheme="minorEastAsia" w:hAnsiTheme="minorEastAsia" w:eastAsiaTheme="minorEastAsia"/>
                <w:kern w:val="0"/>
                <w:szCs w:val="21"/>
              </w:rPr>
              <w:t>套</w:t>
            </w:r>
          </w:p>
          <w:p>
            <w:pPr>
              <w:adjustRightInd w:val="0"/>
              <w:spacing w:line="400" w:lineRule="exac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电子文件：要求，投标单位需提供投标文件正本全部内容的电子版(U盘)。</w:t>
            </w:r>
          </w:p>
          <w:p>
            <w:pPr>
              <w:adjustRightInd w:val="0"/>
              <w:spacing w:line="400" w:lineRule="exac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投标文件电子版内容：投标文件正本全部内容</w:t>
            </w:r>
          </w:p>
          <w:p>
            <w:pPr>
              <w:adjustRightInd w:val="0"/>
              <w:spacing w:line="400" w:lineRule="exac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投标文件电子版份数：</w:t>
            </w:r>
            <w:r>
              <w:rPr>
                <w:rFonts w:hint="eastAsia" w:cs="宋体" w:asciiTheme="minorEastAsia" w:hAnsiTheme="minorEastAsia" w:eastAsiaTheme="minorEastAsia"/>
                <w:kern w:val="0"/>
                <w:szCs w:val="21"/>
                <w:u w:val="single"/>
              </w:rPr>
              <w:t xml:space="preserve">  2份  </w:t>
            </w:r>
            <w:r>
              <w:rPr>
                <w:rFonts w:hint="eastAsia" w:cs="宋体" w:asciiTheme="minorEastAsia" w:hAnsiTheme="minorEastAsia" w:eastAsiaTheme="minorEastAsia"/>
                <w:kern w:val="0"/>
                <w:szCs w:val="21"/>
              </w:rPr>
              <w:t xml:space="preserve">； </w:t>
            </w:r>
          </w:p>
          <w:p>
            <w:pPr>
              <w:adjustRightInd w:val="0"/>
              <w:spacing w:line="400" w:lineRule="exac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投标文件电子版形式：WORD或EXCEL格式电子文档，并保证能正常打开。</w:t>
            </w:r>
          </w:p>
          <w:p>
            <w:pPr>
              <w:adjustRightInd w:val="0"/>
              <w:spacing w:line="400" w:lineRule="exact"/>
              <w:textAlignment w:val="baseline"/>
              <w:rPr>
                <w:rFonts w:asciiTheme="minorEastAsia" w:hAnsiTheme="minorEastAsia" w:eastAsiaTheme="minorEastAsia"/>
                <w:szCs w:val="21"/>
              </w:rPr>
            </w:pPr>
            <w:r>
              <w:rPr>
                <w:rFonts w:hint="eastAsia" w:cs="宋体" w:asciiTheme="minorEastAsia" w:hAnsiTheme="minorEastAsia" w:eastAsiaTheme="minorEastAsia"/>
                <w:kern w:val="0"/>
                <w:szCs w:val="21"/>
              </w:rPr>
              <w:t>投标文件电子版密封方式：2份电子版分别单独密封，加贴封条，并在封套封口处加盖投标人单位章，在封套上标记“投标文件电子版”字样。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3.7.5</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装订要求</w:t>
            </w:r>
          </w:p>
        </w:tc>
        <w:tc>
          <w:tcPr>
            <w:tcW w:w="6130" w:type="dxa"/>
            <w:gridSpan w:val="2"/>
            <w:vAlign w:val="center"/>
          </w:tcPr>
          <w:p>
            <w:pPr>
              <w:adjustRightInd w:val="0"/>
              <w:spacing w:line="400" w:lineRule="exact"/>
              <w:textAlignment w:val="baseline"/>
              <w:rPr>
                <w:rFonts w:asciiTheme="minorEastAsia" w:hAnsiTheme="minorEastAsia" w:eastAsiaTheme="minorEastAsia"/>
                <w:b/>
                <w:szCs w:val="21"/>
              </w:rPr>
            </w:pPr>
            <w:r>
              <w:rPr>
                <w:rFonts w:hint="eastAsia" w:asciiTheme="minorEastAsia" w:hAnsiTheme="minorEastAsia" w:eastAsiaTheme="minorEastAsia"/>
                <w:b/>
                <w:szCs w:val="21"/>
              </w:rPr>
              <w:t>本项目划分为3个标段，且投标人投多个标段时，应按标段分别编制并递交各个标段的投标文件。</w:t>
            </w:r>
          </w:p>
          <w:p>
            <w:pPr>
              <w:adjustRightInd w:val="0"/>
              <w:spacing w:line="400" w:lineRule="exact"/>
              <w:textAlignment w:val="baseline"/>
              <w:rPr>
                <w:rFonts w:asciiTheme="minorEastAsia" w:hAnsiTheme="minorEastAsia" w:eastAsiaTheme="minorEastAsia"/>
                <w:szCs w:val="21"/>
              </w:rPr>
            </w:pPr>
            <w:r>
              <w:rPr>
                <w:rFonts w:hint="eastAsia" w:cs="宋体" w:asciiTheme="minorEastAsia" w:hAnsiTheme="minorEastAsia" w:eastAsiaTheme="minorEastAsia"/>
                <w:szCs w:val="21"/>
              </w:rPr>
              <w:t>投标文件正本和副本均应采用胶粘方式装订，不得采用活页夹等可随时拆换的方式装订，否则视为无效标书。提倡软皮封面、双面打印，编制目录及连续页码。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6"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4.1.1</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密封要求</w:t>
            </w:r>
          </w:p>
        </w:tc>
        <w:tc>
          <w:tcPr>
            <w:tcW w:w="6130" w:type="dxa"/>
            <w:gridSpan w:val="2"/>
            <w:vAlign w:val="center"/>
          </w:tcPr>
          <w:p>
            <w:pPr>
              <w:spacing w:line="400" w:lineRule="exact"/>
              <w:rPr>
                <w:rFonts w:asciiTheme="minorEastAsia" w:hAnsiTheme="minorEastAsia" w:eastAsiaTheme="minorEastAsia"/>
                <w:szCs w:val="21"/>
              </w:rPr>
            </w:pPr>
            <w:bookmarkStart w:id="18" w:name="_Toc271529612"/>
            <w:bookmarkStart w:id="19" w:name="_Toc270670958"/>
            <w:bookmarkStart w:id="20" w:name="_Toc270601507"/>
            <w:r>
              <w:rPr>
                <w:rFonts w:asciiTheme="minorEastAsia" w:hAnsiTheme="minorEastAsia" w:eastAsiaTheme="minorEastAsia"/>
                <w:szCs w:val="21"/>
              </w:rPr>
              <w:t>投标文件的正本、副本一起包装，加贴封条，并在封套的封口处加盖投标人单位公章。</w:t>
            </w:r>
          </w:p>
          <w:p>
            <w:pPr>
              <w:spacing w:line="400" w:lineRule="exact"/>
              <w:rPr>
                <w:rFonts w:asciiTheme="minorEastAsia" w:hAnsiTheme="minorEastAsia" w:eastAsiaTheme="minorEastAsia"/>
                <w:szCs w:val="21"/>
              </w:rPr>
            </w:pPr>
            <w:r>
              <w:rPr>
                <w:rFonts w:hint="eastAsia" w:asciiTheme="minorEastAsia" w:hAnsiTheme="minorEastAsia" w:eastAsiaTheme="minorEastAsia"/>
                <w:bCs/>
                <w:szCs w:val="21"/>
              </w:rPr>
              <w:t>投标文件的电子版一起包装，</w:t>
            </w:r>
            <w:r>
              <w:rPr>
                <w:rFonts w:asciiTheme="minorEastAsia" w:hAnsiTheme="minorEastAsia" w:eastAsiaTheme="minorEastAsia"/>
                <w:szCs w:val="21"/>
              </w:rPr>
              <w:t>加贴封条，并在封套的封口处加盖投标人单位公章。</w:t>
            </w:r>
          </w:p>
          <w:p>
            <w:pPr>
              <w:spacing w:line="400" w:lineRule="exact"/>
              <w:rPr>
                <w:rFonts w:asciiTheme="minorEastAsia" w:hAnsiTheme="minorEastAsia" w:eastAsiaTheme="minorEastAsia"/>
                <w:szCs w:val="21"/>
              </w:rPr>
            </w:pPr>
            <w:r>
              <w:rPr>
                <w:rFonts w:hint="eastAsia" w:asciiTheme="minorEastAsia" w:hAnsiTheme="minorEastAsia" w:eastAsiaTheme="minorEastAsia"/>
                <w:bCs/>
                <w:szCs w:val="21"/>
              </w:rPr>
              <w:t>原件单独包装，随投标文件一起递交，附原件清单，</w:t>
            </w:r>
            <w:r>
              <w:rPr>
                <w:rFonts w:asciiTheme="minorEastAsia" w:hAnsiTheme="minorEastAsia" w:eastAsiaTheme="minorEastAsia"/>
                <w:szCs w:val="21"/>
              </w:rPr>
              <w:t>加贴封条，并在封套的封口处加盖投标人单位公章</w:t>
            </w:r>
            <w:r>
              <w:rPr>
                <w:rFonts w:hint="eastAsia" w:asciiTheme="minorEastAsia" w:hAnsiTheme="minorEastAsia" w:eastAsiaTheme="minorEastAsia"/>
                <w:b/>
                <w:szCs w:val="21"/>
              </w:rPr>
              <w:t>（投多个标段的投标人，原件密封在一个包装袋内）</w:t>
            </w:r>
            <w:r>
              <w:rPr>
                <w:rFonts w:asciiTheme="minorEastAsia" w:hAnsiTheme="minorEastAsia" w:eastAsiaTheme="minorEastAsia"/>
                <w:szCs w:val="21"/>
              </w:rPr>
              <w:t>。</w:t>
            </w:r>
            <w:bookmarkEnd w:id="18"/>
            <w:bookmarkEnd w:id="19"/>
            <w:bookmarkEnd w:id="2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6"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4.1.2</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封套上写明</w:t>
            </w:r>
          </w:p>
        </w:tc>
        <w:tc>
          <w:tcPr>
            <w:tcW w:w="6130" w:type="dxa"/>
            <w:gridSpan w:val="2"/>
            <w:vAlign w:val="center"/>
          </w:tcPr>
          <w:p>
            <w:pPr>
              <w:adjustRightInd w:val="0"/>
              <w:spacing w:line="400" w:lineRule="exact"/>
              <w:ind w:firstLine="2" w:firstLineChars="1"/>
              <w:textAlignment w:val="baseline"/>
              <w:rPr>
                <w:rFonts w:asciiTheme="minorEastAsia" w:hAnsiTheme="minorEastAsia" w:eastAsiaTheme="minorEastAsia"/>
                <w:szCs w:val="21"/>
              </w:rPr>
            </w:pPr>
            <w:r>
              <w:rPr>
                <w:rFonts w:asciiTheme="minorEastAsia" w:hAnsiTheme="minorEastAsia" w:eastAsiaTheme="minorEastAsia"/>
                <w:szCs w:val="21"/>
              </w:rPr>
              <w:t>招标人的地址：</w:t>
            </w:r>
            <w:r>
              <w:rPr>
                <w:rFonts w:hint="eastAsia" w:asciiTheme="minorEastAsia" w:hAnsiTheme="minorEastAsia" w:eastAsiaTheme="minorEastAsia"/>
                <w:szCs w:val="21"/>
              </w:rPr>
              <w:t>许昌市魏文路与龙兴路交叉口创业服务中心A座19楼</w:t>
            </w:r>
          </w:p>
          <w:p>
            <w:pPr>
              <w:adjustRightInd w:val="0"/>
              <w:spacing w:line="400" w:lineRule="exact"/>
              <w:ind w:firstLine="2" w:firstLineChars="1"/>
              <w:textAlignment w:val="baseline"/>
              <w:rPr>
                <w:rFonts w:asciiTheme="minorEastAsia" w:hAnsiTheme="minorEastAsia" w:eastAsiaTheme="minorEastAsia"/>
                <w:szCs w:val="21"/>
              </w:rPr>
            </w:pPr>
            <w:r>
              <w:rPr>
                <w:rFonts w:asciiTheme="minorEastAsia" w:hAnsiTheme="minorEastAsia" w:eastAsiaTheme="minorEastAsia"/>
                <w:szCs w:val="21"/>
              </w:rPr>
              <w:t>招标人名称：</w:t>
            </w:r>
            <w:r>
              <w:rPr>
                <w:rFonts w:hint="eastAsia" w:asciiTheme="minorEastAsia" w:hAnsiTheme="minorEastAsia" w:eastAsiaTheme="minorEastAsia"/>
                <w:szCs w:val="21"/>
              </w:rPr>
              <w:t>许昌市建设投资有限责任公司</w:t>
            </w:r>
          </w:p>
          <w:p>
            <w:pPr>
              <w:adjustRightInd w:val="0"/>
              <w:spacing w:line="400" w:lineRule="exact"/>
              <w:ind w:firstLine="2" w:firstLineChars="1"/>
              <w:textAlignment w:val="baseline"/>
              <w:rPr>
                <w:rFonts w:asciiTheme="minorEastAsia" w:hAnsiTheme="minorEastAsia" w:eastAsiaTheme="minorEastAsia"/>
                <w:szCs w:val="21"/>
              </w:rPr>
            </w:pPr>
            <w:r>
              <w:rPr>
                <w:rFonts w:hint="eastAsia" w:asciiTheme="minorEastAsia" w:hAnsiTheme="minorEastAsia" w:eastAsiaTheme="minorEastAsia"/>
                <w:szCs w:val="21"/>
              </w:rPr>
              <w:t>投标人名称：</w:t>
            </w:r>
          </w:p>
          <w:p>
            <w:pPr>
              <w:adjustRightInd w:val="0"/>
              <w:spacing w:line="400" w:lineRule="exact"/>
              <w:ind w:firstLine="2" w:firstLineChars="1"/>
              <w:textAlignment w:val="baseline"/>
              <w:rPr>
                <w:rFonts w:asciiTheme="minorEastAsia" w:hAnsiTheme="minorEastAsia" w:eastAsiaTheme="minorEastAsia"/>
                <w:szCs w:val="21"/>
              </w:rPr>
            </w:pPr>
            <w:r>
              <w:rPr>
                <w:rFonts w:hint="eastAsia" w:asciiTheme="minorEastAsia" w:hAnsiTheme="minorEastAsia" w:eastAsiaTheme="minorEastAsia"/>
                <w:szCs w:val="21"/>
                <w:u w:val="single"/>
              </w:rPr>
              <w:t>郑州机场至许昌市域铁路工程许昌段建设项目(施工总承包)监理第  标段</w:t>
            </w:r>
            <w:r>
              <w:rPr>
                <w:rFonts w:asciiTheme="minorEastAsia" w:hAnsiTheme="minorEastAsia" w:eastAsiaTheme="minorEastAsia"/>
                <w:szCs w:val="21"/>
              </w:rPr>
              <w:t>投标文件</w:t>
            </w:r>
          </w:p>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在</w:t>
            </w:r>
            <w:r>
              <w:rPr>
                <w:rFonts w:hint="eastAsia" w:asciiTheme="minorEastAsia" w:hAnsiTheme="minorEastAsia" w:eastAsiaTheme="minorEastAsia"/>
                <w:szCs w:val="21"/>
                <w:u w:val="single"/>
              </w:rPr>
              <w:t>2018</w:t>
            </w:r>
            <w:r>
              <w:rPr>
                <w:rFonts w:asciiTheme="minorEastAsia" w:hAnsiTheme="minorEastAsia" w:eastAsiaTheme="minorEastAsia"/>
                <w:szCs w:val="21"/>
              </w:rPr>
              <w:t>年</w:t>
            </w:r>
            <w:r>
              <w:rPr>
                <w:rFonts w:hint="eastAsia" w:asciiTheme="minorEastAsia" w:hAnsiTheme="minorEastAsia" w:eastAsiaTheme="minorEastAsia"/>
                <w:szCs w:val="21"/>
              </w:rPr>
              <w:t>01</w:t>
            </w:r>
            <w:r>
              <w:rPr>
                <w:rFonts w:asciiTheme="minorEastAsia" w:hAnsiTheme="minorEastAsia" w:eastAsiaTheme="minorEastAsia"/>
                <w:szCs w:val="21"/>
              </w:rPr>
              <w:t>月</w:t>
            </w:r>
            <w:r>
              <w:rPr>
                <w:rFonts w:hint="eastAsia" w:asciiTheme="minorEastAsia" w:hAnsiTheme="minorEastAsia" w:eastAsiaTheme="minorEastAsia"/>
                <w:szCs w:val="21"/>
              </w:rPr>
              <w:t>03</w:t>
            </w:r>
            <w:r>
              <w:rPr>
                <w:rFonts w:asciiTheme="minorEastAsia" w:hAnsiTheme="minorEastAsia" w:eastAsiaTheme="minorEastAsia"/>
                <w:szCs w:val="21"/>
              </w:rPr>
              <w:t>日</w:t>
            </w:r>
            <w:r>
              <w:rPr>
                <w:rFonts w:hint="eastAsia" w:asciiTheme="minorEastAsia" w:hAnsiTheme="minorEastAsia" w:eastAsiaTheme="minorEastAsia"/>
                <w:szCs w:val="21"/>
              </w:rPr>
              <w:t>09</w:t>
            </w:r>
            <w:r>
              <w:rPr>
                <w:rFonts w:asciiTheme="minorEastAsia" w:hAnsiTheme="minorEastAsia" w:eastAsiaTheme="minorEastAsia"/>
                <w:szCs w:val="21"/>
              </w:rPr>
              <w:t>时</w:t>
            </w:r>
            <w:r>
              <w:rPr>
                <w:rFonts w:hint="eastAsia" w:asciiTheme="minorEastAsia" w:hAnsiTheme="minorEastAsia" w:eastAsiaTheme="minorEastAsia"/>
                <w:szCs w:val="21"/>
              </w:rPr>
              <w:t>30</w:t>
            </w:r>
            <w:r>
              <w:rPr>
                <w:rFonts w:asciiTheme="minorEastAsia" w:hAnsiTheme="minorEastAsia" w:eastAsiaTheme="minorEastAsia"/>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4.2.2</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递交投标文件地点</w:t>
            </w:r>
          </w:p>
        </w:tc>
        <w:tc>
          <w:tcPr>
            <w:tcW w:w="6130" w:type="dxa"/>
            <w:gridSpan w:val="2"/>
            <w:vAlign w:val="center"/>
          </w:tcPr>
          <w:p>
            <w:pPr>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许昌市公共资源交易中心第一开标室（许昌市龙兴路与竹林路交汇处公共资源大厦三楼）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4.2.3</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是否退还投标文件</w:t>
            </w:r>
          </w:p>
        </w:tc>
        <w:tc>
          <w:tcPr>
            <w:tcW w:w="6130"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5.1</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开标时间和地点</w:t>
            </w:r>
          </w:p>
        </w:tc>
        <w:tc>
          <w:tcPr>
            <w:tcW w:w="6130"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开标时间：同投标截止时间</w:t>
            </w:r>
          </w:p>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开标地点：</w:t>
            </w:r>
            <w:r>
              <w:rPr>
                <w:rFonts w:hint="eastAsia" w:asciiTheme="minorEastAsia" w:hAnsiTheme="minorEastAsia" w:eastAsiaTheme="minorEastAsia"/>
                <w:szCs w:val="21"/>
              </w:rPr>
              <w:t>许昌市公共资源交易中心</w:t>
            </w:r>
            <w:r>
              <w:rPr>
                <w:rFonts w:hint="eastAsia" w:cs="宋体" w:asciiTheme="minorEastAsia" w:hAnsiTheme="minorEastAsia" w:eastAsiaTheme="minorEastAsia"/>
                <w:szCs w:val="21"/>
              </w:rPr>
              <w:t>第一</w:t>
            </w:r>
            <w:r>
              <w:rPr>
                <w:rFonts w:hint="eastAsia" w:asciiTheme="minorEastAsia" w:hAnsiTheme="minorEastAsia" w:eastAsiaTheme="minorEastAsia"/>
                <w:szCs w:val="21"/>
              </w:rPr>
              <w:t>开标室（许昌市龙兴路与竹林路交汇处公共资源大厦三楼）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989"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5.2</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开标程序</w:t>
            </w:r>
          </w:p>
        </w:tc>
        <w:tc>
          <w:tcPr>
            <w:tcW w:w="6130"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（4）密封情况检查：由投标人法定代表人或其授权委托人检查投标文件的密封情况；投标人的法定代表人或其授权委托人在密封情况检查表上签字确认。</w:t>
            </w:r>
          </w:p>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（5）开标顺序：按投标人递交投标文件逆顺序（先递交的后开，后递交的先开）。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6.1.1</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评标委员会的组建</w:t>
            </w:r>
          </w:p>
        </w:tc>
        <w:tc>
          <w:tcPr>
            <w:tcW w:w="6130"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评标委员会构成：</w:t>
            </w:r>
            <w:r>
              <w:rPr>
                <w:rFonts w:hint="eastAsia" w:asciiTheme="minorEastAsia" w:hAnsiTheme="minorEastAsia" w:eastAsiaTheme="minorEastAsia"/>
                <w:szCs w:val="21"/>
                <w:u w:val="single"/>
              </w:rPr>
              <w:t>7</w:t>
            </w:r>
            <w:r>
              <w:rPr>
                <w:rFonts w:asciiTheme="minorEastAsia" w:hAnsiTheme="minorEastAsia" w:eastAsiaTheme="minorEastAsia"/>
                <w:szCs w:val="21"/>
              </w:rPr>
              <w:t>人</w:t>
            </w:r>
            <w:r>
              <w:rPr>
                <w:rFonts w:hint="eastAsia" w:asciiTheme="minorEastAsia" w:hAnsiTheme="minorEastAsia" w:eastAsiaTheme="minorEastAsia"/>
                <w:szCs w:val="21"/>
              </w:rPr>
              <w:t>；其中：</w:t>
            </w:r>
            <w:r>
              <w:rPr>
                <w:rFonts w:asciiTheme="minorEastAsia" w:hAnsiTheme="minorEastAsia" w:eastAsiaTheme="minorEastAsia"/>
                <w:szCs w:val="21"/>
              </w:rPr>
              <w:t>招标人代表</w:t>
            </w:r>
            <w:r>
              <w:rPr>
                <w:rFonts w:hint="eastAsia" w:asciiTheme="minorEastAsia" w:hAnsiTheme="minorEastAsia" w:eastAsiaTheme="minorEastAsia"/>
                <w:szCs w:val="21"/>
                <w:u w:val="single"/>
              </w:rPr>
              <w:t>2</w:t>
            </w:r>
            <w:r>
              <w:rPr>
                <w:rFonts w:asciiTheme="minorEastAsia" w:hAnsiTheme="minorEastAsia" w:eastAsiaTheme="minorEastAsia"/>
                <w:szCs w:val="21"/>
              </w:rPr>
              <w:t>人、技术经济专家</w:t>
            </w:r>
            <w:r>
              <w:rPr>
                <w:rFonts w:hint="eastAsia" w:asciiTheme="minorEastAsia" w:hAnsiTheme="minorEastAsia" w:eastAsiaTheme="minorEastAsia"/>
                <w:szCs w:val="21"/>
                <w:u w:val="single"/>
              </w:rPr>
              <w:t>5</w:t>
            </w:r>
            <w:r>
              <w:rPr>
                <w:rFonts w:asciiTheme="minorEastAsia" w:hAnsiTheme="minorEastAsia" w:eastAsiaTheme="minorEastAsia"/>
                <w:szCs w:val="21"/>
              </w:rPr>
              <w:t>人。</w:t>
            </w:r>
          </w:p>
          <w:p>
            <w:pPr>
              <w:pStyle w:val="2"/>
            </w:pPr>
            <w:bookmarkStart w:id="21" w:name="_Toc20051"/>
            <w:r>
              <w:rPr>
                <w:sz w:val="21"/>
                <w:szCs w:val="21"/>
              </w:rPr>
              <w:t>评标专家确定方式：</w:t>
            </w:r>
            <w:r>
              <w:rPr>
                <w:sz w:val="21"/>
                <w:szCs w:val="21"/>
                <w:u w:val="single"/>
              </w:rPr>
              <w:t>从</w:t>
            </w:r>
            <w:r>
              <w:rPr>
                <w:rFonts w:hint="eastAsia"/>
                <w:sz w:val="21"/>
                <w:szCs w:val="21"/>
                <w:u w:val="single"/>
              </w:rPr>
              <w:t>河南省综合评标</w:t>
            </w:r>
            <w:r>
              <w:rPr>
                <w:sz w:val="21"/>
                <w:szCs w:val="21"/>
                <w:u w:val="single"/>
              </w:rPr>
              <w:t>专家库</w:t>
            </w:r>
            <w:r>
              <w:rPr>
                <w:rFonts w:hint="eastAsia"/>
                <w:sz w:val="21"/>
                <w:szCs w:val="21"/>
                <w:u w:val="single"/>
              </w:rPr>
              <w:t>中随机</w:t>
            </w:r>
            <w:r>
              <w:rPr>
                <w:sz w:val="21"/>
                <w:szCs w:val="21"/>
                <w:u w:val="single"/>
              </w:rPr>
              <w:t>抽取</w:t>
            </w:r>
            <w:r>
              <w:rPr>
                <w:sz w:val="21"/>
                <w:szCs w:val="21"/>
              </w:rPr>
              <w:t>。</w:t>
            </w:r>
            <w:bookmarkEnd w:id="21"/>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989"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7.1</w:t>
            </w:r>
          </w:p>
        </w:tc>
        <w:tc>
          <w:tcPr>
            <w:tcW w:w="1937" w:type="dxa"/>
            <w:gridSpan w:val="2"/>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是否授权评标委员会确定中标人</w:t>
            </w:r>
          </w:p>
        </w:tc>
        <w:tc>
          <w:tcPr>
            <w:tcW w:w="6130"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否，推荐的中标候选人数：</w:t>
            </w:r>
            <w:r>
              <w:rPr>
                <w:rFonts w:hint="eastAsia" w:asciiTheme="minorEastAsia" w:hAnsiTheme="minorEastAsia" w:eastAsiaTheme="minorEastAsia"/>
                <w:szCs w:val="21"/>
                <w:u w:val="single"/>
              </w:rPr>
              <w:t>1-</w:t>
            </w:r>
            <w:r>
              <w:rPr>
                <w:rFonts w:asciiTheme="minorEastAsia" w:hAnsiTheme="minorEastAsia" w:eastAsiaTheme="minorEastAsia"/>
                <w:szCs w:val="21"/>
                <w:u w:val="single"/>
              </w:rPr>
              <w:t>3</w:t>
            </w:r>
            <w:r>
              <w:rPr>
                <w:rFonts w:hint="eastAsia" w:asciiTheme="minorEastAsia" w:hAnsiTheme="minorEastAsia" w:eastAsiaTheme="minorEastAsia"/>
                <w:szCs w:val="21"/>
              </w:rPr>
              <w:t>名</w:t>
            </w:r>
          </w:p>
          <w:p>
            <w:pPr>
              <w:spacing w:line="400" w:lineRule="exac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 本招标项目第一至第三标段中，投标人可报名任意标段，但最多允许中标1个标段。</w:t>
            </w:r>
          </w:p>
          <w:p>
            <w:pPr>
              <w:spacing w:line="400" w:lineRule="exac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.本项目按照第一至第三标段自然顺序推荐中标候选人。</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3.如果同一投标人同时在多个标段评审中综合评分均排名第一时，按照其在《投标函》中承诺的顺序选择一个标段作为该标段的第一中标候选人，并自动放弃其他标段的中标候选人资格，其他标段排名依次递补。</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4.如果投标人被推荐为1个标段的第一中标候选人，视为放弃其他标段的中标候选人资格，其他标段排名依次递补。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67" w:hRule="atLeast"/>
        </w:trPr>
        <w:tc>
          <w:tcPr>
            <w:tcW w:w="989"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7.3.1</w:t>
            </w:r>
          </w:p>
        </w:tc>
        <w:tc>
          <w:tcPr>
            <w:tcW w:w="1937"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履约担保</w:t>
            </w:r>
          </w:p>
        </w:tc>
        <w:tc>
          <w:tcPr>
            <w:tcW w:w="6130" w:type="dxa"/>
            <w:gridSpan w:val="2"/>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履约保证金递交方式：现金或保函形式递交；</w:t>
            </w:r>
            <w:r>
              <w:rPr>
                <w:rFonts w:asciiTheme="minorEastAsia" w:hAnsiTheme="minorEastAsia" w:eastAsiaTheme="minorEastAsia"/>
                <w:szCs w:val="21"/>
              </w:rPr>
              <w:t>如为保函形式，</w:t>
            </w:r>
            <w:r>
              <w:rPr>
                <w:rFonts w:hint="eastAsia" w:asciiTheme="minorEastAsia" w:hAnsiTheme="minorEastAsia" w:eastAsiaTheme="minorEastAsia"/>
                <w:szCs w:val="21"/>
              </w:rPr>
              <w:t>应由银行开具</w:t>
            </w:r>
            <w:r>
              <w:rPr>
                <w:rFonts w:asciiTheme="minorEastAsia" w:hAnsiTheme="minorEastAsia" w:eastAsiaTheme="minorEastAsia"/>
                <w:szCs w:val="21"/>
              </w:rPr>
              <w:t>，</w:t>
            </w:r>
            <w:r>
              <w:rPr>
                <w:rFonts w:hint="eastAsia" w:asciiTheme="minorEastAsia" w:hAnsiTheme="minorEastAsia" w:eastAsiaTheme="minorEastAsia"/>
                <w:szCs w:val="21"/>
              </w:rPr>
              <w:t>格式应参照招标文件中给定的格式或经委托人批准的格式</w:t>
            </w:r>
            <w:r>
              <w:rPr>
                <w:rFonts w:asciiTheme="minorEastAsia" w:hAnsiTheme="minorEastAsia" w:eastAsiaTheme="minorEastAsia"/>
                <w:szCs w:val="21"/>
              </w:rPr>
              <w:t>；如为</w:t>
            </w:r>
            <w:r>
              <w:rPr>
                <w:rFonts w:hint="eastAsia" w:asciiTheme="minorEastAsia" w:hAnsiTheme="minorEastAsia" w:eastAsiaTheme="minorEastAsia"/>
                <w:szCs w:val="21"/>
              </w:rPr>
              <w:t>现金</w:t>
            </w:r>
            <w:r>
              <w:rPr>
                <w:rFonts w:asciiTheme="minorEastAsia" w:hAnsiTheme="minorEastAsia" w:eastAsiaTheme="minorEastAsia"/>
                <w:szCs w:val="21"/>
              </w:rPr>
              <w:t>形式，可采用电汇或网银的形式，须由投标人基本账户汇出</w:t>
            </w:r>
            <w:r>
              <w:rPr>
                <w:rFonts w:hint="eastAsia" w:asciiTheme="minorEastAsia" w:hAnsiTheme="minorEastAsia" w:eastAsiaTheme="minorEastAsia"/>
                <w:szCs w:val="21"/>
              </w:rPr>
              <w:t>；</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履约保证金若现金方式递交时间：中标通知书发出之日起7个工作日内缴纳至招标人指定账户；</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履约保证金若保函方式递交时间：中标通知书发出之日起7个工作日内；</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履约保证金金额：按合同价的5%。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056" w:type="dxa"/>
            <w:gridSpan w:val="5"/>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9056" w:type="dxa"/>
            <w:gridSpan w:val="5"/>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10.1招标控制价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1016" w:type="dxa"/>
            <w:gridSpan w:val="2"/>
            <w:vAlign w:val="center"/>
          </w:tcPr>
          <w:p>
            <w:pPr>
              <w:adjustRightInd w:val="0"/>
              <w:spacing w:line="400" w:lineRule="exact"/>
              <w:textAlignment w:val="baseline"/>
              <w:rPr>
                <w:rFonts w:asciiTheme="minorEastAsia" w:hAnsiTheme="minorEastAsia" w:eastAsiaTheme="minorEastAsia"/>
                <w:szCs w:val="21"/>
              </w:rPr>
            </w:pPr>
          </w:p>
        </w:tc>
        <w:tc>
          <w:tcPr>
            <w:tcW w:w="2228"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招标控制价</w:t>
            </w:r>
          </w:p>
        </w:tc>
        <w:tc>
          <w:tcPr>
            <w:tcW w:w="5812" w:type="dxa"/>
            <w:vAlign w:val="center"/>
          </w:tcPr>
          <w:p>
            <w:pPr>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以经政府财政主管部门评审的施工合同结算金额为基数。各投标人的投标费率不得高于招标人的招标控制费率，否则按废标处理。</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第三标段：控制费率1.10%。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9056" w:type="dxa"/>
            <w:gridSpan w:val="5"/>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10.2词语解释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1016"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10.2.1</w:t>
            </w:r>
          </w:p>
        </w:tc>
        <w:tc>
          <w:tcPr>
            <w:tcW w:w="2228"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cs="宋体" w:asciiTheme="minorEastAsia" w:hAnsiTheme="minorEastAsia" w:eastAsiaTheme="minorEastAsia"/>
                <w:bCs/>
                <w:szCs w:val="21"/>
              </w:rPr>
              <w:t>类似项目</w:t>
            </w:r>
          </w:p>
        </w:tc>
        <w:tc>
          <w:tcPr>
            <w:tcW w:w="5812" w:type="dxa"/>
            <w:vAlign w:val="center"/>
          </w:tcPr>
          <w:p>
            <w:pPr>
              <w:pStyle w:val="9"/>
              <w:spacing w:after="0" w:line="400" w:lineRule="exact"/>
              <w:ind w:right="63"/>
              <w:rPr>
                <w:rFonts w:cs="宋体" w:asciiTheme="minorEastAsia" w:hAnsiTheme="minorEastAsia" w:eastAsiaTheme="minorEastAsia"/>
                <w:szCs w:val="21"/>
              </w:rPr>
            </w:pPr>
            <w:r>
              <w:rPr>
                <w:rFonts w:hint="eastAsia" w:cs="宋体" w:asciiTheme="minorEastAsia" w:hAnsiTheme="minorEastAsia" w:eastAsiaTheme="minorEastAsia"/>
                <w:szCs w:val="21"/>
              </w:rPr>
              <w:t>本招标项目第三标段类似项目指自2012年01月01日至投标截止时间前（以合同签订时间为准），依法招标的合同包含“四电”系统的城市轨道交通工程或铁路工程施工监理项目，“四电”系统不在同一个合同项下的可以累加，但一个合同只能累加一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9056" w:type="dxa"/>
            <w:gridSpan w:val="5"/>
            <w:vAlign w:val="center"/>
          </w:tcPr>
          <w:p>
            <w:pPr>
              <w:spacing w:line="400" w:lineRule="exact"/>
              <w:ind w:firstLine="24"/>
              <w:rPr>
                <w:rFonts w:asciiTheme="minorEastAsia" w:hAnsiTheme="minorEastAsia" w:eastAsiaTheme="minorEastAsia"/>
                <w:szCs w:val="21"/>
              </w:rPr>
            </w:pPr>
            <w:r>
              <w:rPr>
                <w:rFonts w:hint="eastAsia" w:asciiTheme="minorEastAsia" w:hAnsiTheme="minorEastAsia" w:eastAsiaTheme="minorEastAsia"/>
                <w:szCs w:val="21"/>
              </w:rPr>
              <w:t>（1）投标人的类似项目业绩，需提供中标通知书或</w:t>
            </w:r>
            <w:r>
              <w:rPr>
                <w:rFonts w:asciiTheme="minorEastAsia" w:hAnsiTheme="minorEastAsia" w:eastAsiaTheme="minorEastAsia"/>
                <w:szCs w:val="21"/>
              </w:rPr>
              <w:t>合同协议书</w:t>
            </w:r>
            <w:r>
              <w:rPr>
                <w:rFonts w:hint="eastAsia" w:asciiTheme="minorEastAsia" w:hAnsiTheme="minorEastAsia" w:eastAsiaTheme="minorEastAsia"/>
                <w:szCs w:val="21"/>
              </w:rPr>
              <w:t>或</w:t>
            </w:r>
            <w:r>
              <w:rPr>
                <w:rFonts w:asciiTheme="minorEastAsia" w:hAnsiTheme="minorEastAsia" w:eastAsiaTheme="minorEastAsia"/>
                <w:szCs w:val="21"/>
              </w:rPr>
              <w:t>工程接收证书（</w:t>
            </w:r>
            <w:r>
              <w:rPr>
                <w:rFonts w:hint="eastAsia" w:asciiTheme="minorEastAsia" w:hAnsiTheme="minorEastAsia" w:eastAsiaTheme="minorEastAsia"/>
                <w:szCs w:val="21"/>
              </w:rPr>
              <w:t>或</w:t>
            </w:r>
            <w:r>
              <w:rPr>
                <w:rFonts w:asciiTheme="minorEastAsia" w:hAnsiTheme="minorEastAsia" w:eastAsiaTheme="minorEastAsia"/>
                <w:szCs w:val="21"/>
              </w:rPr>
              <w:t>工程竣工验收证书</w:t>
            </w:r>
            <w:r>
              <w:rPr>
                <w:rFonts w:hint="eastAsia" w:asciiTheme="minorEastAsia" w:hAnsiTheme="minorEastAsia" w:eastAsiaTheme="minorEastAsia"/>
                <w:szCs w:val="21"/>
              </w:rPr>
              <w:t>或业主开具的证明文件</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400" w:lineRule="exact"/>
              <w:ind w:left="-6" w:leftChars="-3" w:firstLine="21" w:firstLineChars="10"/>
              <w:rPr>
                <w:rFonts w:asciiTheme="minorEastAsia" w:hAnsiTheme="minorEastAsia" w:eastAsiaTheme="minorEastAsia"/>
                <w:szCs w:val="21"/>
              </w:rPr>
            </w:pPr>
            <w:r>
              <w:rPr>
                <w:rFonts w:hint="eastAsia" w:asciiTheme="minorEastAsia" w:hAnsiTheme="minorEastAsia" w:eastAsiaTheme="minorEastAsia"/>
                <w:szCs w:val="21"/>
              </w:rPr>
              <w:t>（2）总监理工程师的类似项目业绩，需提供中标通知书、合同协议书及工程接收证书（或工程竣工验收证书或业主开具的证明文件），缺少其中任何一项证明材料的，均视为无效业绩；且须至少有一项能体现其姓名</w:t>
            </w:r>
            <w:r>
              <w:rPr>
                <w:rFonts w:asciiTheme="minorEastAsia" w:hAnsiTheme="minorEastAsia" w:eastAsiaTheme="minorEastAsia"/>
                <w:szCs w:val="21"/>
              </w:rPr>
              <w:t>及所担任的职务等信息</w:t>
            </w:r>
            <w:r>
              <w:rPr>
                <w:rFonts w:hint="eastAsia" w:asciiTheme="minorEastAsia" w:hAnsiTheme="minorEastAsia" w:eastAsiaTheme="minorEastAsia"/>
                <w:b/>
                <w:bCs/>
                <w:szCs w:val="21"/>
              </w:rPr>
              <w:t>（若以上多项证明材料体现的姓名及所担任的职务等信息不一致的，还须出具业主或行政监管部门开具的证明材料）</w:t>
            </w:r>
            <w:r>
              <w:rPr>
                <w:rFonts w:hint="eastAsia" w:asciiTheme="minorEastAsia" w:hAnsiTheme="minorEastAsia" w:eastAsiaTheme="minorEastAsia"/>
                <w:szCs w:val="21"/>
              </w:rPr>
              <w:t>。</w:t>
            </w:r>
          </w:p>
          <w:p>
            <w:pPr>
              <w:pStyle w:val="9"/>
              <w:spacing w:after="0" w:line="400" w:lineRule="exact"/>
              <w:ind w:right="63"/>
              <w:rPr>
                <w:rFonts w:asciiTheme="minorEastAsia" w:hAnsiTheme="minorEastAsia" w:eastAsiaTheme="minorEastAsia"/>
                <w:szCs w:val="21"/>
              </w:rPr>
            </w:pPr>
            <w:r>
              <w:rPr>
                <w:rFonts w:hint="eastAsia" w:asciiTheme="minorEastAsia" w:hAnsiTheme="minorEastAsia" w:eastAsiaTheme="minorEastAsia"/>
                <w:szCs w:val="21"/>
              </w:rPr>
              <w:t>（3）业主开具的证明文件须加盖业主单位公章，加盖项目部印章、部门印章等其他印章的为无效证明文件。</w:t>
            </w:r>
          </w:p>
          <w:p>
            <w:pPr>
              <w:pStyle w:val="9"/>
              <w:spacing w:after="0" w:line="400" w:lineRule="exact"/>
              <w:ind w:right="63"/>
              <w:rPr>
                <w:rFonts w:asciiTheme="minorEastAsia" w:hAnsiTheme="minorEastAsia" w:eastAsiaTheme="minorEastAsia"/>
                <w:szCs w:val="21"/>
              </w:rPr>
            </w:pPr>
            <w:r>
              <w:rPr>
                <w:rFonts w:hint="eastAsia" w:asciiTheme="minorEastAsia" w:hAnsiTheme="minorEastAsia" w:eastAsiaTheme="minorEastAsia"/>
                <w:szCs w:val="21"/>
              </w:rPr>
              <w:t>（4）企业业绩与项目总监理工程师业绩可重复使用。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trPr>
        <w:tc>
          <w:tcPr>
            <w:tcW w:w="1016"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10.2.2</w:t>
            </w:r>
          </w:p>
        </w:tc>
        <w:tc>
          <w:tcPr>
            <w:tcW w:w="2228"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cs="宋体" w:asciiTheme="minorEastAsia" w:hAnsiTheme="minorEastAsia" w:eastAsiaTheme="minorEastAsia"/>
                <w:bCs/>
                <w:szCs w:val="21"/>
              </w:rPr>
              <w:t>不良行为记录</w:t>
            </w:r>
          </w:p>
        </w:tc>
        <w:tc>
          <w:tcPr>
            <w:tcW w:w="5812" w:type="dxa"/>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不良行为记录是指：建筑市场各方主体在工程建设过程中违反有关工程建设的法律、法规、规章或强制性标准和执业行为规范，经省级以上建设行政主管部门或其委托的执法监督机构查实和行政处罚，形成的不良行为记录。</w:t>
            </w:r>
          </w:p>
          <w:p>
            <w:pPr>
              <w:spacing w:line="400" w:lineRule="exact"/>
              <w:rPr>
                <w:rFonts w:asciiTheme="minorEastAsia" w:hAnsiTheme="minorEastAsia" w:eastAsiaTheme="minorEastAsia"/>
                <w:color w:val="FF0000"/>
                <w:szCs w:val="21"/>
                <w:highlight w:val="yellow"/>
              </w:rPr>
            </w:pPr>
            <w:r>
              <w:rPr>
                <w:rFonts w:hint="eastAsia" w:cs="宋体" w:asciiTheme="minorEastAsia" w:hAnsiTheme="minorEastAsia" w:eastAsiaTheme="minorEastAsia"/>
                <w:b/>
                <w:bCs/>
                <w:szCs w:val="21"/>
              </w:rPr>
              <w:t>提供投标人在全国建筑市场监管公共服务平台中的企业不良行为记录查询页。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10.3结果公示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515"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1、在中标通知书发出前，招标人将中标候选人的情况在《中国采购与招标网》、《河南招标采购综合网》和《全国公共资源交易平台(河南省·许昌市)》予以公示，公示期不少于3日。</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10.4同义词语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构成投标文件组成部分的“通用合同条款”、“专用合同条款”、“技术标准和要求”等章节中出现的措辞“发包人”和“承包人”，在招标投标阶段应当分别按“招标人”和“投标人”进行理解。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10.5监  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39"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9"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10.6解释权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83"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构成本招标文件的各个组成文件应互为解释，互为说明：</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1、如有不明确或不一致，构成合同文件组成内容，以合同文件约定内容为准，且以专用合同条款约定的合同文件优先顺序解释；</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2、除招标文件中有特别规定外，仅适用于招标投标阶段的规定，按招标公告（投标邀请书）、投标人须知、评标办法、投标文件格式的先后顺序解释；</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3、同一组成文件中就同一事项的规定或约定不一致的，以编排顺序在后者为准；</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4、同一组成文件不同版本之间有不一致的，以形成时间在后者为准。</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10.7招标人声明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79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1.投标人因参与投标活动而涉及的人身伤害、财产损害、侵犯他人权益、仲裁或诉讼等，应当责任自负、费用自担，并应保证招标人和招标代理机构免于承担上述责任或者其他不良影响。</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2.招标人声明招标文件中附带的参考资料是以诚信的态度提供的，是招标人现有的和客观的信息。招标人不对投标人由此做出的任何理解、推论、判断、结论和决策进行负责。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8"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Style w:val="38"/>
                <w:rFonts w:hint="eastAsia" w:cs="宋体" w:asciiTheme="minorEastAsia" w:hAnsiTheme="minorEastAsia" w:eastAsiaTheme="minorEastAsia"/>
                <w:sz w:val="21"/>
                <w:szCs w:val="21"/>
              </w:rPr>
              <w:t>10.8合同授予的条件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15"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或重新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10.9知识产权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01"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8"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10.10投标人代表出席开标会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1、开标时各投标人的法定代表人或授权委托人持身份证及授权委托书原件，到开标现场签到，缺席或逾期不到者视为放弃。各投标单位参加会议人数不得多于三人。</w:t>
            </w:r>
          </w:p>
          <w:p>
            <w:pPr>
              <w:spacing w:line="40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2、拟派项目总监理工程师携带本人身份证原件参加开标会议。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10.11重新招标的其他情形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50"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1、评标委员会界定为不合格标或否决投标后，因有效投标人不足3个使得投标明显缺乏竞争，评标委员会决定否决全部投标的。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2、除投标人须知正文第8条规定的情形外，除非已经产生中标候选人，在投标有效期内同意延长投标有效期的投标人少于3个的，招标人应当依法重新招标。</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3、招标人编制的招标文件的内容违反法律、行政法规的强制性规定，违反公开、公平、公正和诚实信用原则，影响潜在投标人投标的，招标人应当在修改招标文件后重新招标。</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5、依法必须进行招标的项目的招标投标活动违反招标投标法和招标投标法实施条例的规定，对中标结果造成实质性影响，且不能采取补救措施予以纠正的，招标、投标、中标无效，应当依法重新招标或者评标。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10.12提醒各投标人关于“评标委员会审查原件”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35"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提醒各投标人关于“评标委员会审查原件”：</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（1）投标人递交投标文件时，须同时递交招标文件第六章 《投标人递交资料原件清单》表及其所提到的全部资料的原件，评标委员会依据投标人提供的清单表及原件对其进行评审。</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（2）评标委员会依据投标人所提供的原件对招标文件第三章评标办法前附表 “资格评审标准”中相关内容进行评审，未提供原件的，或所提供原件不符合资格评审标准要求的，或所提供原件与其投标文件内容（能反映评审标准部分）不符合的，将导致投标人无法通过资格评审，并不进入后续评审。</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评标委员会依据投标人所提供的原件对招标文件第三章评标办法相关内容进行评审，未提供原件的，或原件不符合评分标准的，或所提供原件与其投标文件内容（能反映评审标准部分）不符合的，该项评审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10.13投标文件的拒收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75"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1、逾期送达的或者未送达指定地点的投标文件；</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2、投标文件未按招标文件要求密封的；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3、未按招标文件要求缴纳投标保证金的；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4、开标时法定代表人未携带本人身份证原件或授权委托人未携带有效的授权委托书原件和身份证原件到开标现场并签到的；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5、开标时拟派项目总监理工程师未携带本人身份证原件到开标现场并签到的；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6、未按照规定支付招标文件费用的；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7、未通过《全国公共资源交易平台(河南省·许昌市)》下载招标文件的。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10.14特别提示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78" w:hRule="atLeast"/>
        </w:trPr>
        <w:tc>
          <w:tcPr>
            <w:tcW w:w="9056" w:type="dxa"/>
            <w:gridSpan w:val="5"/>
            <w:tcBorders>
              <w:top w:val="single" w:color="auto" w:sz="4" w:space="0"/>
            </w:tcBorders>
            <w:vAlign w:val="center"/>
          </w:tcPr>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1、潜在投标人应仔细阅读招标文件，若发现有遗漏，请在规定时间内在《全国公共资源交易平台(河南省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宋体" w:asciiTheme="minorEastAsia" w:hAnsiTheme="minorEastAsia" w:eastAsiaTheme="minorEastAsia"/>
                <w:color w:val="000000"/>
                <w:szCs w:val="21"/>
              </w:rPr>
              <w:t>)》上提出。</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2、潜在投标人如对招标文件有异议，请在规定时间内在许昌市公共资源交易系统平台上提出，以其他方式递交的异议不予接受。</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3.投标人在投标截止时间前应随时关注全国公共资源交易平台(河南省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宋体" w:asciiTheme="minorEastAsia" w:hAnsiTheme="minorEastAsia" w:eastAsiaTheme="minorEastAsia"/>
                <w:color w:val="000000"/>
                <w:szCs w:val="21"/>
              </w:rPr>
              <w:t>)交易系统平台发出的有关本工程的答疑、修改等相关内容。</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4.商务标投标文件制作过程中如遇操作或技术问题请咨询：0374-2961598。</w:t>
            </w:r>
          </w:p>
        </w:tc>
      </w:tr>
    </w:tbl>
    <w:p>
      <w:pPr>
        <w:spacing w:line="360" w:lineRule="auto"/>
        <w:rPr>
          <w:rFonts w:ascii="新宋体" w:hAnsi="新宋体" w:eastAsia="新宋体"/>
          <w:b/>
          <w:sz w:val="24"/>
        </w:rPr>
      </w:pPr>
    </w:p>
    <w:p>
      <w:pPr>
        <w:pStyle w:val="9"/>
      </w:pPr>
    </w:p>
    <w:p>
      <w:pPr>
        <w:pStyle w:val="9"/>
      </w:pPr>
    </w:p>
    <w:p>
      <w:pPr>
        <w:pStyle w:val="9"/>
      </w:pPr>
    </w:p>
    <w:p>
      <w:pPr>
        <w:pStyle w:val="2"/>
      </w:pPr>
      <w:bookmarkStart w:id="22" w:name="_Toc498502944"/>
      <w:bookmarkStart w:id="23" w:name="_Toc12702"/>
      <w:r>
        <w:t>1.总则</w:t>
      </w:r>
      <w:bookmarkEnd w:id="22"/>
      <w:bookmarkEnd w:id="23"/>
    </w:p>
    <w:p>
      <w:pPr>
        <w:pStyle w:val="4"/>
      </w:pPr>
      <w:bookmarkStart w:id="24" w:name="_Toc152042306"/>
      <w:bookmarkStart w:id="25" w:name="_Toc273358856"/>
      <w:bookmarkStart w:id="26" w:name="_Toc7783"/>
      <w:bookmarkStart w:id="27" w:name="_Toc498502945"/>
      <w:bookmarkStart w:id="28" w:name="_Toc14982"/>
      <w:bookmarkStart w:id="29" w:name="_Toc144974498"/>
      <w:bookmarkStart w:id="30" w:name="_Toc281225096"/>
      <w:bookmarkStart w:id="31" w:name="_Toc269324687"/>
      <w:bookmarkStart w:id="32" w:name="_Toc3859"/>
      <w:bookmarkStart w:id="33" w:name="_Toc499204853"/>
      <w:bookmarkStart w:id="34" w:name="_Toc270670928"/>
      <w:bookmarkStart w:id="35" w:name="_Toc499311068"/>
      <w:bookmarkStart w:id="36" w:name="_Toc152045530"/>
      <w:r>
        <w:t>1.1 项目概况</w:t>
      </w:r>
      <w:bookmarkEnd w:id="24"/>
      <w:bookmarkEnd w:id="25"/>
      <w:bookmarkEnd w:id="26"/>
      <w:bookmarkEnd w:id="27"/>
      <w:bookmarkEnd w:id="28"/>
      <w:bookmarkEnd w:id="29"/>
      <w:bookmarkEnd w:id="30"/>
      <w:bookmarkEnd w:id="31"/>
      <w:bookmarkEnd w:id="32"/>
      <w:bookmarkEnd w:id="33"/>
      <w:bookmarkEnd w:id="34"/>
      <w:bookmarkEnd w:id="35"/>
      <w:bookmarkEnd w:id="36"/>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1.1.1根据《中华人民共和国招标投标法》等有关法律、法规和规章的规定，本招标项目已具备招标条件，现对本项目进行招标。</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1.1.2 本项目招标人：见投标人须知前附表。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1.1.3 本</w:t>
      </w:r>
      <w:r>
        <w:rPr>
          <w:rFonts w:hint="eastAsia" w:asciiTheme="minorEastAsia" w:hAnsiTheme="minorEastAsia" w:eastAsiaTheme="minorEastAsia"/>
          <w:sz w:val="24"/>
        </w:rPr>
        <w:t>项目</w:t>
      </w:r>
      <w:r>
        <w:rPr>
          <w:rFonts w:asciiTheme="minorEastAsia" w:hAnsiTheme="minorEastAsia" w:eastAsiaTheme="minorEastAsia"/>
          <w:sz w:val="24"/>
        </w:rPr>
        <w:t>招标代理机构：见投标人须知前附表。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1.1.</w:t>
      </w:r>
      <w:r>
        <w:rPr>
          <w:rFonts w:hint="eastAsia" w:asciiTheme="minorEastAsia" w:hAnsiTheme="minorEastAsia" w:eastAsiaTheme="minorEastAsia"/>
          <w:sz w:val="24"/>
        </w:rPr>
        <w:t xml:space="preserve">4 </w:t>
      </w:r>
      <w:r>
        <w:rPr>
          <w:rFonts w:asciiTheme="minorEastAsia" w:hAnsiTheme="minorEastAsia" w:eastAsiaTheme="minorEastAsia"/>
          <w:sz w:val="24"/>
        </w:rPr>
        <w:t>本</w:t>
      </w:r>
      <w:r>
        <w:rPr>
          <w:rFonts w:hint="eastAsia" w:asciiTheme="minorEastAsia" w:hAnsiTheme="minorEastAsia" w:eastAsiaTheme="minorEastAsia"/>
          <w:sz w:val="24"/>
        </w:rPr>
        <w:t>项目工程名称</w:t>
      </w:r>
      <w:r>
        <w:rPr>
          <w:rFonts w:asciiTheme="minorEastAsia" w:hAnsiTheme="minorEastAsia" w:eastAsiaTheme="minorEastAsia"/>
          <w:sz w:val="24"/>
        </w:rPr>
        <w:t>：见投标人须知前附表。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1.1.</w:t>
      </w:r>
      <w:r>
        <w:rPr>
          <w:rFonts w:hint="eastAsia" w:asciiTheme="minorEastAsia" w:hAnsiTheme="minorEastAsia" w:eastAsiaTheme="minorEastAsia"/>
          <w:sz w:val="24"/>
        </w:rPr>
        <w:t xml:space="preserve">5 </w:t>
      </w:r>
      <w:r>
        <w:rPr>
          <w:rFonts w:asciiTheme="minorEastAsia" w:hAnsiTheme="minorEastAsia" w:eastAsiaTheme="minorEastAsia"/>
          <w:sz w:val="24"/>
        </w:rPr>
        <w:t>本招标项目名称：见投标人须知前附表。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1.1.</w:t>
      </w:r>
      <w:r>
        <w:rPr>
          <w:rFonts w:hint="eastAsia" w:asciiTheme="minorEastAsia" w:hAnsiTheme="minorEastAsia" w:eastAsiaTheme="minorEastAsia"/>
          <w:sz w:val="24"/>
        </w:rPr>
        <w:t>6</w:t>
      </w:r>
      <w:r>
        <w:rPr>
          <w:rFonts w:asciiTheme="minorEastAsia" w:hAnsiTheme="minorEastAsia" w:eastAsiaTheme="minorEastAsia"/>
          <w:sz w:val="24"/>
        </w:rPr>
        <w:t xml:space="preserve"> 本</w:t>
      </w:r>
      <w:r>
        <w:rPr>
          <w:rFonts w:hint="eastAsia" w:asciiTheme="minorEastAsia" w:hAnsiTheme="minorEastAsia" w:eastAsiaTheme="minorEastAsia"/>
          <w:sz w:val="24"/>
        </w:rPr>
        <w:t>项目</w:t>
      </w:r>
      <w:r>
        <w:rPr>
          <w:rFonts w:asciiTheme="minorEastAsia" w:hAnsiTheme="minorEastAsia" w:eastAsiaTheme="minorEastAsia"/>
          <w:sz w:val="24"/>
        </w:rPr>
        <w:t>建设地点：见投标人须知前附表。</w:t>
      </w:r>
    </w:p>
    <w:p>
      <w:pPr>
        <w:pStyle w:val="4"/>
      </w:pPr>
      <w:bookmarkStart w:id="37" w:name="_Toc273358857"/>
      <w:bookmarkStart w:id="38" w:name="_Toc498502946"/>
      <w:bookmarkStart w:id="39" w:name="_Toc22075"/>
      <w:bookmarkStart w:id="40" w:name="_Toc499311069"/>
      <w:bookmarkStart w:id="41" w:name="_Toc270670929"/>
      <w:bookmarkStart w:id="42" w:name="_Toc152045531"/>
      <w:bookmarkStart w:id="43" w:name="_Toc281225097"/>
      <w:bookmarkStart w:id="44" w:name="_Toc499204854"/>
      <w:bookmarkStart w:id="45" w:name="_Toc269324688"/>
      <w:bookmarkStart w:id="46" w:name="_Toc152042307"/>
      <w:bookmarkStart w:id="47" w:name="_Toc28986"/>
      <w:bookmarkStart w:id="48" w:name="_Toc144974499"/>
      <w:bookmarkStart w:id="49" w:name="_Toc20419"/>
      <w:r>
        <w:t>1.2 资金来源、落实情况</w:t>
      </w:r>
      <w:bookmarkEnd w:id="37"/>
      <w:bookmarkEnd w:id="38"/>
      <w:bookmarkEnd w:id="39"/>
      <w:bookmarkEnd w:id="40"/>
      <w:bookmarkEnd w:id="41"/>
      <w:bookmarkEnd w:id="42"/>
      <w:bookmarkEnd w:id="43"/>
      <w:bookmarkEnd w:id="44"/>
      <w:bookmarkEnd w:id="45"/>
      <w:bookmarkEnd w:id="46"/>
      <w:bookmarkEnd w:id="47"/>
      <w:bookmarkEnd w:id="48"/>
      <w:bookmarkEnd w:id="49"/>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1.2.1 本招标项目的资金来源：见投标人须知前附表。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rPr>
        <w:t>2</w:t>
      </w:r>
      <w:r>
        <w:rPr>
          <w:rFonts w:asciiTheme="minorEastAsia" w:hAnsiTheme="minorEastAsia" w:eastAsiaTheme="minorEastAsia"/>
          <w:sz w:val="24"/>
        </w:rPr>
        <w:t xml:space="preserve"> 本招标项目的资金落实情况：见投标人须知前附表。</w:t>
      </w:r>
    </w:p>
    <w:p>
      <w:pPr>
        <w:pStyle w:val="4"/>
      </w:pPr>
      <w:bookmarkStart w:id="50" w:name="_Toc498502947"/>
      <w:bookmarkStart w:id="51" w:name="_Toc325550667"/>
      <w:bookmarkStart w:id="52" w:name="_Toc24275"/>
      <w:bookmarkStart w:id="53" w:name="_Toc499204855"/>
      <w:bookmarkStart w:id="54" w:name="_Toc499311070"/>
      <w:bookmarkStart w:id="55" w:name="_Toc11680"/>
      <w:bookmarkStart w:id="56" w:name="_Toc281225102"/>
      <w:bookmarkStart w:id="57" w:name="_Toc152042310"/>
      <w:bookmarkStart w:id="58" w:name="_Toc273358859"/>
      <w:bookmarkStart w:id="59" w:name="_Toc8391"/>
      <w:bookmarkStart w:id="60" w:name="_Toc270670931"/>
      <w:bookmarkStart w:id="61" w:name="_Toc269324690"/>
      <w:bookmarkStart w:id="62" w:name="_Toc144974502"/>
      <w:bookmarkStart w:id="63" w:name="_Toc152045534"/>
      <w:r>
        <w:t>1.3招标范围、服务周期和质量要求</w:t>
      </w:r>
      <w:bookmarkEnd w:id="50"/>
      <w:bookmarkEnd w:id="51"/>
      <w:bookmarkEnd w:id="52"/>
      <w:bookmarkEnd w:id="53"/>
      <w:bookmarkEnd w:id="54"/>
      <w:bookmarkEnd w:id="55"/>
    </w:p>
    <w:p>
      <w:pPr>
        <w:spacing w:line="360" w:lineRule="auto"/>
        <w:ind w:firstLine="420"/>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1</w:t>
      </w:r>
      <w:r>
        <w:rPr>
          <w:rFonts w:asciiTheme="minorEastAsia" w:hAnsiTheme="minorEastAsia" w:eastAsiaTheme="minorEastAsia"/>
          <w:sz w:val="24"/>
        </w:rPr>
        <w:t xml:space="preserve"> 本次</w:t>
      </w:r>
      <w:r>
        <w:rPr>
          <w:rFonts w:hint="eastAsia" w:asciiTheme="minorEastAsia" w:hAnsiTheme="minorEastAsia" w:eastAsiaTheme="minorEastAsia"/>
          <w:sz w:val="24"/>
        </w:rPr>
        <w:t>标段划分及</w:t>
      </w:r>
      <w:r>
        <w:rPr>
          <w:rFonts w:asciiTheme="minorEastAsia" w:hAnsiTheme="minorEastAsia" w:eastAsiaTheme="minorEastAsia"/>
          <w:sz w:val="24"/>
        </w:rPr>
        <w:t>招标范围：见投标人须知前附表。</w:t>
      </w:r>
    </w:p>
    <w:p>
      <w:pPr>
        <w:spacing w:line="360" w:lineRule="auto"/>
        <w:ind w:firstLine="420"/>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2</w:t>
      </w:r>
      <w:r>
        <w:rPr>
          <w:rFonts w:asciiTheme="minorEastAsia" w:hAnsiTheme="minorEastAsia" w:eastAsiaTheme="minorEastAsia"/>
          <w:sz w:val="24"/>
        </w:rPr>
        <w:t xml:space="preserve"> 本</w:t>
      </w:r>
      <w:r>
        <w:rPr>
          <w:rFonts w:hint="eastAsia" w:asciiTheme="minorEastAsia" w:hAnsiTheme="minorEastAsia" w:eastAsiaTheme="minorEastAsia"/>
          <w:sz w:val="24"/>
        </w:rPr>
        <w:t>项目</w:t>
      </w:r>
      <w:r>
        <w:rPr>
          <w:rFonts w:asciiTheme="minorEastAsia" w:hAnsiTheme="minorEastAsia" w:eastAsiaTheme="minorEastAsia"/>
          <w:sz w:val="24"/>
        </w:rPr>
        <w:t>的</w:t>
      </w:r>
      <w:r>
        <w:rPr>
          <w:rFonts w:hint="eastAsia" w:asciiTheme="minorEastAsia" w:hAnsiTheme="minorEastAsia" w:eastAsiaTheme="minorEastAsia"/>
          <w:sz w:val="24"/>
        </w:rPr>
        <w:t>监理服务期限</w:t>
      </w:r>
      <w:r>
        <w:rPr>
          <w:rFonts w:asciiTheme="minorEastAsia" w:hAnsiTheme="minorEastAsia" w:eastAsiaTheme="minorEastAsia"/>
          <w:sz w:val="24"/>
        </w:rPr>
        <w:t>：见投标人须知前附表。</w:t>
      </w:r>
    </w:p>
    <w:p>
      <w:pPr>
        <w:spacing w:line="360" w:lineRule="auto"/>
        <w:ind w:firstLine="420"/>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 xml:space="preserve">3 </w:t>
      </w:r>
      <w:r>
        <w:rPr>
          <w:rFonts w:asciiTheme="minorEastAsia" w:hAnsiTheme="minorEastAsia" w:eastAsiaTheme="minorEastAsia"/>
          <w:sz w:val="24"/>
        </w:rPr>
        <w:t>本</w:t>
      </w:r>
      <w:r>
        <w:rPr>
          <w:rFonts w:hint="eastAsia" w:asciiTheme="minorEastAsia" w:hAnsiTheme="minorEastAsia" w:eastAsiaTheme="minorEastAsia"/>
          <w:sz w:val="24"/>
        </w:rPr>
        <w:t>项目</w:t>
      </w:r>
      <w:r>
        <w:rPr>
          <w:rFonts w:asciiTheme="minorEastAsia" w:hAnsiTheme="minorEastAsia" w:eastAsiaTheme="minorEastAsia"/>
          <w:sz w:val="24"/>
        </w:rPr>
        <w:t>的质量要求：见投标人须知前附表。</w:t>
      </w:r>
    </w:p>
    <w:p>
      <w:pPr>
        <w:pStyle w:val="4"/>
      </w:pPr>
      <w:bookmarkStart w:id="64" w:name="_Toc498502948"/>
      <w:bookmarkStart w:id="65" w:name="_Toc499311071"/>
      <w:bookmarkStart w:id="66" w:name="_Toc18635"/>
      <w:bookmarkStart w:id="67" w:name="_Toc499204856"/>
      <w:bookmarkStart w:id="68" w:name="_Toc32382"/>
      <w:r>
        <w:t>1.4 投标人资格要求</w:t>
      </w:r>
      <w:bookmarkEnd w:id="56"/>
      <w:bookmarkEnd w:id="57"/>
      <w:bookmarkEnd w:id="58"/>
      <w:bookmarkEnd w:id="59"/>
      <w:bookmarkEnd w:id="60"/>
      <w:bookmarkEnd w:id="61"/>
      <w:bookmarkEnd w:id="62"/>
      <w:bookmarkEnd w:id="63"/>
      <w:bookmarkEnd w:id="64"/>
      <w:bookmarkEnd w:id="65"/>
      <w:bookmarkEnd w:id="66"/>
      <w:bookmarkEnd w:id="67"/>
      <w:bookmarkEnd w:id="68"/>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1.4.1投标人资格要求见投标人须知前附表。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1.4.2是否接受联合体投标：见投标人须知前附表。</w:t>
      </w:r>
    </w:p>
    <w:p>
      <w:pPr>
        <w:spacing w:line="360" w:lineRule="auto"/>
        <w:ind w:firstLine="420"/>
        <w:rPr>
          <w:rFonts w:asciiTheme="minorEastAsia" w:hAnsiTheme="minorEastAsia" w:eastAsiaTheme="minorEastAsia"/>
          <w:b/>
          <w:sz w:val="24"/>
        </w:rPr>
      </w:pPr>
      <w:bookmarkStart w:id="69" w:name="_Toc280800694"/>
      <w:bookmarkStart w:id="70" w:name="_Toc280876749"/>
      <w:bookmarkStart w:id="71" w:name="_Toc291080496"/>
      <w:bookmarkStart w:id="72" w:name="_Toc281225103"/>
      <w:r>
        <w:rPr>
          <w:rFonts w:asciiTheme="minorEastAsia" w:hAnsiTheme="minorEastAsia" w:eastAsiaTheme="minorEastAsia"/>
          <w:sz w:val="24"/>
        </w:rPr>
        <w:t>1.4.3 投标人不得存在下列情形之一：</w:t>
      </w:r>
      <w:bookmarkEnd w:id="69"/>
      <w:bookmarkEnd w:id="70"/>
      <w:bookmarkEnd w:id="71"/>
      <w:bookmarkEnd w:id="72"/>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 xml:space="preserve">（1）为招标人不具有独立法人资格的附属机构（单位）； </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 xml:space="preserve">（2）为本标段前期准备提供设计或咨询服务的； </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 xml:space="preserve">（3）为本标段的施工单位； </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 xml:space="preserve">（4）为本标段提供招标代理服务的； </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（5）与本标段的施工单位或招标代理机构同为一个法定代表人的；</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（6）与本标段的施工单位或招标代理机构相互控股或参股的；</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（7）与本标段的施工单位或招标代理机构相互任职或工作的；</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 xml:space="preserve">（8）被责令停业的； </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 xml:space="preserve">（9）被暂停或取消投标资格的； </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（10）财产被接管或冻结的；</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（11）在最近三年内有骗取中标或严重违约或重大工程质量问题的。</w:t>
      </w:r>
    </w:p>
    <w:p>
      <w:pPr>
        <w:pStyle w:val="4"/>
      </w:pPr>
      <w:bookmarkStart w:id="73" w:name="_Toc1595"/>
      <w:bookmarkStart w:id="74" w:name="_Toc144974503"/>
      <w:bookmarkStart w:id="75" w:name="_Toc152042311"/>
      <w:bookmarkStart w:id="76" w:name="_Toc281225104"/>
      <w:bookmarkStart w:id="77" w:name="_Toc498502949"/>
      <w:bookmarkStart w:id="78" w:name="_Toc499311072"/>
      <w:bookmarkStart w:id="79" w:name="_Toc269324691"/>
      <w:bookmarkStart w:id="80" w:name="_Toc273358860"/>
      <w:bookmarkStart w:id="81" w:name="_Toc19376"/>
      <w:bookmarkStart w:id="82" w:name="_Toc26057"/>
      <w:bookmarkStart w:id="83" w:name="_Toc152045535"/>
      <w:bookmarkStart w:id="84" w:name="_Toc270670932"/>
      <w:bookmarkStart w:id="85" w:name="_Toc499204857"/>
      <w:r>
        <w:t>1.5 费用承担</w:t>
      </w:r>
      <w:bookmarkEnd w:id="73"/>
      <w:bookmarkEnd w:id="74"/>
      <w:bookmarkEnd w:id="75"/>
      <w:bookmarkEnd w:id="76"/>
      <w:bookmarkEnd w:id="77"/>
      <w:bookmarkEnd w:id="78"/>
      <w:bookmarkEnd w:id="79"/>
      <w:bookmarkEnd w:id="80"/>
      <w:bookmarkEnd w:id="81"/>
      <w:bookmarkEnd w:id="82"/>
      <w:bookmarkEnd w:id="83"/>
      <w:bookmarkEnd w:id="84"/>
      <w:bookmarkEnd w:id="85"/>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投标人准备和参加投标活动发生的一切费用自理，无论中标与否，均由投标人自行承担。</w:t>
      </w:r>
    </w:p>
    <w:p>
      <w:pPr>
        <w:pStyle w:val="4"/>
      </w:pPr>
      <w:bookmarkStart w:id="86" w:name="_Toc10693"/>
      <w:bookmarkStart w:id="87" w:name="_Toc152042312"/>
      <w:bookmarkStart w:id="88" w:name="_Toc499204858"/>
      <w:bookmarkStart w:id="89" w:name="_Toc144974504"/>
      <w:bookmarkStart w:id="90" w:name="_Toc5610"/>
      <w:bookmarkStart w:id="91" w:name="_Toc281225105"/>
      <w:bookmarkStart w:id="92" w:name="_Toc25740"/>
      <w:bookmarkStart w:id="93" w:name="_Toc269324692"/>
      <w:bookmarkStart w:id="94" w:name="_Toc498502950"/>
      <w:bookmarkStart w:id="95" w:name="_Toc270670933"/>
      <w:bookmarkStart w:id="96" w:name="_Toc499311073"/>
      <w:bookmarkStart w:id="97" w:name="_Toc152045536"/>
      <w:bookmarkStart w:id="98" w:name="_Toc273358861"/>
      <w:r>
        <w:t>1.6 保密</w:t>
      </w:r>
      <w:bookmarkEnd w:id="86"/>
      <w:bookmarkEnd w:id="87"/>
      <w:bookmarkEnd w:id="88"/>
      <w:bookmarkEnd w:id="89"/>
      <w:bookmarkEnd w:id="90"/>
      <w:bookmarkEnd w:id="91"/>
      <w:bookmarkEnd w:id="92"/>
      <w:bookmarkEnd w:id="93"/>
      <w:bookmarkEnd w:id="94"/>
      <w:bookmarkEnd w:id="95"/>
      <w:bookmarkEnd w:id="96"/>
      <w:bookmarkEnd w:id="97"/>
      <w:bookmarkEnd w:id="98"/>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参与招标投标活动的各方应对招标文件和投标文件中的商业和技术等秘密保密，违者应对由此造成的后果承担法律责任。</w:t>
      </w:r>
    </w:p>
    <w:p>
      <w:pPr>
        <w:pStyle w:val="4"/>
      </w:pPr>
      <w:bookmarkStart w:id="99" w:name="_Toc144974505"/>
      <w:bookmarkStart w:id="100" w:name="_Toc499204859"/>
      <w:bookmarkStart w:id="101" w:name="_Toc498502951"/>
      <w:bookmarkStart w:id="102" w:name="_Toc269324693"/>
      <w:bookmarkStart w:id="103" w:name="_Toc152042313"/>
      <w:bookmarkStart w:id="104" w:name="_Toc273358862"/>
      <w:bookmarkStart w:id="105" w:name="_Toc281225106"/>
      <w:bookmarkStart w:id="106" w:name="_Toc499311074"/>
      <w:bookmarkStart w:id="107" w:name="_Toc3643"/>
      <w:bookmarkStart w:id="108" w:name="_Toc20769"/>
      <w:bookmarkStart w:id="109" w:name="_Toc152045537"/>
      <w:bookmarkStart w:id="110" w:name="_Toc29633"/>
      <w:bookmarkStart w:id="111" w:name="_Toc270670934"/>
      <w:r>
        <w:t>1.7 语言</w:t>
      </w:r>
      <w:bookmarkEnd w:id="99"/>
      <w:r>
        <w:t>文字</w:t>
      </w:r>
      <w:bookmarkEnd w:id="100"/>
      <w:bookmarkEnd w:id="101"/>
      <w:bookmarkEnd w:id="102"/>
      <w:bookmarkEnd w:id="103"/>
      <w:bookmarkEnd w:id="104"/>
      <w:bookmarkEnd w:id="105"/>
      <w:bookmarkEnd w:id="106"/>
      <w:bookmarkEnd w:id="107"/>
      <w:bookmarkEnd w:id="108"/>
      <w:bookmarkEnd w:id="109"/>
      <w:bookmarkEnd w:id="110"/>
      <w:bookmarkEnd w:id="111"/>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除专用术语外，与招标投标有关的语言均使用中文。必要时专用术语应附有中文注释，</w:t>
      </w:r>
      <w:r>
        <w:rPr>
          <w:rFonts w:asciiTheme="minorEastAsia" w:hAnsiTheme="minorEastAsia" w:eastAsiaTheme="minorEastAsia"/>
          <w:sz w:val="24"/>
          <w:lang w:bidi="en-US"/>
        </w:rPr>
        <w:t>对不同文字文本投标文件的解释发生异议的，以中文文本为准</w:t>
      </w:r>
      <w:r>
        <w:rPr>
          <w:rFonts w:asciiTheme="minorEastAsia" w:hAnsiTheme="minorEastAsia" w:eastAsiaTheme="minorEastAsia"/>
          <w:sz w:val="24"/>
        </w:rPr>
        <w:t>。</w:t>
      </w:r>
    </w:p>
    <w:p>
      <w:pPr>
        <w:pStyle w:val="4"/>
      </w:pPr>
      <w:bookmarkStart w:id="112" w:name="_Toc6907"/>
      <w:bookmarkStart w:id="113" w:name="_Toc273358863"/>
      <w:bookmarkStart w:id="114" w:name="_Toc498502952"/>
      <w:bookmarkStart w:id="115" w:name="_Toc152042314"/>
      <w:bookmarkStart w:id="116" w:name="_Toc15769"/>
      <w:bookmarkStart w:id="117" w:name="_Toc152045538"/>
      <w:bookmarkStart w:id="118" w:name="_Toc499311075"/>
      <w:bookmarkStart w:id="119" w:name="_Toc281225107"/>
      <w:bookmarkStart w:id="120" w:name="_Toc499204860"/>
      <w:bookmarkStart w:id="121" w:name="_Toc269324694"/>
      <w:bookmarkStart w:id="122" w:name="_Toc270670935"/>
      <w:bookmarkStart w:id="123" w:name="_Toc144974506"/>
      <w:bookmarkStart w:id="124" w:name="_Toc15379"/>
      <w:r>
        <w:t>1.8 计量单位</w:t>
      </w:r>
      <w:bookmarkEnd w:id="112"/>
      <w:bookmarkEnd w:id="113"/>
      <w:bookmarkEnd w:id="114"/>
      <w:bookmarkEnd w:id="115"/>
      <w:bookmarkEnd w:id="116"/>
      <w:bookmarkEnd w:id="117"/>
      <w:bookmarkEnd w:id="118"/>
      <w:bookmarkEnd w:id="119"/>
      <w:bookmarkEnd w:id="120"/>
      <w:bookmarkEnd w:id="121"/>
      <w:bookmarkEnd w:id="122"/>
      <w:bookmarkEnd w:id="123"/>
      <w:bookmarkEnd w:id="124"/>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除技术规范另有规定外，所有计量均采用中华人民共和国法定计量单位。</w:t>
      </w:r>
    </w:p>
    <w:p>
      <w:pPr>
        <w:pStyle w:val="4"/>
      </w:pPr>
      <w:bookmarkStart w:id="125" w:name="_Toc281225108"/>
      <w:bookmarkStart w:id="126" w:name="_Toc27613"/>
      <w:bookmarkStart w:id="127" w:name="_Toc499204861"/>
      <w:bookmarkStart w:id="128" w:name="_Toc25489"/>
      <w:bookmarkStart w:id="129" w:name="_Toc152042315"/>
      <w:bookmarkStart w:id="130" w:name="_Toc144974507"/>
      <w:bookmarkStart w:id="131" w:name="_Toc269324695"/>
      <w:bookmarkStart w:id="132" w:name="_Toc498502953"/>
      <w:bookmarkStart w:id="133" w:name="_Toc499311076"/>
      <w:bookmarkStart w:id="134" w:name="_Toc270670936"/>
      <w:bookmarkStart w:id="135" w:name="_Toc152045539"/>
      <w:bookmarkStart w:id="136" w:name="_Toc21341"/>
      <w:bookmarkStart w:id="137" w:name="_Toc273358864"/>
      <w:r>
        <w:t>1.9 踏勘现场</w:t>
      </w:r>
      <w:bookmarkEnd w:id="125"/>
      <w:bookmarkEnd w:id="126"/>
      <w:bookmarkEnd w:id="127"/>
      <w:bookmarkEnd w:id="128"/>
      <w:bookmarkEnd w:id="129"/>
      <w:bookmarkEnd w:id="130"/>
      <w:bookmarkEnd w:id="131"/>
      <w:bookmarkEnd w:id="132"/>
      <w:bookmarkEnd w:id="133"/>
      <w:bookmarkEnd w:id="134"/>
      <w:bookmarkEnd w:id="135"/>
      <w:bookmarkEnd w:id="136"/>
      <w:bookmarkEnd w:id="137"/>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1.9.1投标人须知前附表规定组织踏勘现场的，招标人按投标人须知前附表规定的时间、地点将组织投标人踏勘项目现场。</w:t>
      </w:r>
    </w:p>
    <w:p>
      <w:pPr>
        <w:spacing w:line="360" w:lineRule="auto"/>
        <w:ind w:firstLine="420"/>
        <w:jc w:val="left"/>
        <w:rPr>
          <w:rFonts w:asciiTheme="minorEastAsia" w:hAnsiTheme="minorEastAsia" w:eastAsiaTheme="minorEastAsia"/>
          <w:sz w:val="24"/>
        </w:rPr>
      </w:pPr>
      <w:bookmarkStart w:id="138" w:name="_Toc280876755"/>
      <w:bookmarkStart w:id="139" w:name="_Toc280800700"/>
      <w:bookmarkStart w:id="140" w:name="_Toc281225109"/>
      <w:bookmarkStart w:id="141" w:name="_Toc291080502"/>
      <w:r>
        <w:rPr>
          <w:rFonts w:asciiTheme="minorEastAsia" w:hAnsiTheme="minorEastAsia" w:eastAsiaTheme="minorEastAsia"/>
          <w:sz w:val="24"/>
        </w:rPr>
        <w:t>1.9.2 投标人踏勘现场发生的费用自理。</w:t>
      </w:r>
      <w:bookmarkEnd w:id="138"/>
      <w:bookmarkEnd w:id="139"/>
      <w:bookmarkEnd w:id="140"/>
      <w:bookmarkEnd w:id="141"/>
    </w:p>
    <w:p>
      <w:pPr>
        <w:spacing w:line="360" w:lineRule="auto"/>
        <w:ind w:firstLine="420"/>
        <w:jc w:val="left"/>
        <w:rPr>
          <w:rFonts w:asciiTheme="minorEastAsia" w:hAnsiTheme="minorEastAsia" w:eastAsiaTheme="minorEastAsia"/>
          <w:sz w:val="24"/>
        </w:rPr>
      </w:pPr>
      <w:bookmarkStart w:id="142" w:name="_Toc280876756"/>
      <w:bookmarkStart w:id="143" w:name="_Toc281225110"/>
      <w:bookmarkStart w:id="144" w:name="_Toc291080503"/>
      <w:bookmarkStart w:id="145" w:name="_Toc280800701"/>
      <w:r>
        <w:rPr>
          <w:rFonts w:asciiTheme="minorEastAsia" w:hAnsiTheme="minorEastAsia" w:eastAsiaTheme="minorEastAsia"/>
          <w:sz w:val="24"/>
        </w:rPr>
        <w:t>1.9.3 除招标人的原因外，投标人自行负责在踏勘现场中所发生的人员伤亡和财产损失。</w:t>
      </w:r>
      <w:bookmarkEnd w:id="142"/>
      <w:bookmarkEnd w:id="143"/>
      <w:bookmarkEnd w:id="144"/>
      <w:bookmarkEnd w:id="145"/>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1.9.4招标人在踏勘现场中介绍的工程场地和相关的周边环境情况，供投标人在编制投标文件时参考，招标人不对投标人据此做出的判断和决策负责。</w:t>
      </w:r>
    </w:p>
    <w:p>
      <w:pPr>
        <w:spacing w:line="360" w:lineRule="auto"/>
        <w:ind w:firstLine="420"/>
        <w:jc w:val="left"/>
        <w:rPr>
          <w:rFonts w:asciiTheme="minorEastAsia" w:hAnsiTheme="minorEastAsia" w:eastAsiaTheme="minorEastAsia"/>
          <w:sz w:val="24"/>
        </w:rPr>
      </w:pPr>
      <w:bookmarkStart w:id="146" w:name="_Toc280800702"/>
      <w:bookmarkStart w:id="147" w:name="_Toc280876757"/>
      <w:bookmarkStart w:id="148" w:name="_Toc281225111"/>
      <w:bookmarkStart w:id="149" w:name="_Toc291080504"/>
      <w:r>
        <w:rPr>
          <w:rFonts w:asciiTheme="minorEastAsia" w:hAnsiTheme="minorEastAsia" w:eastAsiaTheme="minorEastAsia"/>
          <w:sz w:val="24"/>
        </w:rPr>
        <w:t xml:space="preserve">1.9.5 </w:t>
      </w:r>
      <w:bookmarkEnd w:id="146"/>
      <w:bookmarkEnd w:id="147"/>
      <w:bookmarkEnd w:id="148"/>
      <w:bookmarkEnd w:id="149"/>
      <w:r>
        <w:rPr>
          <w:rFonts w:asciiTheme="minorEastAsia" w:hAnsiTheme="minorEastAsia" w:eastAsiaTheme="minorEastAsia"/>
          <w:sz w:val="24"/>
        </w:rPr>
        <w:t>投标人及其随员或代表不得因踏勘现场而损害招标人或第三人的合法权益，非因招标人的原因造成的投标人及其随员或代表的合法权益的损害，招标人不承担责任。</w:t>
      </w:r>
    </w:p>
    <w:p>
      <w:pPr>
        <w:pStyle w:val="4"/>
      </w:pPr>
      <w:bookmarkStart w:id="150" w:name="_Toc21390"/>
      <w:bookmarkStart w:id="151" w:name="_Toc273358865"/>
      <w:bookmarkStart w:id="152" w:name="_Toc152042316"/>
      <w:bookmarkStart w:id="153" w:name="_Toc499204862"/>
      <w:bookmarkStart w:id="154" w:name="_Toc269324696"/>
      <w:bookmarkStart w:id="155" w:name="_Toc270670937"/>
      <w:bookmarkStart w:id="156" w:name="_Toc3454"/>
      <w:bookmarkStart w:id="157" w:name="_Toc152045540"/>
      <w:bookmarkStart w:id="158" w:name="_Toc498502954"/>
      <w:bookmarkStart w:id="159" w:name="_Toc10014"/>
      <w:bookmarkStart w:id="160" w:name="_Toc499311077"/>
      <w:bookmarkStart w:id="161" w:name="_Toc144974508"/>
      <w:bookmarkStart w:id="162" w:name="_Toc281225112"/>
      <w:r>
        <w:t>1.10 投标预备会</w:t>
      </w:r>
      <w:bookmarkEnd w:id="150"/>
      <w:bookmarkEnd w:id="151"/>
      <w:bookmarkEnd w:id="152"/>
      <w:bookmarkEnd w:id="153"/>
      <w:bookmarkEnd w:id="154"/>
      <w:bookmarkEnd w:id="155"/>
      <w:bookmarkEnd w:id="156"/>
      <w:bookmarkEnd w:id="157"/>
      <w:bookmarkEnd w:id="158"/>
      <w:bookmarkEnd w:id="159"/>
      <w:bookmarkEnd w:id="160"/>
      <w:bookmarkEnd w:id="161"/>
      <w:bookmarkEnd w:id="162"/>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1.10.1 投标人须知前附表规定召开投标预备会的，招标人按投标人须知前附表规定的时间和地点召开投标预备会，澄清投标人提出的问题。</w:t>
      </w:r>
    </w:p>
    <w:p>
      <w:pPr>
        <w:pStyle w:val="4"/>
      </w:pPr>
      <w:bookmarkStart w:id="163" w:name="_Toc499311078"/>
      <w:bookmarkStart w:id="164" w:name="_Toc273358866"/>
      <w:bookmarkStart w:id="165" w:name="_Toc152045541"/>
      <w:bookmarkStart w:id="166" w:name="_Toc499204863"/>
      <w:bookmarkStart w:id="167" w:name="_Toc9954"/>
      <w:bookmarkStart w:id="168" w:name="_Toc498502955"/>
      <w:bookmarkStart w:id="169" w:name="_Toc21890"/>
      <w:bookmarkStart w:id="170" w:name="_Toc269324697"/>
      <w:bookmarkStart w:id="171" w:name="_Toc281225113"/>
      <w:bookmarkStart w:id="172" w:name="_Toc270670938"/>
      <w:bookmarkStart w:id="173" w:name="_Toc144974509"/>
      <w:bookmarkStart w:id="174" w:name="_Toc21536"/>
      <w:bookmarkStart w:id="175" w:name="_Toc152042317"/>
      <w:r>
        <w:t>1.11 分包</w:t>
      </w:r>
      <w:bookmarkEnd w:id="163"/>
      <w:bookmarkEnd w:id="164"/>
      <w:bookmarkEnd w:id="165"/>
      <w:bookmarkEnd w:id="166"/>
      <w:bookmarkEnd w:id="167"/>
      <w:bookmarkEnd w:id="168"/>
      <w:bookmarkEnd w:id="169"/>
      <w:bookmarkEnd w:id="170"/>
      <w:bookmarkEnd w:id="171"/>
      <w:bookmarkEnd w:id="172"/>
      <w:bookmarkEnd w:id="173"/>
      <w:bookmarkEnd w:id="174"/>
      <w:bookmarkEnd w:id="175"/>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是否允许分包：见投标人须知前附表。</w:t>
      </w:r>
    </w:p>
    <w:p>
      <w:pPr>
        <w:pStyle w:val="4"/>
      </w:pPr>
      <w:bookmarkStart w:id="176" w:name="_Toc2558"/>
      <w:bookmarkStart w:id="177" w:name="_Toc498502956"/>
      <w:bookmarkStart w:id="178" w:name="_Toc269324698"/>
      <w:bookmarkStart w:id="179" w:name="_Toc499311079"/>
      <w:bookmarkStart w:id="180" w:name="_Toc273358867"/>
      <w:bookmarkStart w:id="181" w:name="_Toc281225114"/>
      <w:bookmarkStart w:id="182" w:name="_Toc1199"/>
      <w:bookmarkStart w:id="183" w:name="_Toc499204864"/>
      <w:bookmarkStart w:id="184" w:name="_Toc18412"/>
      <w:bookmarkStart w:id="185" w:name="_Toc270670939"/>
      <w:r>
        <w:t>1.12 偏离</w:t>
      </w:r>
      <w:bookmarkEnd w:id="176"/>
      <w:bookmarkEnd w:id="177"/>
      <w:bookmarkEnd w:id="178"/>
      <w:bookmarkEnd w:id="179"/>
      <w:bookmarkEnd w:id="180"/>
      <w:bookmarkEnd w:id="181"/>
      <w:bookmarkEnd w:id="182"/>
      <w:bookmarkEnd w:id="183"/>
      <w:bookmarkEnd w:id="184"/>
      <w:bookmarkEnd w:id="185"/>
    </w:p>
    <w:p>
      <w:pPr>
        <w:spacing w:line="360" w:lineRule="auto"/>
        <w:ind w:firstLine="484" w:firstLineChars="202"/>
        <w:jc w:val="left"/>
        <w:rPr>
          <w:rFonts w:asciiTheme="minorEastAsia" w:hAnsiTheme="minorEastAsia" w:eastAsiaTheme="minorEastAsia"/>
          <w:sz w:val="24"/>
        </w:rPr>
      </w:pPr>
      <w:r>
        <w:rPr>
          <w:rFonts w:asciiTheme="minorEastAsia" w:hAnsiTheme="minorEastAsia" w:eastAsiaTheme="minorEastAsia"/>
          <w:sz w:val="24"/>
        </w:rPr>
        <w:t>投标人须知前附表允许投标文件偏离招标文件某些要求的，偏离应当符合招标文件规定的偏离范围和幅度。</w:t>
      </w:r>
    </w:p>
    <w:p>
      <w:pPr>
        <w:pStyle w:val="2"/>
      </w:pPr>
      <w:bookmarkStart w:id="186" w:name="_Toc498502957"/>
      <w:bookmarkStart w:id="187" w:name="_Toc12432"/>
      <w:bookmarkStart w:id="188" w:name="_Toc273358868"/>
      <w:bookmarkStart w:id="189" w:name="_Toc152045542"/>
      <w:bookmarkStart w:id="190" w:name="_Toc281225115"/>
      <w:bookmarkStart w:id="191" w:name="_Toc269324699"/>
      <w:bookmarkStart w:id="192" w:name="_Toc14256"/>
      <w:bookmarkStart w:id="193" w:name="_Toc144974510"/>
      <w:bookmarkStart w:id="194" w:name="_Toc152042318"/>
      <w:r>
        <w:t>2.招标文件</w:t>
      </w:r>
      <w:bookmarkEnd w:id="186"/>
      <w:bookmarkEnd w:id="187"/>
      <w:bookmarkEnd w:id="188"/>
      <w:bookmarkEnd w:id="189"/>
      <w:bookmarkEnd w:id="190"/>
      <w:bookmarkEnd w:id="191"/>
      <w:bookmarkEnd w:id="192"/>
      <w:bookmarkEnd w:id="193"/>
      <w:bookmarkEnd w:id="194"/>
    </w:p>
    <w:p>
      <w:pPr>
        <w:pStyle w:val="4"/>
      </w:pPr>
      <w:bookmarkStart w:id="195" w:name="_Toc10683"/>
      <w:bookmarkStart w:id="196" w:name="_Toc152042319"/>
      <w:bookmarkStart w:id="197" w:name="_Toc7834"/>
      <w:bookmarkStart w:id="198" w:name="_Toc144974511"/>
      <w:bookmarkStart w:id="199" w:name="_Toc499204866"/>
      <w:bookmarkStart w:id="200" w:name="_Toc21363"/>
      <w:bookmarkStart w:id="201" w:name="_Toc269324700"/>
      <w:bookmarkStart w:id="202" w:name="_Toc281225116"/>
      <w:bookmarkStart w:id="203" w:name="_Toc499311081"/>
      <w:bookmarkStart w:id="204" w:name="_Toc273358869"/>
      <w:bookmarkStart w:id="205" w:name="_Toc152045543"/>
      <w:bookmarkStart w:id="206" w:name="_Toc498502958"/>
      <w:r>
        <w:t>2.1 招标文件的组成</w:t>
      </w:r>
      <w:bookmarkEnd w:id="195"/>
      <w:bookmarkEnd w:id="196"/>
      <w:bookmarkEnd w:id="197"/>
      <w:bookmarkEnd w:id="198"/>
      <w:bookmarkEnd w:id="199"/>
      <w:bookmarkEnd w:id="200"/>
      <w:bookmarkEnd w:id="201"/>
      <w:bookmarkEnd w:id="202"/>
      <w:bookmarkEnd w:id="203"/>
      <w:bookmarkEnd w:id="204"/>
      <w:bookmarkEnd w:id="205"/>
      <w:bookmarkEnd w:id="206"/>
    </w:p>
    <w:p>
      <w:pPr>
        <w:spacing w:line="360" w:lineRule="auto"/>
        <w:jc w:val="left"/>
        <w:rPr>
          <w:rFonts w:asciiTheme="minorEastAsia" w:hAnsiTheme="minorEastAsia" w:eastAsiaTheme="minorEastAsia"/>
          <w:sz w:val="24"/>
        </w:rPr>
      </w:pPr>
      <w:r>
        <w:rPr>
          <w:rFonts w:asciiTheme="minorEastAsia" w:hAnsiTheme="minorEastAsia" w:eastAsiaTheme="minorEastAsia"/>
          <w:sz w:val="24"/>
        </w:rPr>
        <w:t>　　本招标文件包括：</w:t>
      </w:r>
    </w:p>
    <w:p>
      <w:pPr>
        <w:spacing w:line="360" w:lineRule="auto"/>
        <w:ind w:firstLine="410" w:firstLineChars="171"/>
        <w:rPr>
          <w:rFonts w:asciiTheme="minorEastAsia" w:hAnsiTheme="minorEastAsia" w:eastAsiaTheme="minorEastAsia"/>
          <w:sz w:val="24"/>
        </w:rPr>
      </w:pPr>
      <w:r>
        <w:rPr>
          <w:rFonts w:asciiTheme="minorEastAsia" w:hAnsiTheme="minorEastAsia" w:eastAsiaTheme="minorEastAsia"/>
          <w:sz w:val="24"/>
        </w:rPr>
        <w:t>（1）招标公告；</w:t>
      </w:r>
    </w:p>
    <w:p>
      <w:pPr>
        <w:spacing w:line="360" w:lineRule="auto"/>
        <w:ind w:firstLine="410" w:firstLineChars="171"/>
        <w:rPr>
          <w:rFonts w:asciiTheme="minorEastAsia" w:hAnsiTheme="minorEastAsia" w:eastAsiaTheme="minorEastAsia"/>
          <w:sz w:val="24"/>
        </w:rPr>
      </w:pPr>
      <w:r>
        <w:rPr>
          <w:rFonts w:asciiTheme="minorEastAsia" w:hAnsiTheme="minorEastAsia" w:eastAsiaTheme="minorEastAsia"/>
          <w:sz w:val="24"/>
        </w:rPr>
        <w:t>（2）投标人须知；</w:t>
      </w:r>
    </w:p>
    <w:p>
      <w:pPr>
        <w:spacing w:line="360" w:lineRule="auto"/>
        <w:ind w:firstLine="410" w:firstLineChars="171"/>
        <w:rPr>
          <w:rFonts w:asciiTheme="minorEastAsia" w:hAnsiTheme="minorEastAsia" w:eastAsiaTheme="minorEastAsia"/>
          <w:sz w:val="24"/>
        </w:rPr>
      </w:pPr>
      <w:r>
        <w:rPr>
          <w:rFonts w:asciiTheme="minorEastAsia" w:hAnsiTheme="minorEastAsia" w:eastAsiaTheme="minorEastAsia"/>
          <w:sz w:val="24"/>
        </w:rPr>
        <w:t>（3）评标办法；</w:t>
      </w:r>
    </w:p>
    <w:p>
      <w:pPr>
        <w:spacing w:line="360" w:lineRule="auto"/>
        <w:ind w:firstLine="410" w:firstLineChars="171"/>
        <w:rPr>
          <w:rFonts w:asciiTheme="minorEastAsia" w:hAnsiTheme="minorEastAsia" w:eastAsiaTheme="minorEastAsia"/>
          <w:sz w:val="24"/>
        </w:rPr>
      </w:pPr>
      <w:r>
        <w:rPr>
          <w:rFonts w:asciiTheme="minorEastAsia" w:hAnsiTheme="minorEastAsia" w:eastAsiaTheme="minorEastAsia"/>
          <w:sz w:val="24"/>
        </w:rPr>
        <w:t>（4）合同条款及格式；</w:t>
      </w:r>
    </w:p>
    <w:p>
      <w:pPr>
        <w:spacing w:line="360" w:lineRule="auto"/>
        <w:ind w:firstLine="410" w:firstLineChars="171"/>
        <w:rPr>
          <w:rFonts w:asciiTheme="minorEastAsia" w:hAnsiTheme="minorEastAsia" w:eastAsiaTheme="minorEastAsia"/>
          <w:sz w:val="24"/>
        </w:rPr>
      </w:pPr>
      <w:r>
        <w:rPr>
          <w:rFonts w:asciiTheme="minorEastAsia" w:hAnsiTheme="minorEastAsia" w:eastAsiaTheme="minorEastAsia"/>
          <w:sz w:val="24"/>
        </w:rPr>
        <w:t>（5）监理服务内容、技术标准和要求；</w:t>
      </w:r>
    </w:p>
    <w:p>
      <w:pPr>
        <w:spacing w:line="360" w:lineRule="auto"/>
        <w:ind w:firstLine="410" w:firstLineChars="171"/>
        <w:jc w:val="left"/>
        <w:rPr>
          <w:rFonts w:asciiTheme="minorEastAsia" w:hAnsiTheme="minorEastAsia" w:eastAsiaTheme="minorEastAsia"/>
          <w:sz w:val="24"/>
        </w:rPr>
      </w:pPr>
      <w:r>
        <w:rPr>
          <w:rFonts w:asciiTheme="minorEastAsia" w:hAnsiTheme="minorEastAsia" w:eastAsiaTheme="minorEastAsia"/>
          <w:sz w:val="24"/>
        </w:rPr>
        <w:t>（6）投标文件格式</w:t>
      </w:r>
      <w:r>
        <w:rPr>
          <w:rFonts w:hint="eastAsia" w:asciiTheme="minorEastAsia" w:hAnsiTheme="minorEastAsia" w:eastAsiaTheme="minorEastAsia"/>
          <w:sz w:val="24"/>
        </w:rPr>
        <w:t>。</w:t>
      </w:r>
    </w:p>
    <w:p>
      <w:pPr>
        <w:spacing w:line="360" w:lineRule="auto"/>
        <w:ind w:firstLine="410" w:firstLineChars="171"/>
        <w:jc w:val="left"/>
        <w:rPr>
          <w:rFonts w:asciiTheme="minorEastAsia" w:hAnsiTheme="minorEastAsia" w:eastAsiaTheme="minorEastAsia"/>
          <w:sz w:val="24"/>
        </w:rPr>
      </w:pPr>
      <w:r>
        <w:rPr>
          <w:rFonts w:asciiTheme="minorEastAsia" w:hAnsiTheme="minorEastAsia" w:eastAsiaTheme="minorEastAsia"/>
          <w:sz w:val="24"/>
        </w:rPr>
        <w:t>根据本章第1.10款、第2.2款和第2.3款对招标文件所作的澄清、修改，构成招标文件的组成部分。</w:t>
      </w:r>
    </w:p>
    <w:p>
      <w:pPr>
        <w:pStyle w:val="4"/>
      </w:pPr>
      <w:bookmarkStart w:id="207" w:name="_Toc144974512"/>
      <w:bookmarkStart w:id="208" w:name="_Toc25998"/>
      <w:bookmarkStart w:id="209" w:name="_Toc273358870"/>
      <w:bookmarkStart w:id="210" w:name="_Toc281225117"/>
      <w:bookmarkStart w:id="211" w:name="_Toc269324701"/>
      <w:bookmarkStart w:id="212" w:name="_Toc499311082"/>
      <w:bookmarkStart w:id="213" w:name="_Toc499204867"/>
      <w:bookmarkStart w:id="214" w:name="_Toc152042320"/>
      <w:bookmarkStart w:id="215" w:name="_Toc6567"/>
      <w:bookmarkStart w:id="216" w:name="_Toc29290"/>
      <w:bookmarkStart w:id="217" w:name="_Toc498502959"/>
      <w:bookmarkStart w:id="218" w:name="_Toc152045544"/>
      <w:r>
        <w:t>2.2 招标文件的澄清</w:t>
      </w:r>
      <w:bookmarkEnd w:id="207"/>
      <w:bookmarkEnd w:id="208"/>
      <w:bookmarkEnd w:id="209"/>
      <w:bookmarkEnd w:id="210"/>
      <w:bookmarkEnd w:id="211"/>
      <w:bookmarkEnd w:id="212"/>
      <w:bookmarkEnd w:id="213"/>
      <w:bookmarkEnd w:id="214"/>
      <w:bookmarkEnd w:id="215"/>
      <w:bookmarkEnd w:id="216"/>
      <w:bookmarkEnd w:id="217"/>
      <w:bookmarkEnd w:id="218"/>
    </w:p>
    <w:p>
      <w:pPr>
        <w:spacing w:line="360" w:lineRule="auto"/>
        <w:ind w:firstLine="480" w:firstLineChars="200"/>
        <w:rPr>
          <w:rFonts w:cs="宋体" w:asciiTheme="minorEastAsia" w:hAnsiTheme="minorEastAsia" w:eastAsiaTheme="minorEastAsia"/>
          <w:sz w:val="24"/>
        </w:rPr>
      </w:pPr>
      <w:bookmarkStart w:id="219" w:name="_Toc31369"/>
      <w:bookmarkStart w:id="220" w:name="_Toc281225118"/>
      <w:bookmarkStart w:id="221" w:name="_Toc498502960"/>
      <w:bookmarkStart w:id="222" w:name="_Toc144974513"/>
      <w:bookmarkStart w:id="223" w:name="_Toc269324702"/>
      <w:bookmarkStart w:id="224" w:name="_Toc152042321"/>
      <w:bookmarkStart w:id="225" w:name="_Toc273358871"/>
      <w:bookmarkStart w:id="226" w:name="_Toc152045545"/>
      <w:r>
        <w:rPr>
          <w:rFonts w:hint="eastAsia" w:cs="宋体" w:asciiTheme="minorEastAsia" w:hAnsiTheme="minorEastAsia" w:eastAsiaTheme="minorEastAsia"/>
          <w:sz w:val="24"/>
        </w:rPr>
        <w:t>2.2.1投标人应仔细阅读和检查招标文件的全部内容。如发现缺页或附件不全，通过《全国公共资源交易平台(河南省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)》发出，以便补齐。如有疑问，应在投标人须知前附表规定的时间要求招标人对招标文件予以澄清。如未提出异议，视为全面接受招标文件所有条款。</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2.2.2招标文件的澄清将在投标人须知前附表规定的投标截止时间15天前通过《全国公共资源交易平台(河南省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)》发出，但不指明澄清问题的来源。如果澄清发出的时间距投标截止时间不足15天，相应延长投标截止时间。</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2.2.3所有澄清、答疑全部以《全国公共资源交易平台(河南省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)》发出的为准，不再接受书面形式的递交。</w:t>
      </w:r>
    </w:p>
    <w:p>
      <w:pPr>
        <w:pStyle w:val="4"/>
      </w:pPr>
      <w:bookmarkStart w:id="227" w:name="_Toc499204868"/>
      <w:bookmarkStart w:id="228" w:name="_Toc21375"/>
      <w:bookmarkStart w:id="229" w:name="_Toc4896"/>
      <w:bookmarkStart w:id="230" w:name="_Toc499311083"/>
      <w:r>
        <w:t>2.3 招标文件的修改</w:t>
      </w:r>
      <w:bookmarkEnd w:id="219"/>
      <w:bookmarkEnd w:id="220"/>
      <w:bookmarkEnd w:id="221"/>
      <w:bookmarkEnd w:id="222"/>
      <w:bookmarkEnd w:id="223"/>
      <w:bookmarkEnd w:id="224"/>
      <w:bookmarkEnd w:id="225"/>
      <w:bookmarkEnd w:id="226"/>
      <w:bookmarkEnd w:id="227"/>
      <w:bookmarkEnd w:id="228"/>
      <w:bookmarkEnd w:id="229"/>
      <w:bookmarkEnd w:id="230"/>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2.3.1在投标截止时间15天前，招标人可以通过《全国公共资源交易平台(河南省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 xml:space="preserve">)》修改招标文件，如果修改招标文件的的内容可能影响投标文件编制且发出的时间距投标截止时间不足15天，相应延长投标截止时间。 </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2.3.2当招标文件、补充通知、答疑纪要，内容相互矛盾时，以最后发出的通知（或纪要）为准。</w:t>
      </w:r>
    </w:p>
    <w:p>
      <w:pPr>
        <w:pStyle w:val="2"/>
      </w:pPr>
      <w:bookmarkStart w:id="231" w:name="_Toc281225119"/>
      <w:bookmarkStart w:id="232" w:name="_Toc10048"/>
      <w:bookmarkStart w:id="233" w:name="_Toc498502961"/>
      <w:bookmarkStart w:id="234" w:name="_Toc152042322"/>
      <w:bookmarkStart w:id="235" w:name="_Toc273358872"/>
      <w:bookmarkStart w:id="236" w:name="_Toc144974514"/>
      <w:bookmarkStart w:id="237" w:name="_Toc30824"/>
      <w:bookmarkStart w:id="238" w:name="_Toc152045546"/>
      <w:bookmarkStart w:id="239" w:name="_Toc269324703"/>
      <w:r>
        <w:t>3.投标文件</w:t>
      </w:r>
      <w:bookmarkEnd w:id="231"/>
      <w:bookmarkEnd w:id="232"/>
      <w:bookmarkEnd w:id="233"/>
      <w:bookmarkEnd w:id="234"/>
      <w:bookmarkEnd w:id="235"/>
      <w:bookmarkEnd w:id="236"/>
      <w:bookmarkEnd w:id="237"/>
      <w:bookmarkEnd w:id="238"/>
      <w:bookmarkEnd w:id="239"/>
    </w:p>
    <w:p>
      <w:pPr>
        <w:pStyle w:val="4"/>
      </w:pPr>
      <w:bookmarkStart w:id="240" w:name="_Toc499204870"/>
      <w:bookmarkStart w:id="241" w:name="_Toc152042323"/>
      <w:bookmarkStart w:id="242" w:name="_Toc498502962"/>
      <w:bookmarkStart w:id="243" w:name="_Toc29096"/>
      <w:bookmarkStart w:id="244" w:name="_Toc144974515"/>
      <w:bookmarkStart w:id="245" w:name="_Toc269324704"/>
      <w:bookmarkStart w:id="246" w:name="_Toc20355"/>
      <w:bookmarkStart w:id="247" w:name="_Toc273358873"/>
      <w:bookmarkStart w:id="248" w:name="_Toc281225120"/>
      <w:bookmarkStart w:id="249" w:name="_Toc152045547"/>
      <w:bookmarkStart w:id="250" w:name="_Toc499311085"/>
      <w:bookmarkStart w:id="251" w:name="_Toc8857"/>
      <w:r>
        <w:t>3.1 投标文件的组成</w:t>
      </w:r>
      <w:bookmarkEnd w:id="240"/>
      <w:bookmarkEnd w:id="241"/>
      <w:bookmarkEnd w:id="242"/>
      <w:bookmarkEnd w:id="243"/>
      <w:bookmarkEnd w:id="244"/>
      <w:bookmarkEnd w:id="245"/>
      <w:bookmarkEnd w:id="246"/>
      <w:bookmarkEnd w:id="247"/>
      <w:bookmarkEnd w:id="248"/>
      <w:bookmarkEnd w:id="249"/>
      <w:bookmarkEnd w:id="250"/>
      <w:bookmarkEnd w:id="251"/>
    </w:p>
    <w:p>
      <w:pPr>
        <w:spacing w:line="360" w:lineRule="auto"/>
        <w:ind w:firstLine="420"/>
        <w:rPr>
          <w:rFonts w:asciiTheme="minorEastAsia" w:hAnsiTheme="minorEastAsia" w:eastAsiaTheme="minorEastAsia"/>
          <w:sz w:val="24"/>
        </w:rPr>
      </w:pPr>
      <w:bookmarkStart w:id="252" w:name="_Toc153591698"/>
      <w:bookmarkStart w:id="253" w:name="_Toc529256978"/>
      <w:bookmarkStart w:id="254" w:name="_Toc153177742"/>
      <w:bookmarkStart w:id="255" w:name="_Toc21599374"/>
      <w:bookmarkStart w:id="256" w:name="_Toc153524002"/>
      <w:bookmarkStart w:id="257" w:name="_Toc298501349"/>
      <w:bookmarkStart w:id="258" w:name="_Toc32175"/>
      <w:bookmarkStart w:id="259" w:name="_Toc298231486"/>
      <w:r>
        <w:rPr>
          <w:rFonts w:asciiTheme="minorEastAsia" w:hAnsiTheme="minorEastAsia" w:eastAsiaTheme="minorEastAsia"/>
          <w:sz w:val="24"/>
        </w:rPr>
        <w:t>3.1.1投标人应使用招标文件第六章规定的格式编制投标文件（表格可按同样格式扩展或复制）；未有规定格式的，投标人可自行编制。</w:t>
      </w:r>
    </w:p>
    <w:p>
      <w:pPr>
        <w:spacing w:line="360" w:lineRule="auto"/>
        <w:ind w:firstLine="720" w:firstLineChars="300"/>
        <w:rPr>
          <w:rFonts w:asciiTheme="minorEastAsia" w:hAnsiTheme="minorEastAsia" w:eastAsiaTheme="minorEastAsia"/>
          <w:sz w:val="24"/>
        </w:rPr>
      </w:pPr>
      <w:r>
        <w:rPr>
          <w:rFonts w:asciiTheme="minorEastAsia" w:hAnsiTheme="minorEastAsia" w:eastAsiaTheme="minorEastAsia"/>
          <w:sz w:val="24"/>
        </w:rPr>
        <w:t>3.1.1.1</w:t>
      </w:r>
      <w:r>
        <w:rPr>
          <w:rFonts w:hint="eastAsia" w:asciiTheme="minorEastAsia" w:hAnsiTheme="minorEastAsia" w:eastAsiaTheme="minorEastAsia"/>
          <w:sz w:val="24"/>
        </w:rPr>
        <w:t>投标文件</w:t>
      </w:r>
      <w:r>
        <w:rPr>
          <w:rFonts w:asciiTheme="minorEastAsia" w:hAnsiTheme="minorEastAsia" w:eastAsiaTheme="minorEastAsia"/>
          <w:sz w:val="24"/>
        </w:rPr>
        <w:t>应包括下列内容，</w:t>
      </w:r>
      <w:r>
        <w:rPr>
          <w:rFonts w:hint="eastAsia" w:asciiTheme="minorEastAsia" w:hAnsiTheme="minorEastAsia" w:eastAsiaTheme="minorEastAsia"/>
          <w:sz w:val="24"/>
        </w:rPr>
        <w:t>并按照如下顺序编制目录，</w:t>
      </w:r>
      <w:r>
        <w:rPr>
          <w:rFonts w:asciiTheme="minorEastAsia" w:hAnsiTheme="minorEastAsia" w:eastAsiaTheme="minorEastAsia"/>
          <w:sz w:val="24"/>
        </w:rPr>
        <w:t>组成及格式见第六章：</w:t>
      </w:r>
    </w:p>
    <w:p>
      <w:pPr>
        <w:spacing w:line="360" w:lineRule="auto"/>
        <w:ind w:firstLine="890" w:firstLineChars="371"/>
        <w:rPr>
          <w:rFonts w:asciiTheme="minorEastAsia" w:hAnsiTheme="minorEastAsia" w:eastAsiaTheme="minorEastAsia"/>
          <w:sz w:val="24"/>
        </w:rPr>
      </w:pPr>
      <w:r>
        <w:rPr>
          <w:rFonts w:asciiTheme="minorEastAsia" w:hAnsiTheme="minorEastAsia" w:eastAsiaTheme="minorEastAsia"/>
          <w:sz w:val="24"/>
        </w:rPr>
        <w:t>（1）投标函及投标函附录；</w:t>
      </w:r>
    </w:p>
    <w:p>
      <w:pPr>
        <w:spacing w:line="360" w:lineRule="auto"/>
        <w:ind w:firstLine="890" w:firstLineChars="371"/>
        <w:rPr>
          <w:rFonts w:asciiTheme="minorEastAsia" w:hAnsiTheme="minorEastAsia" w:eastAsiaTheme="minorEastAsia"/>
          <w:sz w:val="24"/>
        </w:rPr>
      </w:pPr>
      <w:r>
        <w:rPr>
          <w:rFonts w:asciiTheme="minorEastAsia" w:hAnsiTheme="minorEastAsia" w:eastAsiaTheme="minorEastAsia"/>
          <w:sz w:val="24"/>
        </w:rPr>
        <w:t>（2）法定代表人身份证明或附有法定代表人身份证明的授权委托书；</w:t>
      </w:r>
    </w:p>
    <w:p>
      <w:pPr>
        <w:spacing w:line="360" w:lineRule="auto"/>
        <w:ind w:firstLine="890" w:firstLineChars="371"/>
        <w:rPr>
          <w:rFonts w:asciiTheme="minorEastAsia" w:hAnsiTheme="minorEastAsia" w:eastAsiaTheme="minorEastAsia"/>
          <w:sz w:val="24"/>
        </w:rPr>
      </w:pPr>
      <w:r>
        <w:rPr>
          <w:rFonts w:asciiTheme="minorEastAsia" w:hAnsiTheme="minorEastAsia" w:eastAsiaTheme="minorEastAsia"/>
          <w:sz w:val="24"/>
        </w:rPr>
        <w:t>（3）投标保证金；</w:t>
      </w:r>
    </w:p>
    <w:p>
      <w:pPr>
        <w:spacing w:line="360" w:lineRule="auto"/>
        <w:ind w:firstLine="890" w:firstLineChars="371"/>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）项目管理机构；</w:t>
      </w:r>
    </w:p>
    <w:p>
      <w:pPr>
        <w:spacing w:line="360" w:lineRule="auto"/>
        <w:ind w:firstLine="890" w:firstLineChars="371"/>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）资格审查资料；</w:t>
      </w:r>
    </w:p>
    <w:p>
      <w:pPr>
        <w:spacing w:line="360" w:lineRule="auto"/>
        <w:ind w:firstLine="890" w:firstLineChars="371"/>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拟投入本工程监理工作条件一览表；</w:t>
      </w:r>
    </w:p>
    <w:p>
      <w:pPr>
        <w:spacing w:line="360" w:lineRule="auto"/>
        <w:ind w:firstLine="890" w:firstLineChars="371"/>
        <w:rPr>
          <w:rFonts w:asciiTheme="minorEastAsia" w:hAnsiTheme="minorEastAsia" w:eastAsiaTheme="minorEastAsia"/>
          <w:sz w:val="24"/>
        </w:rPr>
      </w:pPr>
      <w:r>
        <w:rPr>
          <w:rFonts w:hint="eastAsia" w:asciiTheme="minorEastAsia" w:hAnsiTheme="minorEastAsia" w:eastAsiaTheme="minorEastAsia"/>
          <w:sz w:val="24"/>
        </w:rPr>
        <w:t>（7）不良行为记录；</w:t>
      </w:r>
    </w:p>
    <w:p>
      <w:pPr>
        <w:spacing w:line="360" w:lineRule="auto"/>
        <w:ind w:firstLine="890" w:firstLineChars="371"/>
        <w:rPr>
          <w:rFonts w:asciiTheme="minorEastAsia" w:hAnsiTheme="minorEastAsia" w:eastAsiaTheme="minorEastAsia"/>
          <w:sz w:val="24"/>
        </w:rPr>
      </w:pPr>
      <w:r>
        <w:rPr>
          <w:rFonts w:hint="eastAsia" w:asciiTheme="minorEastAsia" w:hAnsiTheme="minorEastAsia" w:eastAsiaTheme="minorEastAsia"/>
          <w:sz w:val="24"/>
        </w:rPr>
        <w:t>（8）信用情况；</w:t>
      </w:r>
    </w:p>
    <w:p>
      <w:pPr>
        <w:spacing w:line="360" w:lineRule="auto"/>
        <w:ind w:firstLine="890" w:firstLineChars="371"/>
        <w:rPr>
          <w:rFonts w:asciiTheme="minorEastAsia" w:hAnsiTheme="minorEastAsia" w:eastAsiaTheme="minorEastAsia"/>
          <w:sz w:val="24"/>
        </w:rPr>
      </w:pPr>
      <w:r>
        <w:rPr>
          <w:rFonts w:hint="eastAsia" w:asciiTheme="minorEastAsia" w:hAnsiTheme="minorEastAsia" w:eastAsiaTheme="minorEastAsia"/>
          <w:sz w:val="24"/>
        </w:rPr>
        <w:t>（9）监理大纲；</w:t>
      </w:r>
    </w:p>
    <w:p>
      <w:pPr>
        <w:spacing w:line="360" w:lineRule="auto"/>
        <w:ind w:firstLine="890" w:firstLineChars="371"/>
        <w:rPr>
          <w:rFonts w:asciiTheme="minorEastAsia" w:hAnsiTheme="minorEastAsia" w:eastAsiaTheme="minorEastAsia"/>
          <w:sz w:val="24"/>
        </w:rPr>
      </w:pPr>
      <w:r>
        <w:rPr>
          <w:rFonts w:hint="eastAsia" w:asciiTheme="minorEastAsia" w:hAnsiTheme="minorEastAsia" w:eastAsiaTheme="minorEastAsia"/>
          <w:sz w:val="24"/>
        </w:rPr>
        <w:t>（10）</w:t>
      </w:r>
      <w:r>
        <w:rPr>
          <w:rFonts w:asciiTheme="minorEastAsia" w:hAnsiTheme="minorEastAsia" w:eastAsiaTheme="minorEastAsia"/>
          <w:sz w:val="24"/>
        </w:rPr>
        <w:t>其他资料</w:t>
      </w:r>
      <w:r>
        <w:rPr>
          <w:rFonts w:hint="eastAsia" w:asciiTheme="minorEastAsia" w:hAnsiTheme="minorEastAsia" w:eastAsiaTheme="minorEastAsia"/>
          <w:sz w:val="24"/>
        </w:rPr>
        <w:t>；</w:t>
      </w:r>
    </w:p>
    <w:p>
      <w:pPr>
        <w:spacing w:line="360" w:lineRule="auto"/>
        <w:ind w:firstLine="890" w:firstLineChars="371"/>
        <w:rPr>
          <w:rFonts w:asciiTheme="minorEastAsia" w:hAnsiTheme="minorEastAsia" w:eastAsiaTheme="minorEastAsia"/>
          <w:sz w:val="24"/>
        </w:rPr>
      </w:pPr>
      <w:r>
        <w:rPr>
          <w:rFonts w:hint="eastAsia" w:asciiTheme="minorEastAsia" w:hAnsiTheme="minorEastAsia" w:eastAsiaTheme="minorEastAsia"/>
          <w:sz w:val="24"/>
        </w:rPr>
        <w:t>（11）投标人递交资料原件清单。</w:t>
      </w:r>
    </w:p>
    <w:p>
      <w:pPr>
        <w:spacing w:line="360" w:lineRule="auto"/>
        <w:ind w:firstLine="720" w:firstLineChars="300"/>
        <w:rPr>
          <w:rFonts w:asciiTheme="minorEastAsia" w:hAnsiTheme="minorEastAsia" w:eastAsiaTheme="minorEastAsia"/>
          <w:sz w:val="24"/>
        </w:rPr>
      </w:pPr>
      <w:r>
        <w:rPr>
          <w:rFonts w:asciiTheme="minorEastAsia" w:hAnsiTheme="minorEastAsia" w:eastAsiaTheme="minorEastAsia"/>
          <w:sz w:val="24"/>
        </w:rPr>
        <w:t>3.1.1.2监理大纲应包括但不限于以下内容</w:t>
      </w:r>
      <w:r>
        <w:rPr>
          <w:rFonts w:hint="eastAsia" w:asciiTheme="minorEastAsia" w:hAnsiTheme="minorEastAsia" w:eastAsiaTheme="minorEastAsia"/>
          <w:sz w:val="24"/>
        </w:rPr>
        <w:t>，并按照如下顺序编制目录</w:t>
      </w:r>
      <w:r>
        <w:rPr>
          <w:rFonts w:asciiTheme="minorEastAsia" w:hAnsiTheme="minorEastAsia" w:eastAsiaTheme="minorEastAsia"/>
          <w:sz w:val="24"/>
        </w:rPr>
        <w:t>：</w:t>
      </w:r>
    </w:p>
    <w:p>
      <w:pPr>
        <w:spacing w:line="360" w:lineRule="auto"/>
        <w:ind w:firstLine="890" w:firstLineChars="371"/>
        <w:rPr>
          <w:rFonts w:asciiTheme="minorEastAsia" w:hAnsiTheme="minorEastAsia" w:eastAsiaTheme="minorEastAsia"/>
          <w:sz w:val="24"/>
        </w:rPr>
      </w:pPr>
      <w:r>
        <w:rPr>
          <w:rFonts w:asciiTheme="minorEastAsia" w:hAnsiTheme="minorEastAsia" w:eastAsiaTheme="minorEastAsia"/>
          <w:sz w:val="24"/>
        </w:rPr>
        <w:t>（1）工程概述：本章节主要根据已掌握的资料，结合现场考察情况对拟投工程的总体概况进行简单描述。</w:t>
      </w:r>
    </w:p>
    <w:p>
      <w:pPr>
        <w:spacing w:line="360" w:lineRule="auto"/>
        <w:ind w:firstLine="890" w:firstLineChars="371"/>
        <w:rPr>
          <w:rFonts w:asciiTheme="minorEastAsia" w:hAnsiTheme="minorEastAsia" w:eastAsiaTheme="minorEastAsia"/>
          <w:sz w:val="24"/>
        </w:rPr>
      </w:pPr>
      <w:r>
        <w:rPr>
          <w:rFonts w:asciiTheme="minorEastAsia" w:hAnsiTheme="minorEastAsia" w:eastAsiaTheme="minorEastAsia"/>
          <w:sz w:val="24"/>
        </w:rPr>
        <w:t>（2）监理工作范围与内容：依据监理合同条款，编制监理工作范围与内容。</w:t>
      </w:r>
    </w:p>
    <w:p>
      <w:pPr>
        <w:spacing w:line="360" w:lineRule="auto"/>
        <w:ind w:firstLine="890" w:firstLineChars="371"/>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）机构设置与岗位职责：通过框图形式，明确拟投监理标段的组织机构设置和相应的岗位职责。</w:t>
      </w:r>
    </w:p>
    <w:p>
      <w:pPr>
        <w:spacing w:line="360" w:lineRule="auto"/>
        <w:ind w:firstLine="890" w:firstLineChars="371"/>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）监理工作程序：分别对质量控制、进度控制、费用控制、合同管理、信息管理、</w:t>
      </w:r>
      <w:r>
        <w:rPr>
          <w:rFonts w:hint="eastAsia" w:asciiTheme="minorEastAsia" w:hAnsiTheme="minorEastAsia" w:eastAsiaTheme="minorEastAsia"/>
          <w:sz w:val="24"/>
        </w:rPr>
        <w:t>协调配合、</w:t>
      </w:r>
      <w:r>
        <w:rPr>
          <w:rFonts w:asciiTheme="minorEastAsia" w:hAnsiTheme="minorEastAsia" w:eastAsiaTheme="minorEastAsia"/>
          <w:sz w:val="24"/>
        </w:rPr>
        <w:t>安全监理、</w:t>
      </w:r>
      <w:r>
        <w:rPr>
          <w:rFonts w:hint="eastAsia" w:asciiTheme="minorEastAsia" w:hAnsiTheme="minorEastAsia" w:eastAsiaTheme="minorEastAsia"/>
          <w:sz w:val="24"/>
        </w:rPr>
        <w:t>环境监理（须包含大气污染防治、扬尘治理及建筑垃圾处理监理方案）</w:t>
      </w:r>
      <w:r>
        <w:rPr>
          <w:rFonts w:asciiTheme="minorEastAsia" w:hAnsiTheme="minorEastAsia" w:eastAsiaTheme="minorEastAsia"/>
          <w:sz w:val="24"/>
        </w:rPr>
        <w:t>等方面，结合监理工作的阶段划分，进行监理工作的方法与流程的详尽阐述。</w:t>
      </w:r>
    </w:p>
    <w:p>
      <w:pPr>
        <w:spacing w:line="360" w:lineRule="auto"/>
        <w:ind w:firstLine="890" w:firstLineChars="371"/>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）本工程监理工作的重点与难点分析：根据招标文件及现场察看，对本工程监理工作需要特别给予重视的问题逐一论述并给出解决难点的对策与方法。</w:t>
      </w:r>
    </w:p>
    <w:p>
      <w:pPr>
        <w:spacing w:line="360" w:lineRule="auto"/>
        <w:ind w:firstLine="840" w:firstLineChars="350"/>
        <w:jc w:val="left"/>
        <w:rPr>
          <w:rFonts w:asciiTheme="minorEastAsia" w:hAnsiTheme="minorEastAsia" w:eastAsiaTheme="minorEastAsia"/>
          <w:sz w:val="24"/>
        </w:rPr>
      </w:pPr>
      <w:r>
        <w:rPr>
          <w:rFonts w:hint="eastAsia" w:asciiTheme="minorEastAsia" w:hAnsiTheme="minorEastAsia" w:eastAsiaTheme="minorEastAsia"/>
          <w:sz w:val="24"/>
        </w:rPr>
        <w:t>（6）专题描述（对系统各专业提出的问题进行专项分析，详细阐述方案），包括并不限于以下各个系统的专题描述：</w:t>
      </w:r>
    </w:p>
    <w:p>
      <w:pPr>
        <w:spacing w:line="360" w:lineRule="auto"/>
        <w:ind w:firstLine="1132" w:firstLineChars="472"/>
        <w:jc w:val="left"/>
        <w:rPr>
          <w:rFonts w:asciiTheme="minorEastAsia" w:hAnsiTheme="minorEastAsia" w:eastAsiaTheme="minorEastAsia"/>
          <w:sz w:val="24"/>
        </w:rPr>
      </w:pPr>
      <w:r>
        <w:rPr>
          <w:rFonts w:hint="eastAsia" w:asciiTheme="minorEastAsia" w:hAnsiTheme="minorEastAsia" w:eastAsiaTheme="minorEastAsia"/>
          <w:sz w:val="24"/>
        </w:rPr>
        <w:t>1）通信系统专题方案：详细论述专用通信系统中各子系统的施工调试过程要点，包括不限于下面几个方面：保开通措施（各子系统设备加电、测试、调通）；通信系统设备安装验收的组织管理；调试计划及全过程管理重点分析。</w:t>
      </w:r>
    </w:p>
    <w:p>
      <w:pPr>
        <w:spacing w:line="360" w:lineRule="auto"/>
        <w:ind w:firstLine="1132" w:firstLineChars="472"/>
        <w:jc w:val="left"/>
        <w:rPr>
          <w:rFonts w:asciiTheme="minorEastAsia" w:hAnsiTheme="minorEastAsia" w:eastAsiaTheme="minorEastAsia"/>
          <w:sz w:val="24"/>
        </w:rPr>
      </w:pPr>
      <w:r>
        <w:rPr>
          <w:rFonts w:hint="eastAsia" w:asciiTheme="minorEastAsia" w:hAnsiTheme="minorEastAsia" w:eastAsiaTheme="minorEastAsia"/>
          <w:sz w:val="24"/>
        </w:rPr>
        <w:t>2）信号系统专题方案：信号系统监理方案。</w:t>
      </w:r>
    </w:p>
    <w:p>
      <w:pPr>
        <w:spacing w:line="360" w:lineRule="auto"/>
        <w:ind w:firstLine="1132" w:firstLineChars="472"/>
        <w:jc w:val="left"/>
        <w:rPr>
          <w:rFonts w:asciiTheme="minorEastAsia" w:hAnsiTheme="minorEastAsia" w:eastAsiaTheme="minorEastAsia"/>
          <w:sz w:val="24"/>
        </w:rPr>
      </w:pPr>
      <w:r>
        <w:rPr>
          <w:rFonts w:hint="eastAsia" w:asciiTheme="minorEastAsia" w:hAnsiTheme="minorEastAsia" w:eastAsiaTheme="minorEastAsia"/>
          <w:sz w:val="24"/>
        </w:rPr>
        <w:t>3）牵引供电系统专题方案：供电系统监理方案。</w:t>
      </w:r>
    </w:p>
    <w:p>
      <w:pPr>
        <w:spacing w:line="360" w:lineRule="auto"/>
        <w:ind w:firstLine="1132" w:firstLineChars="472"/>
        <w:jc w:val="left"/>
        <w:rPr>
          <w:rFonts w:asciiTheme="minorEastAsia" w:hAnsiTheme="minorEastAsia" w:eastAsiaTheme="minorEastAsia"/>
          <w:sz w:val="24"/>
        </w:rPr>
      </w:pPr>
      <w:r>
        <w:rPr>
          <w:rFonts w:hint="eastAsia" w:asciiTheme="minorEastAsia" w:hAnsiTheme="minorEastAsia" w:eastAsiaTheme="minorEastAsia"/>
          <w:sz w:val="24"/>
        </w:rPr>
        <w:t>4）电力供电系统专题方案：供电系统监理方案。</w:t>
      </w:r>
    </w:p>
    <w:p>
      <w:pPr>
        <w:spacing w:line="360" w:lineRule="auto"/>
        <w:ind w:firstLine="1132" w:firstLineChars="472"/>
        <w:jc w:val="left"/>
        <w:rPr>
          <w:rFonts w:asciiTheme="minorEastAsia" w:hAnsiTheme="minorEastAsia" w:eastAsiaTheme="minorEastAsia"/>
          <w:sz w:val="24"/>
        </w:rPr>
      </w:pPr>
      <w:r>
        <w:rPr>
          <w:rFonts w:hint="eastAsia" w:asciiTheme="minorEastAsia" w:hAnsiTheme="minorEastAsia" w:eastAsiaTheme="minorEastAsia"/>
          <w:sz w:val="24"/>
        </w:rPr>
        <w:t>5）各系统调试、联调方案及接口管理方案：各系统设备单调、接口调试、系统联调、综合联调各个阶段监理工作职责、角色定位、重点难点分析及对策。</w:t>
      </w:r>
    </w:p>
    <w:p>
      <w:pPr>
        <w:spacing w:line="360" w:lineRule="auto"/>
        <w:ind w:firstLine="928" w:firstLineChars="387"/>
        <w:rPr>
          <w:rFonts w:asciiTheme="minorEastAsia" w:hAnsiTheme="minorEastAsia" w:eastAsiaTheme="minorEastAsia"/>
          <w:sz w:val="24"/>
        </w:rPr>
      </w:pPr>
      <w:bookmarkStart w:id="260" w:name="_Toc308013093"/>
      <w:bookmarkStart w:id="261" w:name="_Toc310517456"/>
      <w:bookmarkStart w:id="262" w:name="_Toc310524703"/>
      <w:r>
        <w:rPr>
          <w:rFonts w:asciiTheme="minorEastAsia" w:hAnsiTheme="minorEastAsia" w:eastAsiaTheme="minorEastAsia"/>
          <w:sz w:val="24"/>
        </w:rPr>
        <w:t>（</w:t>
      </w:r>
      <w:r>
        <w:rPr>
          <w:rFonts w:hint="eastAsia" w:asciiTheme="minorEastAsia" w:hAnsiTheme="minorEastAsia" w:eastAsiaTheme="minorEastAsia"/>
          <w:sz w:val="24"/>
        </w:rPr>
        <w:t>7</w:t>
      </w:r>
      <w:r>
        <w:rPr>
          <w:rFonts w:asciiTheme="minorEastAsia" w:hAnsiTheme="minorEastAsia" w:eastAsiaTheme="minorEastAsia"/>
          <w:sz w:val="24"/>
        </w:rPr>
        <w:t>）其他建议：为更好地完成本工程的监理工作，投标人可按照自身的实际经验，对本工程监理工作提出良好的建议。</w:t>
      </w:r>
      <w:bookmarkEnd w:id="260"/>
      <w:bookmarkEnd w:id="261"/>
      <w:bookmarkEnd w:id="262"/>
    </w:p>
    <w:p>
      <w:pPr>
        <w:pStyle w:val="4"/>
      </w:pPr>
      <w:bookmarkStart w:id="263" w:name="_Toc499204871"/>
      <w:bookmarkStart w:id="264" w:name="_Toc499311086"/>
      <w:bookmarkStart w:id="265" w:name="_Toc28681"/>
      <w:bookmarkStart w:id="266" w:name="_Toc498502963"/>
      <w:bookmarkStart w:id="267" w:name="_Toc26243"/>
      <w:r>
        <w:t>3.2投标</w:t>
      </w:r>
      <w:bookmarkEnd w:id="252"/>
      <w:bookmarkEnd w:id="253"/>
      <w:bookmarkEnd w:id="254"/>
      <w:bookmarkEnd w:id="255"/>
      <w:bookmarkEnd w:id="256"/>
      <w:r>
        <w:t>报价</w:t>
      </w:r>
      <w:bookmarkEnd w:id="257"/>
      <w:bookmarkEnd w:id="258"/>
      <w:bookmarkEnd w:id="259"/>
      <w:bookmarkEnd w:id="263"/>
      <w:bookmarkEnd w:id="264"/>
      <w:bookmarkEnd w:id="265"/>
      <w:bookmarkEnd w:id="266"/>
      <w:bookmarkEnd w:id="267"/>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3.2.1监理服务费</w:t>
      </w:r>
      <w:r>
        <w:rPr>
          <w:rFonts w:hint="eastAsia" w:asciiTheme="minorEastAsia" w:hAnsiTheme="minorEastAsia" w:eastAsiaTheme="minorEastAsia"/>
          <w:sz w:val="24"/>
        </w:rPr>
        <w:t>采用固定费率方式，费率为百</w:t>
      </w:r>
      <w:r>
        <w:rPr>
          <w:rFonts w:asciiTheme="minorEastAsia" w:hAnsiTheme="minorEastAsia" w:eastAsiaTheme="minorEastAsia"/>
          <w:sz w:val="24"/>
        </w:rPr>
        <w:t>分比，保留到小数点后两位数</w:t>
      </w:r>
      <w:r>
        <w:rPr>
          <w:rFonts w:hint="eastAsia" w:asciiTheme="minorEastAsia" w:hAnsiTheme="minorEastAsia" w:eastAsiaTheme="minorEastAsia"/>
          <w:sz w:val="24"/>
        </w:rPr>
        <w:t>，其他约定详见合同条款。</w:t>
      </w:r>
    </w:p>
    <w:p>
      <w:pPr>
        <w:spacing w:line="360" w:lineRule="auto"/>
        <w:ind w:firstLine="420"/>
        <w:jc w:val="left"/>
        <w:rPr>
          <w:rFonts w:asciiTheme="minorEastAsia" w:hAnsiTheme="minorEastAsia" w:eastAsiaTheme="minorEastAsia"/>
          <w:bCs/>
          <w:sz w:val="24"/>
        </w:rPr>
      </w:pPr>
      <w:r>
        <w:rPr>
          <w:rFonts w:asciiTheme="minorEastAsia" w:hAnsiTheme="minorEastAsia" w:eastAsiaTheme="minorEastAsia"/>
          <w:bCs/>
          <w:sz w:val="24"/>
        </w:rPr>
        <w:t>3.2.</w:t>
      </w:r>
      <w:r>
        <w:rPr>
          <w:rFonts w:hint="eastAsia" w:asciiTheme="minorEastAsia" w:hAnsiTheme="minorEastAsia" w:eastAsiaTheme="minorEastAsia"/>
          <w:bCs/>
          <w:sz w:val="24"/>
        </w:rPr>
        <w:t>2投标人</w:t>
      </w:r>
      <w:r>
        <w:rPr>
          <w:rFonts w:asciiTheme="minorEastAsia" w:hAnsiTheme="minorEastAsia" w:eastAsiaTheme="minorEastAsia"/>
          <w:bCs/>
          <w:sz w:val="24"/>
        </w:rPr>
        <w:t>应充分考虑工程规模、监理范围、工作内容、监理难度、工作条件、自身实力和风险因素，充分考虑市场竞争情况，进行报价。</w:t>
      </w:r>
      <w:r>
        <w:rPr>
          <w:rFonts w:hint="eastAsia" w:asciiTheme="minorEastAsia" w:hAnsiTheme="minorEastAsia" w:eastAsiaTheme="minorEastAsia"/>
          <w:bCs/>
          <w:sz w:val="24"/>
        </w:rPr>
        <w:t>监理人的具体工作包括：所监理项目范围内施工承包人的所有工作监理，与本项目相关的</w:t>
      </w:r>
      <w:r>
        <w:rPr>
          <w:rFonts w:asciiTheme="minorEastAsia" w:hAnsiTheme="minorEastAsia" w:eastAsiaTheme="minorEastAsia"/>
          <w:bCs/>
          <w:kern w:val="0"/>
          <w:sz w:val="24"/>
        </w:rPr>
        <w:t>征地拆迁、管线拆改、绿化迁植</w:t>
      </w:r>
      <w:r>
        <w:rPr>
          <w:rFonts w:hint="eastAsia" w:asciiTheme="minorEastAsia" w:hAnsiTheme="minorEastAsia" w:eastAsiaTheme="minorEastAsia"/>
          <w:bCs/>
          <w:kern w:val="0"/>
          <w:sz w:val="24"/>
        </w:rPr>
        <w:t>、交通导改、临水与临电安装（含拆除）、管线接驳</w:t>
      </w:r>
      <w:r>
        <w:rPr>
          <w:rFonts w:asciiTheme="minorEastAsia" w:hAnsiTheme="minorEastAsia" w:eastAsiaTheme="minorEastAsia"/>
          <w:bCs/>
          <w:kern w:val="0"/>
          <w:sz w:val="24"/>
        </w:rPr>
        <w:t>等前期</w:t>
      </w:r>
      <w:r>
        <w:rPr>
          <w:rFonts w:hint="eastAsia" w:asciiTheme="minorEastAsia" w:hAnsiTheme="minorEastAsia" w:eastAsiaTheme="minorEastAsia"/>
          <w:bCs/>
          <w:kern w:val="0"/>
          <w:sz w:val="24"/>
        </w:rPr>
        <w:t>工作监理以及临时用地、管线、道路、绿化、交通设施、公交等后期恢复工作监理，甲供材料设备监理。监理服务费报价应包括完成上述监理工作服务费用，还应包括</w:t>
      </w:r>
      <w:r>
        <w:rPr>
          <w:rFonts w:asciiTheme="minorEastAsia" w:hAnsiTheme="minorEastAsia" w:eastAsiaTheme="minorEastAsia"/>
          <w:bCs/>
          <w:sz w:val="24"/>
        </w:rPr>
        <w:t>施工阶段监理人员服务费、加班费、食宿费、交通费、办公设备、用品费、监理设备使用维护费、所有自行或者外委试验检测的相关费用</w:t>
      </w:r>
      <w:r>
        <w:rPr>
          <w:rFonts w:hint="eastAsia" w:asciiTheme="minorEastAsia" w:hAnsiTheme="minorEastAsia" w:eastAsiaTheme="minorEastAsia"/>
          <w:bCs/>
          <w:sz w:val="24"/>
        </w:rPr>
        <w:t>、</w:t>
      </w:r>
      <w:r>
        <w:rPr>
          <w:rFonts w:asciiTheme="minorEastAsia" w:hAnsiTheme="minorEastAsia" w:eastAsiaTheme="minorEastAsia"/>
          <w:bCs/>
          <w:sz w:val="24"/>
        </w:rPr>
        <w:t>现场管理费用</w:t>
      </w:r>
      <w:r>
        <w:rPr>
          <w:rFonts w:hint="eastAsia" w:asciiTheme="minorEastAsia" w:hAnsiTheme="minorEastAsia" w:eastAsiaTheme="minorEastAsia"/>
          <w:bCs/>
          <w:sz w:val="24"/>
        </w:rPr>
        <w:t>、</w:t>
      </w:r>
      <w:r>
        <w:rPr>
          <w:rFonts w:asciiTheme="minorEastAsia" w:hAnsiTheme="minorEastAsia" w:eastAsiaTheme="minorEastAsia"/>
          <w:bCs/>
          <w:sz w:val="24"/>
        </w:rPr>
        <w:t>公司管理费用</w:t>
      </w:r>
      <w:r>
        <w:rPr>
          <w:rFonts w:hint="eastAsia" w:asciiTheme="minorEastAsia" w:hAnsiTheme="minorEastAsia" w:eastAsiaTheme="minorEastAsia"/>
          <w:bCs/>
          <w:sz w:val="24"/>
        </w:rPr>
        <w:t>、</w:t>
      </w:r>
      <w:r>
        <w:rPr>
          <w:rFonts w:asciiTheme="minorEastAsia" w:hAnsiTheme="minorEastAsia" w:eastAsiaTheme="minorEastAsia"/>
          <w:bCs/>
          <w:sz w:val="24"/>
        </w:rPr>
        <w:t>监理服务风险费</w:t>
      </w:r>
      <w:r>
        <w:rPr>
          <w:rFonts w:hint="eastAsia" w:asciiTheme="minorEastAsia" w:hAnsiTheme="minorEastAsia" w:eastAsiaTheme="minorEastAsia"/>
          <w:bCs/>
          <w:sz w:val="24"/>
        </w:rPr>
        <w:t>、</w:t>
      </w:r>
      <w:r>
        <w:rPr>
          <w:rFonts w:asciiTheme="minorEastAsia" w:hAnsiTheme="minorEastAsia" w:eastAsiaTheme="minorEastAsia"/>
          <w:bCs/>
          <w:sz w:val="24"/>
        </w:rPr>
        <w:t>利润</w:t>
      </w:r>
      <w:r>
        <w:rPr>
          <w:rFonts w:hint="eastAsia" w:asciiTheme="minorEastAsia" w:hAnsiTheme="minorEastAsia" w:eastAsiaTheme="minorEastAsia"/>
          <w:bCs/>
          <w:sz w:val="24"/>
        </w:rPr>
        <w:t>、</w:t>
      </w:r>
      <w:r>
        <w:rPr>
          <w:rFonts w:asciiTheme="minorEastAsia" w:hAnsiTheme="minorEastAsia" w:eastAsiaTheme="minorEastAsia"/>
          <w:bCs/>
          <w:sz w:val="24"/>
        </w:rPr>
        <w:t>税金等</w:t>
      </w:r>
      <w:r>
        <w:rPr>
          <w:rFonts w:hint="eastAsia" w:asciiTheme="minorEastAsia" w:hAnsiTheme="minorEastAsia" w:eastAsiaTheme="minorEastAsia"/>
          <w:bCs/>
          <w:sz w:val="24"/>
        </w:rPr>
        <w:t>费用。</w:t>
      </w:r>
    </w:p>
    <w:p>
      <w:pPr>
        <w:spacing w:line="360" w:lineRule="auto"/>
        <w:ind w:firstLine="420"/>
        <w:jc w:val="left"/>
        <w:rPr>
          <w:rFonts w:asciiTheme="minorEastAsia" w:hAnsiTheme="minorEastAsia" w:eastAsiaTheme="minorEastAsia"/>
          <w:bCs/>
          <w:sz w:val="24"/>
        </w:rPr>
      </w:pPr>
      <w:r>
        <w:rPr>
          <w:rFonts w:hint="eastAsia" w:asciiTheme="minorEastAsia" w:hAnsiTheme="minorEastAsia" w:eastAsiaTheme="minorEastAsia"/>
          <w:sz w:val="24"/>
        </w:rPr>
        <w:t>3.2.3</w:t>
      </w:r>
      <w:r>
        <w:rPr>
          <w:rFonts w:hint="eastAsia" w:asciiTheme="minorEastAsia" w:hAnsiTheme="minorEastAsia" w:eastAsiaTheme="minorEastAsia"/>
          <w:bCs/>
          <w:sz w:val="24"/>
        </w:rPr>
        <w:t xml:space="preserve"> 投标报价为含税价格。合同中的不含税价格在中标后根据相关法律法规测算确定，合同履行中如税率调整，不含税价格重新测算，含税价格不予调整。</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3.2.</w:t>
      </w:r>
      <w:r>
        <w:rPr>
          <w:rFonts w:hint="eastAsia" w:asciiTheme="minorEastAsia" w:hAnsiTheme="minorEastAsia" w:eastAsiaTheme="minorEastAsia"/>
          <w:sz w:val="24"/>
        </w:rPr>
        <w:t>4</w:t>
      </w:r>
      <w:r>
        <w:rPr>
          <w:rFonts w:asciiTheme="minorEastAsia" w:hAnsiTheme="minorEastAsia" w:eastAsiaTheme="minorEastAsia"/>
          <w:sz w:val="24"/>
        </w:rPr>
        <w:t>招标人不接受投标人递交的调价函，只允许一个投标报价。</w:t>
      </w:r>
    </w:p>
    <w:p>
      <w:pPr>
        <w:pStyle w:val="4"/>
      </w:pPr>
      <w:bookmarkStart w:id="268" w:name="_Toc152042325"/>
      <w:bookmarkStart w:id="269" w:name="_Toc499311087"/>
      <w:bookmarkStart w:id="270" w:name="_Toc498502964"/>
      <w:bookmarkStart w:id="271" w:name="_Toc273358875"/>
      <w:bookmarkStart w:id="272" w:name="_Toc152045549"/>
      <w:bookmarkStart w:id="273" w:name="_Toc17974"/>
      <w:bookmarkStart w:id="274" w:name="_Toc281225124"/>
      <w:bookmarkStart w:id="275" w:name="_Toc144974517"/>
      <w:bookmarkStart w:id="276" w:name="_Toc269324706"/>
      <w:bookmarkStart w:id="277" w:name="_Toc29042"/>
      <w:bookmarkStart w:id="278" w:name="_Toc17179"/>
      <w:bookmarkStart w:id="279" w:name="_Toc499204872"/>
      <w:r>
        <w:t>3.3 投标有效期</w:t>
      </w:r>
      <w:bookmarkEnd w:id="268"/>
      <w:bookmarkEnd w:id="269"/>
      <w:bookmarkEnd w:id="270"/>
      <w:bookmarkEnd w:id="271"/>
      <w:bookmarkEnd w:id="272"/>
      <w:bookmarkEnd w:id="273"/>
      <w:bookmarkEnd w:id="274"/>
      <w:bookmarkEnd w:id="275"/>
      <w:bookmarkEnd w:id="276"/>
      <w:bookmarkEnd w:id="277"/>
      <w:bookmarkEnd w:id="278"/>
      <w:bookmarkEnd w:id="279"/>
    </w:p>
    <w:p>
      <w:pPr>
        <w:spacing w:line="360" w:lineRule="auto"/>
        <w:ind w:firstLine="420"/>
        <w:jc w:val="left"/>
        <w:rPr>
          <w:rFonts w:asciiTheme="minorEastAsia" w:hAnsiTheme="minorEastAsia" w:eastAsiaTheme="minorEastAsia"/>
          <w:sz w:val="24"/>
        </w:rPr>
      </w:pPr>
      <w:bookmarkStart w:id="280" w:name="_Toc281225125"/>
      <w:bookmarkStart w:id="281" w:name="_Toc291080516"/>
      <w:bookmarkStart w:id="282" w:name="_Toc270670948"/>
      <w:bookmarkStart w:id="283" w:name="_Toc270601497"/>
      <w:bookmarkStart w:id="284" w:name="_Toc271529602"/>
      <w:bookmarkStart w:id="285" w:name="_Toc280876771"/>
      <w:r>
        <w:rPr>
          <w:rFonts w:asciiTheme="minorEastAsia" w:hAnsiTheme="minorEastAsia" w:eastAsiaTheme="minorEastAsia"/>
          <w:sz w:val="24"/>
        </w:rPr>
        <w:t>3.3.1 在投标人须知前附表规定的投标有效期内，投标人不得要求撤销或修改其投标文件。</w:t>
      </w:r>
      <w:bookmarkEnd w:id="280"/>
      <w:bookmarkEnd w:id="281"/>
      <w:bookmarkEnd w:id="282"/>
      <w:bookmarkEnd w:id="283"/>
      <w:bookmarkEnd w:id="284"/>
      <w:bookmarkEnd w:id="285"/>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4"/>
      </w:pPr>
      <w:bookmarkStart w:id="286" w:name="_Toc269324707"/>
      <w:bookmarkStart w:id="287" w:name="_Toc152045550"/>
      <w:bookmarkStart w:id="288" w:name="_Toc144974518"/>
      <w:bookmarkStart w:id="289" w:name="_Toc152042326"/>
      <w:bookmarkStart w:id="290" w:name="_Toc22453"/>
      <w:bookmarkStart w:id="291" w:name="_Toc498502965"/>
      <w:bookmarkStart w:id="292" w:name="_Toc24752"/>
      <w:bookmarkStart w:id="293" w:name="_Toc7427"/>
      <w:bookmarkStart w:id="294" w:name="_Toc499311088"/>
      <w:bookmarkStart w:id="295" w:name="_Toc499204873"/>
      <w:bookmarkStart w:id="296" w:name="_Toc281225126"/>
      <w:bookmarkStart w:id="297" w:name="_Toc273358876"/>
      <w:r>
        <w:t xml:space="preserve">3.4 </w:t>
      </w:r>
      <w:bookmarkEnd w:id="286"/>
      <w:bookmarkEnd w:id="287"/>
      <w:bookmarkEnd w:id="288"/>
      <w:bookmarkEnd w:id="289"/>
      <w:r>
        <w:t>投标保证金</w:t>
      </w:r>
      <w:bookmarkEnd w:id="290"/>
      <w:bookmarkEnd w:id="291"/>
      <w:bookmarkEnd w:id="292"/>
      <w:bookmarkEnd w:id="293"/>
      <w:bookmarkEnd w:id="294"/>
      <w:bookmarkEnd w:id="295"/>
      <w:bookmarkEnd w:id="296"/>
      <w:bookmarkEnd w:id="297"/>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3.4.1 投标保证金的递交</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3.4.1.1因投标人的原因无法及时退还投标（竞买）保证金、滞留三年以上的，投标（竞买）保证金上缴财政。</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3.4.1.2自文件发布之日起，投标人需进行基本户备案（建设工程项目），已备案的基本户开户银行、账户发生变化的，须重新办理备案手续。备案后方可提交投标（竞买）保证金。</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基本户备案流程：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殊情况处理：投标人投标过程中因账户开户银行、银行账号发生变化，不能按照来款途径原路返还投标保证金的，投标人须提供原账户开户银行相关证明及新开账户开户许可证，到中心五楼交易见证部办理退款手续（0374-2968027）。</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3.4.2 投标人应按投标人须知前附表规定缴纳投标保证金。</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3.4.2.1投标保证金的递交方式：银行转帐、银行电汇（均需从投标人的基本账户汇出）。</w:t>
      </w:r>
      <w:r>
        <w:rPr>
          <w:rFonts w:hint="eastAsia" w:cs="宋体" w:asciiTheme="minorEastAsia" w:hAnsiTheme="minorEastAsia" w:eastAsiaTheme="minorEastAsia"/>
          <w:sz w:val="24"/>
          <w:lang w:val="zh-CN"/>
        </w:rPr>
        <w:t xml:space="preserve">不接受以现金方式缴纳的投标保证金。凡以现金方式缴纳投标保证金而影响其投标结果的，由投标人自行负责。 </w:t>
      </w:r>
    </w:p>
    <w:p>
      <w:pPr>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3.4.2.2保证金缴纳方式：投标人网上下载招标文件后，登录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eastAsiaTheme="minorEastAsia"/>
          <w:sz w:val="24"/>
        </w:rPr>
        <w:t>http://221.14.6.70:8088/ggzy</w:t>
      </w:r>
      <w:r>
        <w:rPr>
          <w:rFonts w:hint="eastAsia" w:cs="宋体" w:asciiTheme="minorEastAsia" w:hAnsiTheme="minorEastAsia" w:eastAsiaTheme="minorEastAsia"/>
          <w:sz w:val="24"/>
        </w:rPr>
        <w:fldChar w:fldCharType="end"/>
      </w:r>
      <w:r>
        <w:rPr>
          <w:rFonts w:hint="eastAsia" w:cs="宋体" w:asciiTheme="minorEastAsia" w:hAnsiTheme="minorEastAsia" w:eastAsiaTheme="minorEastAsia"/>
          <w:sz w:val="24"/>
        </w:rPr>
        <w:t>系统，依次点击“会员向导”→“参与投标”→“费用缴纳说明”→“保证金缴纳说明单”，获取缴费说明单，根据每个标段的缴纳说明单在缴纳截止时间前缴纳。</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成功缴纳后重新登录前述系统，依次点击“会员向导”→“参与投标”→“保证金绑定”→“绑定”进行投标保证金绑定。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3.4.2.3每个投标人每个项目每个标段只有唯一缴纳账号，切勿重复缴纳或错误缴纳。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3.4.2.4投标人严格按照“保证金缴纳说明单”内容缴纳投标保证金，并保留缴纳凭证以备查询。为确保投标保证金到账的保密性、准确性，汇款凭证不得备注项目编号和项目名称。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3.4.2.5未按上述规定操作引起的无效投标，由投标人自行负责。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3.4.2.6出现以下情形造成的投标保证金未及时到账或被退回，由投标人自行负责。</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(1)投标保证金未从投标人的基本账户转出；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(2)投标保证金未按照招标文件划分的标段依次转账。          </w:t>
      </w:r>
    </w:p>
    <w:p>
      <w:pPr>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3.4.2.7</w:t>
      </w:r>
      <w:r>
        <w:rPr>
          <w:rFonts w:hint="eastAsia" w:cs="宋体" w:asciiTheme="minorEastAsia" w:hAnsiTheme="minorEastAsia" w:eastAsiaTheme="minorEastAsia"/>
          <w:sz w:val="24"/>
          <w:lang w:val="zh-CN"/>
        </w:rPr>
        <w:t>《保证金缴纳绑定操作指南》获取方法：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登录</w:t>
      </w:r>
      <w:r>
        <w:rPr>
          <w:rFonts w:hint="eastAsia" w:cs="宋体" w:asciiTheme="minorEastAsia" w:hAnsiTheme="minorEastAsia" w:eastAsiaTheme="minorEastAsia"/>
          <w:sz w:val="24"/>
        </w:rPr>
        <w:t>《全国公共资源交易平台(河南省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-组件下载-《保证金缴纳绑定操作指南》</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3.4.3 投标人不按本章第3.4.2项要求提交投标保证金的，拒收其投标文件。</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3.4.4投标保证金的退还：</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(1)中标公示期满没有质疑或投诉的，5个工作日内退还非中标候选人投标保证金及银行同期活期存款利息。</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(2)在书面合同签订5个工作日内向中标人和其他中标候选人退还投标保证金及银行同期活期存款利息；法定期限内未签订书面合同的，按照有关规定退还其投标保证金。及银行同期活期存款利息。</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(3)项目废标或招标人终止招标的，在此后5个工作日内退还投标保证金及银行同期活期存利息。</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(4)投标活动中出现质疑、投诉的，中标候选人、质疑人和被质疑人、投诉人和被投诉人的投标保证金暂停退还。</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(5)相关投标人有违法违规行为的项目，其投标保证金暂不退还，待行政监督部门对相关情况处置后，按照有关规定办理。</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(6)退还投标保证金，除另有规定外，一般以转账方式一次性退还至投标保证金的原提交账户。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3.4.5投标人有下列情形之一的，不予退还投标保证金：</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(1)在招标文件要求提交招标文件的截止时间后至招标文件有效期满前撤回投标的；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(2)中标通知书发出后，中标人无故放弃中标项目或无正当理由在规定时间内不与招标人签订合同或未按招标文件规定提交履约担保的；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(3)将中标项目转让给他人，或者在投标文件中未说明，且未经招标人同意，将中标项目分包给他人的；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(4)投标人在招投标活动中弄虚作假、围标串标，骗取中标并经招投标行政监督部门调查核实的；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(5)拒绝履行合同义务的；</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(6)相关法律、法规规定不予退还的其它情形；(7)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4"/>
      </w:pPr>
      <w:bookmarkStart w:id="298" w:name="_Toc273358877"/>
      <w:bookmarkStart w:id="299" w:name="_Toc26797"/>
      <w:bookmarkStart w:id="300" w:name="_Toc281225127"/>
      <w:bookmarkStart w:id="301" w:name="_Toc269324708"/>
      <w:bookmarkStart w:id="302" w:name="_Toc152042328"/>
      <w:bookmarkStart w:id="303" w:name="_Toc18287"/>
      <w:bookmarkStart w:id="304" w:name="_Toc499311089"/>
      <w:bookmarkStart w:id="305" w:name="_Toc144974520"/>
      <w:bookmarkStart w:id="306" w:name="_Toc499204874"/>
      <w:bookmarkStart w:id="307" w:name="_Toc498502966"/>
      <w:bookmarkStart w:id="308" w:name="_Toc11571"/>
      <w:bookmarkStart w:id="309" w:name="_Toc152045552"/>
      <w:r>
        <w:t>3.5 资格审查资料</w:t>
      </w:r>
      <w:bookmarkEnd w:id="298"/>
      <w:bookmarkEnd w:id="299"/>
      <w:bookmarkEnd w:id="300"/>
      <w:bookmarkEnd w:id="301"/>
      <w:bookmarkEnd w:id="302"/>
      <w:bookmarkEnd w:id="303"/>
      <w:bookmarkEnd w:id="304"/>
      <w:bookmarkEnd w:id="305"/>
      <w:bookmarkEnd w:id="306"/>
      <w:bookmarkEnd w:id="307"/>
      <w:bookmarkEnd w:id="308"/>
      <w:bookmarkEnd w:id="309"/>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3.5.1投标人基本情况表。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3.5.2近年财务状况表</w:t>
      </w:r>
      <w:r>
        <w:rPr>
          <w:rFonts w:hint="eastAsia" w:asciiTheme="minorEastAsia" w:hAnsiTheme="minorEastAsia" w:eastAsiaTheme="minorEastAsia"/>
          <w:sz w:val="24"/>
        </w:rPr>
        <w:t>，</w:t>
      </w:r>
      <w:r>
        <w:rPr>
          <w:rFonts w:asciiTheme="minorEastAsia" w:hAnsiTheme="minorEastAsia" w:eastAsiaTheme="minorEastAsia"/>
          <w:sz w:val="24"/>
        </w:rPr>
        <w:t>年份要求见投标人须知前附表。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3.5.3近年安全、质量情况说明表，年份要求详见投标人须知前附表</w:t>
      </w:r>
      <w:r>
        <w:rPr>
          <w:rFonts w:hint="eastAsia" w:asciiTheme="minorEastAsia" w:hAnsiTheme="minorEastAsia" w:eastAsiaTheme="minorEastAsia"/>
          <w:sz w:val="24"/>
        </w:rPr>
        <w:t>。</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3.5.4近年来承担的类似</w:t>
      </w:r>
      <w:r>
        <w:rPr>
          <w:rFonts w:hint="eastAsia" w:asciiTheme="minorEastAsia" w:hAnsiTheme="minorEastAsia" w:eastAsiaTheme="minorEastAsia"/>
          <w:sz w:val="24"/>
        </w:rPr>
        <w:t>项目业绩</w:t>
      </w:r>
      <w:r>
        <w:rPr>
          <w:rFonts w:asciiTheme="minorEastAsia" w:hAnsiTheme="minorEastAsia" w:eastAsiaTheme="minorEastAsia"/>
          <w:sz w:val="24"/>
        </w:rPr>
        <w:t>情况</w:t>
      </w:r>
      <w:r>
        <w:rPr>
          <w:rFonts w:hint="eastAsia" w:asciiTheme="minorEastAsia" w:hAnsiTheme="minorEastAsia" w:eastAsiaTheme="minorEastAsia"/>
          <w:sz w:val="24"/>
        </w:rPr>
        <w:t>一览</w:t>
      </w:r>
      <w:r>
        <w:rPr>
          <w:rFonts w:asciiTheme="minorEastAsia" w:hAnsiTheme="minorEastAsia" w:eastAsiaTheme="minorEastAsia"/>
          <w:sz w:val="24"/>
        </w:rPr>
        <w:t>表</w:t>
      </w:r>
      <w:r>
        <w:rPr>
          <w:rFonts w:hint="eastAsia" w:asciiTheme="minorEastAsia" w:hAnsiTheme="minorEastAsia" w:eastAsiaTheme="minorEastAsia"/>
          <w:sz w:val="24"/>
        </w:rPr>
        <w:t>，</w:t>
      </w:r>
      <w:r>
        <w:rPr>
          <w:rFonts w:asciiTheme="minorEastAsia" w:hAnsiTheme="minorEastAsia" w:eastAsiaTheme="minorEastAsia"/>
          <w:sz w:val="24"/>
        </w:rPr>
        <w:t>年份要求见投标人须知前附表</w:t>
      </w:r>
      <w:r>
        <w:rPr>
          <w:rFonts w:hint="eastAsia" w:asciiTheme="minorEastAsia" w:hAnsiTheme="minorEastAsia" w:eastAsiaTheme="minorEastAsia"/>
          <w:sz w:val="24"/>
        </w:rPr>
        <w:t>。</w:t>
      </w:r>
    </w:p>
    <w:p>
      <w:pPr>
        <w:spacing w:line="360" w:lineRule="auto"/>
        <w:ind w:firstLine="420"/>
        <w:jc w:val="left"/>
        <w:rPr>
          <w:rFonts w:asciiTheme="minorEastAsia" w:hAnsiTheme="minorEastAsia" w:eastAsiaTheme="minorEastAsia"/>
          <w:sz w:val="24"/>
        </w:rPr>
      </w:pPr>
      <w:r>
        <w:rPr>
          <w:rFonts w:hint="eastAsia" w:asciiTheme="minorEastAsia" w:hAnsiTheme="minorEastAsia" w:eastAsiaTheme="minorEastAsia"/>
          <w:sz w:val="24"/>
        </w:rPr>
        <w:t>3.5.5 近年来承担类似项目业绩情况表。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3.5.</w:t>
      </w:r>
      <w:r>
        <w:rPr>
          <w:rFonts w:hint="eastAsia" w:asciiTheme="minorEastAsia" w:hAnsiTheme="minorEastAsia" w:eastAsiaTheme="minorEastAsia"/>
          <w:sz w:val="24"/>
        </w:rPr>
        <w:t>6</w:t>
      </w:r>
      <w:r>
        <w:rPr>
          <w:rFonts w:asciiTheme="minorEastAsia" w:hAnsiTheme="minorEastAsia" w:eastAsiaTheme="minorEastAsia"/>
          <w:sz w:val="24"/>
        </w:rPr>
        <w:t>近年发生的诉讼及仲裁情况</w:t>
      </w:r>
      <w:r>
        <w:rPr>
          <w:rFonts w:hint="eastAsia" w:asciiTheme="minorEastAsia" w:hAnsiTheme="minorEastAsia" w:eastAsiaTheme="minorEastAsia"/>
          <w:sz w:val="24"/>
        </w:rPr>
        <w:t>，</w:t>
      </w:r>
      <w:r>
        <w:rPr>
          <w:rFonts w:asciiTheme="minorEastAsia" w:hAnsiTheme="minorEastAsia" w:eastAsiaTheme="minorEastAsia"/>
          <w:sz w:val="24"/>
        </w:rPr>
        <w:t>年份要求见投标人须知前附表。</w:t>
      </w:r>
    </w:p>
    <w:p>
      <w:pPr>
        <w:spacing w:line="360" w:lineRule="auto"/>
        <w:ind w:firstLine="420"/>
        <w:jc w:val="left"/>
        <w:rPr>
          <w:rFonts w:asciiTheme="minorEastAsia" w:hAnsiTheme="minorEastAsia" w:eastAsiaTheme="minorEastAsia"/>
          <w:sz w:val="24"/>
        </w:rPr>
      </w:pPr>
      <w:r>
        <w:rPr>
          <w:rFonts w:hint="eastAsia" w:asciiTheme="minorEastAsia" w:hAnsiTheme="minorEastAsia" w:eastAsiaTheme="minorEastAsia"/>
          <w:sz w:val="24"/>
        </w:rPr>
        <w:t>3.5.7 投标人关联企业情况声明。</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3.5.</w:t>
      </w:r>
      <w:r>
        <w:rPr>
          <w:rFonts w:hint="eastAsia" w:asciiTheme="minorEastAsia" w:hAnsiTheme="minorEastAsia" w:eastAsiaTheme="minorEastAsia"/>
          <w:sz w:val="24"/>
        </w:rPr>
        <w:t>8 承诺书。</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3.5.</w:t>
      </w:r>
      <w:r>
        <w:rPr>
          <w:rFonts w:hint="eastAsia" w:asciiTheme="minorEastAsia" w:hAnsiTheme="minorEastAsia" w:eastAsiaTheme="minorEastAsia"/>
          <w:sz w:val="24"/>
        </w:rPr>
        <w:t>9</w:t>
      </w:r>
      <w:r>
        <w:rPr>
          <w:rFonts w:asciiTheme="minorEastAsia" w:hAnsiTheme="minorEastAsia" w:eastAsiaTheme="minorEastAsia"/>
          <w:sz w:val="24"/>
        </w:rPr>
        <w:t>投标人须知前附表规定接受联合体投标的，本章第3.5.1项至第3.5.5项规定的表格和资料应包括联合体各方相关情况。</w:t>
      </w:r>
    </w:p>
    <w:p>
      <w:pPr>
        <w:pStyle w:val="4"/>
      </w:pPr>
      <w:bookmarkStart w:id="310" w:name="_Toc144974521"/>
      <w:bookmarkStart w:id="311" w:name="_Toc31626"/>
      <w:bookmarkStart w:id="312" w:name="_Toc152045553"/>
      <w:bookmarkStart w:id="313" w:name="_Toc2336"/>
      <w:bookmarkStart w:id="314" w:name="_Toc498502967"/>
      <w:bookmarkStart w:id="315" w:name="_Toc269324709"/>
      <w:bookmarkStart w:id="316" w:name="_Toc499204875"/>
      <w:bookmarkStart w:id="317" w:name="_Toc12749"/>
      <w:bookmarkStart w:id="318" w:name="_Toc273358878"/>
      <w:bookmarkStart w:id="319" w:name="_Toc152042329"/>
      <w:bookmarkStart w:id="320" w:name="_Toc281225128"/>
      <w:bookmarkStart w:id="321" w:name="_Toc499311090"/>
      <w:r>
        <w:t>3.6 备选投标方案</w:t>
      </w:r>
      <w:bookmarkEnd w:id="310"/>
      <w:bookmarkEnd w:id="311"/>
      <w:bookmarkEnd w:id="312"/>
      <w:bookmarkEnd w:id="313"/>
      <w:bookmarkEnd w:id="314"/>
      <w:bookmarkEnd w:id="315"/>
      <w:bookmarkEnd w:id="316"/>
      <w:bookmarkEnd w:id="317"/>
      <w:bookmarkEnd w:id="318"/>
      <w:bookmarkEnd w:id="319"/>
      <w:bookmarkEnd w:id="320"/>
      <w:bookmarkEnd w:id="321"/>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pPr>
      <w:bookmarkStart w:id="322" w:name="_Toc499311091"/>
      <w:bookmarkStart w:id="323" w:name="_Toc144974522"/>
      <w:bookmarkStart w:id="324" w:name="_Toc18945"/>
      <w:bookmarkStart w:id="325" w:name="_Toc19593"/>
      <w:bookmarkStart w:id="326" w:name="_Toc281225129"/>
      <w:bookmarkStart w:id="327" w:name="_Toc152042330"/>
      <w:bookmarkStart w:id="328" w:name="_Toc498502968"/>
      <w:bookmarkStart w:id="329" w:name="_Toc499204876"/>
      <w:bookmarkStart w:id="330" w:name="_Toc269324710"/>
      <w:bookmarkStart w:id="331" w:name="_Toc152045554"/>
      <w:bookmarkStart w:id="332" w:name="_Toc273358879"/>
      <w:bookmarkStart w:id="333" w:name="_Toc22771"/>
      <w:r>
        <w:t>3.7 投标文件的编制</w:t>
      </w:r>
      <w:bookmarkEnd w:id="322"/>
      <w:bookmarkEnd w:id="323"/>
      <w:bookmarkEnd w:id="324"/>
      <w:bookmarkEnd w:id="325"/>
      <w:bookmarkEnd w:id="326"/>
      <w:bookmarkEnd w:id="327"/>
      <w:bookmarkEnd w:id="328"/>
      <w:bookmarkEnd w:id="329"/>
      <w:bookmarkEnd w:id="330"/>
      <w:bookmarkEnd w:id="331"/>
      <w:bookmarkEnd w:id="332"/>
      <w:bookmarkEnd w:id="333"/>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3.7.1投标文件应按第六章</w:t>
      </w:r>
      <w:r>
        <w:rPr>
          <w:rFonts w:hint="eastAsia" w:asciiTheme="minorEastAsia" w:hAnsiTheme="minorEastAsia" w:eastAsiaTheme="minorEastAsia"/>
          <w:sz w:val="24"/>
        </w:rPr>
        <w:t>“</w:t>
      </w:r>
      <w:r>
        <w:rPr>
          <w:rFonts w:asciiTheme="minorEastAsia" w:hAnsiTheme="minorEastAsia" w:eastAsiaTheme="minorEastAsia"/>
          <w:sz w:val="24"/>
        </w:rPr>
        <w:t>投标文件格式</w:t>
      </w:r>
      <w:r>
        <w:rPr>
          <w:rFonts w:hint="eastAsia" w:asciiTheme="minorEastAsia" w:hAnsiTheme="minorEastAsia" w:eastAsiaTheme="minorEastAsia"/>
          <w:sz w:val="24"/>
        </w:rPr>
        <w:t>”</w:t>
      </w:r>
      <w:r>
        <w:rPr>
          <w:rFonts w:asciiTheme="minorEastAsia" w:hAnsiTheme="minorEastAsia" w:eastAsiaTheme="minorEastAsia"/>
          <w:sz w:val="24"/>
        </w:rPr>
        <w:t>进行编写，如有必要，可以增加附页，作为投标文件的组成部分。其中，投标函附录在满足招标文件实质性要求的基础上，可以提出比招标文件要求更有利于招标人的承诺。</w:t>
      </w:r>
      <w:r>
        <w:rPr>
          <w:rFonts w:hint="eastAsia" w:asciiTheme="minorEastAsia" w:hAnsiTheme="minorEastAsia" w:eastAsiaTheme="minorEastAsia"/>
          <w:sz w:val="24"/>
        </w:rPr>
        <w:t>“</w:t>
      </w:r>
      <w:r>
        <w:rPr>
          <w:rFonts w:asciiTheme="minorEastAsia" w:hAnsiTheme="minorEastAsia" w:eastAsiaTheme="minorEastAsia"/>
          <w:sz w:val="24"/>
        </w:rPr>
        <w:t>投标文件格式</w:t>
      </w:r>
      <w:r>
        <w:rPr>
          <w:rFonts w:hint="eastAsia" w:asciiTheme="minorEastAsia" w:hAnsiTheme="minorEastAsia" w:eastAsiaTheme="minorEastAsia"/>
          <w:sz w:val="24"/>
        </w:rPr>
        <w:t>”</w:t>
      </w:r>
      <w:r>
        <w:rPr>
          <w:rFonts w:asciiTheme="minorEastAsia" w:hAnsiTheme="minorEastAsia" w:eastAsiaTheme="minorEastAsia"/>
          <w:sz w:val="24"/>
        </w:rPr>
        <w:t>中没有规定的可自行编制格式。</w:t>
      </w:r>
    </w:p>
    <w:p>
      <w:pPr>
        <w:spacing w:line="360" w:lineRule="auto"/>
        <w:ind w:firstLine="420"/>
        <w:jc w:val="left"/>
        <w:rPr>
          <w:rFonts w:asciiTheme="minorEastAsia" w:hAnsiTheme="minorEastAsia" w:eastAsiaTheme="minorEastAsia"/>
          <w:sz w:val="24"/>
        </w:rPr>
      </w:pPr>
      <w:bookmarkStart w:id="334" w:name="_Toc271529607"/>
      <w:bookmarkStart w:id="335" w:name="_Toc270670953"/>
      <w:bookmarkStart w:id="336" w:name="_Toc281225130"/>
      <w:bookmarkStart w:id="337" w:name="_Toc280800721"/>
      <w:bookmarkStart w:id="338" w:name="_Toc280876776"/>
      <w:bookmarkStart w:id="339" w:name="_Toc270601502"/>
      <w:r>
        <w:rPr>
          <w:rFonts w:asciiTheme="minorEastAsia" w:hAnsiTheme="minorEastAsia" w:eastAsiaTheme="minorEastAsia"/>
          <w:sz w:val="24"/>
        </w:rPr>
        <w:t>3.7.2 投标文件应当对招标文件有关</w:t>
      </w:r>
      <w:r>
        <w:rPr>
          <w:rFonts w:hint="eastAsia" w:asciiTheme="minorEastAsia" w:hAnsiTheme="minorEastAsia" w:eastAsiaTheme="minorEastAsia"/>
          <w:sz w:val="24"/>
        </w:rPr>
        <w:t>监理服务期限</w:t>
      </w:r>
      <w:r>
        <w:rPr>
          <w:rFonts w:asciiTheme="minorEastAsia" w:hAnsiTheme="minorEastAsia" w:eastAsiaTheme="minorEastAsia"/>
          <w:sz w:val="24"/>
        </w:rPr>
        <w:t>、投标有效期、质量要求、服务内容、技术标准和要求、招标范围等实质性内容做出响应。</w:t>
      </w:r>
      <w:bookmarkEnd w:id="334"/>
      <w:bookmarkEnd w:id="335"/>
      <w:bookmarkEnd w:id="336"/>
      <w:bookmarkEnd w:id="337"/>
      <w:bookmarkEnd w:id="338"/>
      <w:bookmarkEnd w:id="339"/>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3.7.3投标文件所有文字、图形和图像均须应用不褪色的材料书写或打印，并由投标人的法定代表人或其委托代理人签字并盖单位公章。委托代理人签字的，投标文件应附法定代表人签署的授权委托书。投标文件应尽量避免涂改、行间插字或删除。如果出现上述情况，改动之处应加盖单位公章并由投标人的法定代表人或其授权的代理人签字确认。签字或盖章的具体要求见投标人须知前附表。</w:t>
      </w:r>
    </w:p>
    <w:p>
      <w:pPr>
        <w:spacing w:line="360" w:lineRule="auto"/>
        <w:ind w:firstLine="420"/>
        <w:jc w:val="left"/>
        <w:rPr>
          <w:rFonts w:asciiTheme="minorEastAsia" w:hAnsiTheme="minorEastAsia" w:eastAsiaTheme="minorEastAsia"/>
          <w:sz w:val="24"/>
        </w:rPr>
      </w:pPr>
      <w:bookmarkStart w:id="340" w:name="_Toc280876777"/>
      <w:bookmarkStart w:id="341" w:name="_Toc281225131"/>
      <w:bookmarkStart w:id="342" w:name="_Toc280800722"/>
      <w:r>
        <w:rPr>
          <w:rFonts w:asciiTheme="minorEastAsia" w:hAnsiTheme="minorEastAsia" w:eastAsiaTheme="minorEastAsia"/>
          <w:sz w:val="24"/>
        </w:rPr>
        <w:t>3.7.4投标文件文件的份数和签署</w:t>
      </w:r>
    </w:p>
    <w:p>
      <w:pPr>
        <w:spacing w:line="360" w:lineRule="auto"/>
        <w:ind w:firstLine="420"/>
        <w:jc w:val="left"/>
        <w:rPr>
          <w:rFonts w:asciiTheme="minorEastAsia" w:hAnsiTheme="minorEastAsia" w:eastAsiaTheme="minorEastAsia"/>
          <w:sz w:val="24"/>
        </w:rPr>
      </w:pPr>
      <w:bookmarkStart w:id="343" w:name="_Toc275328394"/>
      <w:bookmarkStart w:id="344" w:name="_Toc273431806"/>
      <w:bookmarkStart w:id="345" w:name="_Toc275251566"/>
      <w:bookmarkStart w:id="346" w:name="_Toc275352490"/>
      <w:bookmarkStart w:id="347" w:name="_Toc280876779"/>
      <w:bookmarkStart w:id="348" w:name="_Toc275175376"/>
      <w:bookmarkStart w:id="349" w:name="_Toc280800724"/>
      <w:bookmarkStart w:id="350" w:name="_Toc275339033"/>
      <w:bookmarkStart w:id="351" w:name="_Toc281225133"/>
      <w:r>
        <w:rPr>
          <w:rFonts w:asciiTheme="minorEastAsia" w:hAnsiTheme="minorEastAsia" w:eastAsiaTheme="minorEastAsia"/>
          <w:sz w:val="24"/>
        </w:rPr>
        <w:t>投标文件份数见投标人须知前附表。正本和副本的封面上应清楚地标记</w:t>
      </w:r>
      <w:r>
        <w:rPr>
          <w:rFonts w:hint="eastAsia" w:asciiTheme="minorEastAsia" w:hAnsiTheme="minorEastAsia" w:eastAsiaTheme="minorEastAsia"/>
          <w:sz w:val="24"/>
        </w:rPr>
        <w:t>“</w:t>
      </w:r>
      <w:r>
        <w:rPr>
          <w:rFonts w:asciiTheme="minorEastAsia" w:hAnsiTheme="minorEastAsia" w:eastAsiaTheme="minorEastAsia"/>
          <w:sz w:val="24"/>
        </w:rPr>
        <w:t>正本</w:t>
      </w:r>
      <w:r>
        <w:rPr>
          <w:rFonts w:hint="eastAsia" w:asciiTheme="minorEastAsia" w:hAnsiTheme="minorEastAsia" w:eastAsiaTheme="minorEastAsia"/>
          <w:sz w:val="24"/>
        </w:rPr>
        <w:t>”</w:t>
      </w:r>
      <w:r>
        <w:rPr>
          <w:rFonts w:asciiTheme="minorEastAsia" w:hAnsiTheme="minorEastAsia" w:eastAsiaTheme="minorEastAsia"/>
          <w:sz w:val="24"/>
        </w:rPr>
        <w:t>或</w:t>
      </w:r>
      <w:r>
        <w:rPr>
          <w:rFonts w:hint="eastAsia" w:asciiTheme="minorEastAsia" w:hAnsiTheme="minorEastAsia" w:eastAsiaTheme="minorEastAsia"/>
          <w:sz w:val="24"/>
        </w:rPr>
        <w:t>“</w:t>
      </w:r>
      <w:r>
        <w:rPr>
          <w:rFonts w:asciiTheme="minorEastAsia" w:hAnsiTheme="minorEastAsia" w:eastAsiaTheme="minorEastAsia"/>
          <w:sz w:val="24"/>
        </w:rPr>
        <w:t>副本</w:t>
      </w:r>
      <w:r>
        <w:rPr>
          <w:rFonts w:hint="eastAsia" w:asciiTheme="minorEastAsia" w:hAnsiTheme="minorEastAsia" w:eastAsiaTheme="minorEastAsia"/>
          <w:sz w:val="24"/>
        </w:rPr>
        <w:t>”</w:t>
      </w:r>
      <w:r>
        <w:rPr>
          <w:rFonts w:asciiTheme="minorEastAsia" w:hAnsiTheme="minorEastAsia" w:eastAsiaTheme="minorEastAsia"/>
          <w:sz w:val="24"/>
        </w:rPr>
        <w:t>的字样。</w:t>
      </w:r>
      <w:r>
        <w:rPr>
          <w:rFonts w:hint="eastAsia" w:asciiTheme="minorEastAsia" w:hAnsiTheme="minorEastAsia" w:eastAsiaTheme="minorEastAsia"/>
          <w:sz w:val="24"/>
        </w:rPr>
        <w:t>副本可否为正本签字盖章后的复印件，当副本、电子版和正本不一致时</w:t>
      </w:r>
      <w:r>
        <w:rPr>
          <w:rFonts w:asciiTheme="minorEastAsia" w:hAnsiTheme="minorEastAsia" w:eastAsiaTheme="minorEastAsia"/>
          <w:sz w:val="24"/>
        </w:rPr>
        <w:t>，以正本为准。</w:t>
      </w:r>
      <w:bookmarkEnd w:id="340"/>
      <w:bookmarkEnd w:id="341"/>
      <w:bookmarkEnd w:id="342"/>
      <w:bookmarkEnd w:id="343"/>
      <w:bookmarkEnd w:id="344"/>
      <w:bookmarkEnd w:id="345"/>
      <w:bookmarkEnd w:id="346"/>
      <w:bookmarkEnd w:id="347"/>
      <w:bookmarkEnd w:id="348"/>
      <w:bookmarkEnd w:id="349"/>
      <w:bookmarkEnd w:id="350"/>
      <w:bookmarkEnd w:id="351"/>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3.7.5投标文件的具体装订要求见投标人须知前附表规定。</w:t>
      </w:r>
    </w:p>
    <w:p>
      <w:pPr>
        <w:pStyle w:val="2"/>
      </w:pPr>
      <w:bookmarkStart w:id="352" w:name="_Toc273358881"/>
      <w:bookmarkStart w:id="353" w:name="_Toc144974523"/>
      <w:bookmarkStart w:id="354" w:name="_Toc1720"/>
      <w:bookmarkStart w:id="355" w:name="_Toc281225145"/>
      <w:bookmarkStart w:id="356" w:name="_Toc152045555"/>
      <w:bookmarkStart w:id="357" w:name="_Toc269324712"/>
      <w:bookmarkStart w:id="358" w:name="_Toc152042331"/>
      <w:bookmarkStart w:id="359" w:name="_Toc498502969"/>
      <w:bookmarkStart w:id="360" w:name="_Toc27312"/>
      <w:r>
        <w:t>4.投标</w:t>
      </w:r>
      <w:bookmarkEnd w:id="352"/>
      <w:bookmarkEnd w:id="353"/>
      <w:bookmarkEnd w:id="354"/>
      <w:bookmarkEnd w:id="355"/>
      <w:bookmarkEnd w:id="356"/>
      <w:bookmarkEnd w:id="357"/>
      <w:bookmarkEnd w:id="358"/>
      <w:bookmarkEnd w:id="359"/>
      <w:bookmarkEnd w:id="360"/>
    </w:p>
    <w:p>
      <w:pPr>
        <w:pStyle w:val="4"/>
      </w:pPr>
      <w:bookmarkStart w:id="361" w:name="_Toc19878"/>
      <w:bookmarkStart w:id="362" w:name="_Toc20960"/>
      <w:bookmarkStart w:id="363" w:name="_Toc152045556"/>
      <w:bookmarkStart w:id="364" w:name="_Toc273358882"/>
      <w:bookmarkStart w:id="365" w:name="_Toc499204878"/>
      <w:bookmarkStart w:id="366" w:name="_Toc499311093"/>
      <w:bookmarkStart w:id="367" w:name="_Toc152042332"/>
      <w:bookmarkStart w:id="368" w:name="_Toc498502970"/>
      <w:bookmarkStart w:id="369" w:name="_Toc144974524"/>
      <w:bookmarkStart w:id="370" w:name="_Toc281225146"/>
      <w:bookmarkStart w:id="371" w:name="_Toc4891"/>
      <w:bookmarkStart w:id="372" w:name="_Toc269324713"/>
      <w:r>
        <w:t>4.1 投标文件的密封和标记</w:t>
      </w:r>
      <w:bookmarkEnd w:id="361"/>
      <w:bookmarkEnd w:id="362"/>
      <w:bookmarkEnd w:id="363"/>
      <w:bookmarkEnd w:id="364"/>
      <w:bookmarkEnd w:id="365"/>
      <w:bookmarkEnd w:id="366"/>
      <w:bookmarkEnd w:id="367"/>
      <w:bookmarkEnd w:id="368"/>
      <w:bookmarkEnd w:id="369"/>
      <w:bookmarkEnd w:id="370"/>
      <w:bookmarkEnd w:id="371"/>
      <w:bookmarkEnd w:id="372"/>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4.1.1投标文件的</w:t>
      </w:r>
      <w:r>
        <w:rPr>
          <w:rFonts w:hint="eastAsia" w:asciiTheme="minorEastAsia" w:hAnsiTheme="minorEastAsia" w:eastAsiaTheme="minorEastAsia"/>
          <w:sz w:val="24"/>
        </w:rPr>
        <w:t>密封</w:t>
      </w:r>
      <w:r>
        <w:rPr>
          <w:rFonts w:asciiTheme="minorEastAsia" w:hAnsiTheme="minorEastAsia" w:eastAsiaTheme="minorEastAsia"/>
          <w:sz w:val="24"/>
        </w:rPr>
        <w:t>要求见投标人须知前附表规定。</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4.1.2投标文件的封套上应写明的内容见投标人须知前附表。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4.1.3未按本章第4.1.1项或第4.1.2项要求密封和加写标记的投标文件，招标人不予受理。</w:t>
      </w:r>
    </w:p>
    <w:p>
      <w:pPr>
        <w:pStyle w:val="4"/>
      </w:pPr>
      <w:bookmarkStart w:id="373" w:name="_Toc269324714"/>
      <w:bookmarkStart w:id="374" w:name="_Toc499204879"/>
      <w:bookmarkStart w:id="375" w:name="_Toc21628"/>
      <w:bookmarkStart w:id="376" w:name="_Toc499311094"/>
      <w:bookmarkStart w:id="377" w:name="_Toc273358883"/>
      <w:bookmarkStart w:id="378" w:name="_Toc152042333"/>
      <w:bookmarkStart w:id="379" w:name="_Toc11886"/>
      <w:bookmarkStart w:id="380" w:name="_Toc281225147"/>
      <w:bookmarkStart w:id="381" w:name="_Toc152045557"/>
      <w:bookmarkStart w:id="382" w:name="_Toc498502971"/>
      <w:bookmarkStart w:id="383" w:name="_Toc26473"/>
      <w:bookmarkStart w:id="384" w:name="_Toc144974525"/>
      <w:r>
        <w:t>4.2 投标文件的递交</w:t>
      </w:r>
      <w:bookmarkEnd w:id="373"/>
      <w:bookmarkEnd w:id="374"/>
      <w:bookmarkEnd w:id="375"/>
      <w:bookmarkEnd w:id="376"/>
      <w:bookmarkEnd w:id="377"/>
      <w:bookmarkEnd w:id="378"/>
      <w:bookmarkEnd w:id="379"/>
      <w:bookmarkEnd w:id="380"/>
      <w:bookmarkEnd w:id="381"/>
      <w:bookmarkEnd w:id="382"/>
      <w:bookmarkEnd w:id="383"/>
      <w:bookmarkEnd w:id="384"/>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4.2.1 投标人应在本章第2.2.2项规定的投标截止时间前递交投标文件。</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4.2.2 投标人递交投标文件的地点：见投标人须知前附表。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4.2.3 除投标人须知前附表另有规定外，投标人递交的所有文件、资料和物品均不予退还。</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4.2.</w:t>
      </w:r>
      <w:r>
        <w:rPr>
          <w:rFonts w:hint="eastAsia" w:asciiTheme="minorEastAsia" w:hAnsiTheme="minorEastAsia" w:eastAsiaTheme="minorEastAsia"/>
          <w:sz w:val="24"/>
        </w:rPr>
        <w:t>4</w:t>
      </w:r>
      <w:r>
        <w:rPr>
          <w:rFonts w:asciiTheme="minorEastAsia" w:hAnsiTheme="minorEastAsia" w:eastAsiaTheme="minorEastAsia"/>
          <w:sz w:val="24"/>
        </w:rPr>
        <w:t xml:space="preserve"> 逾期送达的或者未送达指定地点的投标文件，招标人不予受理。</w:t>
      </w:r>
    </w:p>
    <w:p>
      <w:pPr>
        <w:pStyle w:val="4"/>
      </w:pPr>
      <w:bookmarkStart w:id="385" w:name="_Toc144974526"/>
      <w:bookmarkStart w:id="386" w:name="_Toc29832"/>
      <w:bookmarkStart w:id="387" w:name="_Toc498502972"/>
      <w:bookmarkStart w:id="388" w:name="_Toc16190"/>
      <w:bookmarkStart w:id="389" w:name="_Toc281225148"/>
      <w:bookmarkStart w:id="390" w:name="_Toc269324715"/>
      <w:bookmarkStart w:id="391" w:name="_Toc499311095"/>
      <w:bookmarkStart w:id="392" w:name="_Toc152045558"/>
      <w:bookmarkStart w:id="393" w:name="_Toc152042334"/>
      <w:bookmarkStart w:id="394" w:name="_Toc273358884"/>
      <w:bookmarkStart w:id="395" w:name="_Toc27742"/>
      <w:bookmarkStart w:id="396" w:name="_Toc499204880"/>
      <w:r>
        <w:t>4.3 投标文件的修改与撤回</w:t>
      </w:r>
      <w:bookmarkEnd w:id="385"/>
      <w:bookmarkEnd w:id="386"/>
      <w:bookmarkEnd w:id="387"/>
      <w:bookmarkEnd w:id="388"/>
      <w:bookmarkEnd w:id="389"/>
      <w:bookmarkEnd w:id="390"/>
      <w:bookmarkEnd w:id="391"/>
      <w:bookmarkEnd w:id="392"/>
      <w:bookmarkEnd w:id="393"/>
      <w:bookmarkEnd w:id="394"/>
      <w:bookmarkEnd w:id="395"/>
      <w:bookmarkEnd w:id="396"/>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4.3.1 在本章第2.2.2项规定的投标截止时间前，投标人可以修改或撤回已递交的投标文件，但应以书面形式通知招标人。</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4.3.2 投标人修改或撤回已递交投标文件的书面通知应按照本章第3.7.3项的要求签字或盖章。招标人收到书面通知后，向投标人出具签收凭证。</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4.3.3 修改的内容为投标文件的组成部分。修改的投标文件应按照本章第4条规定进行编制、密封、标记和递交，并标明</w:t>
      </w:r>
      <w:r>
        <w:rPr>
          <w:rFonts w:hint="eastAsia" w:asciiTheme="minorEastAsia" w:hAnsiTheme="minorEastAsia" w:eastAsiaTheme="minorEastAsia"/>
          <w:sz w:val="24"/>
        </w:rPr>
        <w:t>“</w:t>
      </w:r>
      <w:r>
        <w:rPr>
          <w:rFonts w:asciiTheme="minorEastAsia" w:hAnsiTheme="minorEastAsia" w:eastAsiaTheme="minorEastAsia"/>
          <w:sz w:val="24"/>
        </w:rPr>
        <w:t>修改</w:t>
      </w:r>
      <w:r>
        <w:rPr>
          <w:rFonts w:hint="eastAsia" w:asciiTheme="minorEastAsia" w:hAnsiTheme="minorEastAsia" w:eastAsiaTheme="minorEastAsia"/>
          <w:sz w:val="24"/>
        </w:rPr>
        <w:t>”</w:t>
      </w:r>
      <w:r>
        <w:rPr>
          <w:rFonts w:asciiTheme="minorEastAsia" w:hAnsiTheme="minorEastAsia" w:eastAsiaTheme="minorEastAsia"/>
          <w:sz w:val="24"/>
        </w:rPr>
        <w:t>字样。</w:t>
      </w:r>
    </w:p>
    <w:p>
      <w:pPr>
        <w:pStyle w:val="2"/>
      </w:pPr>
      <w:bookmarkStart w:id="397" w:name="_Toc16693"/>
      <w:bookmarkStart w:id="398" w:name="_Toc20148"/>
      <w:bookmarkStart w:id="399" w:name="_Toc144974527"/>
      <w:bookmarkStart w:id="400" w:name="_Toc269324716"/>
      <w:bookmarkStart w:id="401" w:name="_Toc281225149"/>
      <w:bookmarkStart w:id="402" w:name="_Toc152042335"/>
      <w:bookmarkStart w:id="403" w:name="_Toc273358885"/>
      <w:bookmarkStart w:id="404" w:name="_Toc498502973"/>
      <w:bookmarkStart w:id="405" w:name="_Toc152045559"/>
      <w:r>
        <w:t>5.开标</w:t>
      </w:r>
      <w:bookmarkEnd w:id="397"/>
      <w:bookmarkEnd w:id="398"/>
      <w:bookmarkEnd w:id="399"/>
      <w:bookmarkEnd w:id="400"/>
      <w:bookmarkEnd w:id="401"/>
      <w:bookmarkEnd w:id="402"/>
      <w:bookmarkEnd w:id="403"/>
      <w:bookmarkEnd w:id="404"/>
      <w:bookmarkEnd w:id="405"/>
    </w:p>
    <w:p>
      <w:pPr>
        <w:pStyle w:val="4"/>
      </w:pPr>
      <w:bookmarkStart w:id="406" w:name="_Toc273358886"/>
      <w:bookmarkStart w:id="407" w:name="_Toc499311097"/>
      <w:bookmarkStart w:id="408" w:name="_Toc152045560"/>
      <w:bookmarkStart w:id="409" w:name="_Toc269324717"/>
      <w:bookmarkStart w:id="410" w:name="_Toc144974528"/>
      <w:bookmarkStart w:id="411" w:name="_Toc499204882"/>
      <w:bookmarkStart w:id="412" w:name="_Toc18397"/>
      <w:bookmarkStart w:id="413" w:name="_Toc20084"/>
      <w:bookmarkStart w:id="414" w:name="_Toc281225150"/>
      <w:bookmarkStart w:id="415" w:name="_Toc152042336"/>
      <w:bookmarkStart w:id="416" w:name="_Toc498502974"/>
      <w:bookmarkStart w:id="417" w:name="_Toc8092"/>
      <w:r>
        <w:t>5.1 开标时间和地点</w:t>
      </w:r>
      <w:bookmarkEnd w:id="406"/>
      <w:bookmarkEnd w:id="407"/>
      <w:bookmarkEnd w:id="408"/>
      <w:bookmarkEnd w:id="409"/>
      <w:bookmarkEnd w:id="410"/>
      <w:bookmarkEnd w:id="411"/>
      <w:bookmarkEnd w:id="412"/>
      <w:bookmarkEnd w:id="413"/>
      <w:bookmarkEnd w:id="414"/>
      <w:bookmarkEnd w:id="415"/>
      <w:bookmarkEnd w:id="416"/>
      <w:bookmarkEnd w:id="417"/>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招标人在本章第2.2.2项规定的投标截止时间（开标时间）和投标人须知前附表规定的地点公开开标，并邀请所有投标人的法定代表人或其委托代理人</w:t>
      </w:r>
      <w:r>
        <w:rPr>
          <w:rFonts w:hint="eastAsia" w:asciiTheme="minorEastAsia" w:hAnsiTheme="minorEastAsia" w:eastAsiaTheme="minorEastAsia"/>
          <w:sz w:val="24"/>
        </w:rPr>
        <w:t>及项目总监理工程师</w:t>
      </w:r>
      <w:r>
        <w:rPr>
          <w:rFonts w:asciiTheme="minorEastAsia" w:hAnsiTheme="minorEastAsia" w:eastAsiaTheme="minorEastAsia"/>
          <w:sz w:val="24"/>
        </w:rPr>
        <w:t>准时参加并签到。</w:t>
      </w:r>
    </w:p>
    <w:p>
      <w:pPr>
        <w:pStyle w:val="4"/>
      </w:pPr>
      <w:bookmarkStart w:id="418" w:name="_Toc273358887"/>
      <w:bookmarkStart w:id="419" w:name="_Toc10593"/>
      <w:bookmarkStart w:id="420" w:name="_Toc499204883"/>
      <w:bookmarkStart w:id="421" w:name="_Toc281225151"/>
      <w:bookmarkStart w:id="422" w:name="_Toc499311098"/>
      <w:bookmarkStart w:id="423" w:name="_Toc21351"/>
      <w:bookmarkStart w:id="424" w:name="_Toc152042337"/>
      <w:bookmarkStart w:id="425" w:name="_Toc269324718"/>
      <w:bookmarkStart w:id="426" w:name="_Toc152045561"/>
      <w:bookmarkStart w:id="427" w:name="_Toc1451"/>
      <w:bookmarkStart w:id="428" w:name="_Toc144974529"/>
      <w:bookmarkStart w:id="429" w:name="_Toc498502975"/>
      <w:r>
        <w:t>5.2 开标程序</w:t>
      </w:r>
      <w:bookmarkEnd w:id="418"/>
      <w:bookmarkEnd w:id="419"/>
      <w:bookmarkEnd w:id="420"/>
      <w:bookmarkEnd w:id="421"/>
      <w:bookmarkEnd w:id="422"/>
      <w:bookmarkEnd w:id="423"/>
      <w:bookmarkEnd w:id="424"/>
      <w:bookmarkEnd w:id="425"/>
      <w:bookmarkEnd w:id="426"/>
      <w:bookmarkEnd w:id="427"/>
      <w:bookmarkEnd w:id="428"/>
      <w:bookmarkEnd w:id="429"/>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5.2.1主持人按下列程序进行开标：</w:t>
      </w:r>
    </w:p>
    <w:p>
      <w:pPr>
        <w:spacing w:line="360" w:lineRule="auto"/>
        <w:ind w:firstLine="600" w:firstLineChars="250"/>
        <w:jc w:val="left"/>
        <w:rPr>
          <w:rFonts w:asciiTheme="minorEastAsia" w:hAnsiTheme="minorEastAsia" w:eastAsiaTheme="minorEastAsia"/>
          <w:sz w:val="24"/>
        </w:rPr>
      </w:pPr>
      <w:bookmarkStart w:id="430" w:name="_Toc293403269"/>
      <w:bookmarkStart w:id="431" w:name="_Toc295901109"/>
      <w:bookmarkStart w:id="432" w:name="_Toc291496571"/>
      <w:r>
        <w:rPr>
          <w:rFonts w:asciiTheme="minorEastAsia" w:hAnsiTheme="minorEastAsia" w:eastAsiaTheme="minorEastAsia"/>
          <w:sz w:val="24"/>
        </w:rPr>
        <w:t>（1）宣布开标纪律；</w:t>
      </w:r>
      <w:bookmarkEnd w:id="430"/>
      <w:bookmarkEnd w:id="431"/>
      <w:bookmarkEnd w:id="432"/>
    </w:p>
    <w:p>
      <w:pPr>
        <w:spacing w:line="360" w:lineRule="auto"/>
        <w:ind w:firstLine="600" w:firstLineChars="250"/>
        <w:jc w:val="left"/>
        <w:rPr>
          <w:rFonts w:asciiTheme="minorEastAsia" w:hAnsiTheme="minorEastAsia" w:eastAsiaTheme="minorEastAsia"/>
          <w:sz w:val="24"/>
        </w:rPr>
      </w:pPr>
      <w:bookmarkStart w:id="433" w:name="_Toc293403270"/>
      <w:bookmarkStart w:id="434" w:name="_Toc295901110"/>
      <w:bookmarkStart w:id="435" w:name="_Toc291496572"/>
      <w:r>
        <w:rPr>
          <w:rFonts w:asciiTheme="minorEastAsia" w:hAnsiTheme="minorEastAsia" w:eastAsiaTheme="minorEastAsia"/>
          <w:sz w:val="24"/>
        </w:rPr>
        <w:t>（2）公布在投标截止时间前递交投标文件的投标人名称，并点名确认投标人是否派人到场；</w:t>
      </w:r>
      <w:bookmarkEnd w:id="433"/>
      <w:bookmarkEnd w:id="434"/>
      <w:bookmarkEnd w:id="435"/>
    </w:p>
    <w:p>
      <w:pPr>
        <w:spacing w:line="360" w:lineRule="auto"/>
        <w:ind w:firstLine="600" w:firstLineChars="250"/>
        <w:jc w:val="left"/>
        <w:rPr>
          <w:rFonts w:asciiTheme="minorEastAsia" w:hAnsiTheme="minorEastAsia" w:eastAsiaTheme="minorEastAsia"/>
          <w:sz w:val="24"/>
        </w:rPr>
      </w:pPr>
      <w:bookmarkStart w:id="436" w:name="_Toc293403271"/>
      <w:bookmarkStart w:id="437" w:name="_Toc291496573"/>
      <w:bookmarkStart w:id="438" w:name="_Toc295901111"/>
      <w:r>
        <w:rPr>
          <w:rFonts w:asciiTheme="minorEastAsia" w:hAnsiTheme="minorEastAsia" w:eastAsiaTheme="minorEastAsia"/>
          <w:sz w:val="24"/>
        </w:rPr>
        <w:t>（3）宣布开标人、唱标人、记录人、监标人等有关人员姓名；</w:t>
      </w:r>
      <w:bookmarkEnd w:id="436"/>
      <w:bookmarkEnd w:id="437"/>
      <w:bookmarkEnd w:id="438"/>
    </w:p>
    <w:p>
      <w:pPr>
        <w:spacing w:line="360" w:lineRule="auto"/>
        <w:ind w:firstLine="600" w:firstLineChars="250"/>
        <w:jc w:val="left"/>
        <w:rPr>
          <w:rFonts w:asciiTheme="minorEastAsia" w:hAnsiTheme="minorEastAsia" w:eastAsiaTheme="minorEastAsia"/>
          <w:sz w:val="24"/>
        </w:rPr>
      </w:pPr>
      <w:bookmarkStart w:id="439" w:name="_Toc293403272"/>
      <w:bookmarkStart w:id="440" w:name="_Toc295901112"/>
      <w:bookmarkStart w:id="441" w:name="_Toc291496574"/>
      <w:r>
        <w:rPr>
          <w:rFonts w:asciiTheme="minorEastAsia" w:hAnsiTheme="minorEastAsia" w:eastAsiaTheme="minorEastAsia"/>
          <w:sz w:val="24"/>
        </w:rPr>
        <w:t>（4）按照投标人须知前附表规定检查投标文件的密封情况；</w:t>
      </w:r>
      <w:bookmarkEnd w:id="439"/>
      <w:bookmarkEnd w:id="440"/>
      <w:bookmarkEnd w:id="441"/>
    </w:p>
    <w:p>
      <w:pPr>
        <w:spacing w:line="360" w:lineRule="auto"/>
        <w:ind w:firstLine="600" w:firstLineChars="250"/>
        <w:jc w:val="left"/>
        <w:rPr>
          <w:rFonts w:asciiTheme="minorEastAsia" w:hAnsiTheme="minorEastAsia" w:eastAsiaTheme="minorEastAsia"/>
          <w:sz w:val="24"/>
        </w:rPr>
      </w:pPr>
      <w:bookmarkStart w:id="442" w:name="_Toc293403273"/>
      <w:bookmarkStart w:id="443" w:name="_Toc291496575"/>
      <w:bookmarkStart w:id="444" w:name="_Toc295901113"/>
      <w:r>
        <w:rPr>
          <w:rFonts w:asciiTheme="minorEastAsia" w:hAnsiTheme="minorEastAsia" w:eastAsiaTheme="minorEastAsia"/>
          <w:sz w:val="24"/>
        </w:rPr>
        <w:t>（5）按照投标人须知前附表的规定确定并宣布投标文件开标顺序；</w:t>
      </w:r>
      <w:bookmarkEnd w:id="442"/>
      <w:bookmarkEnd w:id="443"/>
      <w:bookmarkEnd w:id="444"/>
    </w:p>
    <w:p>
      <w:pPr>
        <w:spacing w:line="360" w:lineRule="auto"/>
        <w:ind w:firstLine="600" w:firstLineChars="250"/>
        <w:jc w:val="left"/>
        <w:rPr>
          <w:rFonts w:asciiTheme="minorEastAsia" w:hAnsiTheme="minorEastAsia" w:eastAsiaTheme="minorEastAsia"/>
          <w:sz w:val="24"/>
        </w:rPr>
      </w:pPr>
      <w:bookmarkStart w:id="445" w:name="_Toc291496576"/>
      <w:bookmarkStart w:id="446" w:name="_Toc295901114"/>
      <w:bookmarkStart w:id="447" w:name="_Toc293403274"/>
      <w:r>
        <w:rPr>
          <w:rFonts w:asciiTheme="minorEastAsia" w:hAnsiTheme="minorEastAsia" w:eastAsiaTheme="minorEastAsia"/>
          <w:sz w:val="24"/>
        </w:rPr>
        <w:t>（6）公布招标控制价（如有）；</w:t>
      </w:r>
      <w:bookmarkEnd w:id="445"/>
      <w:bookmarkEnd w:id="446"/>
      <w:bookmarkEnd w:id="447"/>
    </w:p>
    <w:p>
      <w:pPr>
        <w:spacing w:line="360" w:lineRule="auto"/>
        <w:ind w:firstLine="600" w:firstLineChars="250"/>
        <w:jc w:val="left"/>
        <w:rPr>
          <w:rFonts w:asciiTheme="minorEastAsia" w:hAnsiTheme="minorEastAsia" w:eastAsiaTheme="minorEastAsia"/>
          <w:sz w:val="24"/>
        </w:rPr>
      </w:pPr>
      <w:bookmarkStart w:id="448" w:name="_Toc291496577"/>
      <w:bookmarkStart w:id="449" w:name="_Toc295901115"/>
      <w:bookmarkStart w:id="450" w:name="_Toc293403275"/>
      <w:r>
        <w:rPr>
          <w:rFonts w:asciiTheme="minorEastAsia" w:hAnsiTheme="minorEastAsia" w:eastAsiaTheme="minorEastAsia"/>
          <w:sz w:val="24"/>
        </w:rPr>
        <w:t>（7）按照宣布的开标顺序当众开标，公布投标人名称、标段名称、投标保证金的递交情况、投标报价、项目负责人及其他内容，并记录在案；</w:t>
      </w:r>
      <w:bookmarkEnd w:id="448"/>
      <w:bookmarkEnd w:id="449"/>
      <w:bookmarkEnd w:id="450"/>
    </w:p>
    <w:p>
      <w:pPr>
        <w:spacing w:line="360" w:lineRule="auto"/>
        <w:ind w:firstLine="600" w:firstLineChars="250"/>
        <w:jc w:val="left"/>
        <w:rPr>
          <w:rFonts w:asciiTheme="minorEastAsia" w:hAnsiTheme="minorEastAsia" w:eastAsiaTheme="minorEastAsia"/>
          <w:sz w:val="24"/>
        </w:rPr>
      </w:pPr>
      <w:bookmarkStart w:id="451" w:name="_Toc295901116"/>
      <w:bookmarkStart w:id="452" w:name="_Toc293403276"/>
      <w:bookmarkStart w:id="453" w:name="_Toc291496578"/>
      <w:r>
        <w:rPr>
          <w:rFonts w:asciiTheme="minorEastAsia" w:hAnsiTheme="minorEastAsia" w:eastAsiaTheme="minorEastAsia"/>
          <w:sz w:val="24"/>
        </w:rPr>
        <w:t>（8）投标人代表、招标人代表、监标人、记录人等有关人员在开标记录上签字确认；</w:t>
      </w:r>
      <w:bookmarkEnd w:id="451"/>
      <w:bookmarkEnd w:id="452"/>
      <w:bookmarkEnd w:id="453"/>
    </w:p>
    <w:p>
      <w:pPr>
        <w:spacing w:line="360" w:lineRule="auto"/>
        <w:ind w:firstLine="600" w:firstLineChars="250"/>
        <w:jc w:val="left"/>
        <w:rPr>
          <w:rFonts w:asciiTheme="minorEastAsia" w:hAnsiTheme="minorEastAsia" w:eastAsiaTheme="minorEastAsia"/>
          <w:sz w:val="24"/>
        </w:rPr>
      </w:pPr>
      <w:bookmarkStart w:id="454" w:name="_Toc291496579"/>
      <w:bookmarkStart w:id="455" w:name="_Toc293403277"/>
      <w:bookmarkStart w:id="456" w:name="_Toc295901117"/>
      <w:r>
        <w:rPr>
          <w:rFonts w:asciiTheme="minorEastAsia" w:hAnsiTheme="minorEastAsia" w:eastAsiaTheme="minorEastAsia"/>
          <w:sz w:val="24"/>
        </w:rPr>
        <w:t>（9）开标结束。</w:t>
      </w:r>
      <w:bookmarkEnd w:id="454"/>
      <w:bookmarkEnd w:id="455"/>
      <w:bookmarkEnd w:id="456"/>
    </w:p>
    <w:p>
      <w:pPr>
        <w:pStyle w:val="2"/>
      </w:pPr>
      <w:bookmarkStart w:id="457" w:name="_Toc17078"/>
      <w:bookmarkStart w:id="458" w:name="_Toc273358888"/>
      <w:bookmarkStart w:id="459" w:name="_Toc144974530"/>
      <w:bookmarkStart w:id="460" w:name="_Toc281225152"/>
      <w:bookmarkStart w:id="461" w:name="_Toc269324719"/>
      <w:bookmarkStart w:id="462" w:name="_Toc152045562"/>
      <w:bookmarkStart w:id="463" w:name="_Toc152042338"/>
      <w:bookmarkStart w:id="464" w:name="_Toc498502976"/>
      <w:bookmarkStart w:id="465" w:name="_Toc24256"/>
      <w:r>
        <w:t>6.评标</w:t>
      </w:r>
      <w:bookmarkEnd w:id="457"/>
      <w:bookmarkEnd w:id="458"/>
      <w:bookmarkEnd w:id="459"/>
      <w:bookmarkEnd w:id="460"/>
      <w:bookmarkEnd w:id="461"/>
      <w:bookmarkEnd w:id="462"/>
      <w:bookmarkEnd w:id="463"/>
      <w:bookmarkEnd w:id="464"/>
      <w:bookmarkEnd w:id="465"/>
    </w:p>
    <w:p>
      <w:pPr>
        <w:pStyle w:val="4"/>
      </w:pPr>
      <w:bookmarkStart w:id="466" w:name="_Toc498502977"/>
      <w:bookmarkStart w:id="467" w:name="_Toc144974531"/>
      <w:bookmarkStart w:id="468" w:name="_Toc11804"/>
      <w:bookmarkStart w:id="469" w:name="_Toc269324721"/>
      <w:bookmarkStart w:id="470" w:name="_Toc273358890"/>
      <w:bookmarkStart w:id="471" w:name="_Toc499204885"/>
      <w:bookmarkStart w:id="472" w:name="_Toc281225154"/>
      <w:bookmarkStart w:id="473" w:name="_Toc11702"/>
      <w:bookmarkStart w:id="474" w:name="_Toc152045563"/>
      <w:bookmarkStart w:id="475" w:name="_Toc13191"/>
      <w:bookmarkStart w:id="476" w:name="_Toc499311100"/>
      <w:bookmarkStart w:id="477" w:name="_Toc152042339"/>
      <w:r>
        <w:t>6.1 评标委员会</w:t>
      </w:r>
      <w:bookmarkEnd w:id="466"/>
      <w:bookmarkEnd w:id="467"/>
      <w:bookmarkEnd w:id="468"/>
      <w:bookmarkEnd w:id="469"/>
      <w:bookmarkEnd w:id="470"/>
      <w:bookmarkEnd w:id="471"/>
      <w:bookmarkEnd w:id="472"/>
      <w:bookmarkEnd w:id="473"/>
      <w:bookmarkEnd w:id="474"/>
      <w:bookmarkEnd w:id="475"/>
      <w:bookmarkEnd w:id="476"/>
      <w:bookmarkEnd w:id="477"/>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6.1.1 评标由招标人依法组建的评标委员会负责。评标委员会由技术、经济等方面的专家组成。评标委员会成员人数以及技术、经济等方面专家的确定方式见投标人须知前附表。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6.1.2 评标委员会成员有下列情形之一的，应当回避：</w:t>
      </w:r>
    </w:p>
    <w:p>
      <w:pPr>
        <w:spacing w:line="360" w:lineRule="auto"/>
        <w:ind w:firstLine="820" w:firstLineChars="342"/>
        <w:jc w:val="left"/>
        <w:rPr>
          <w:rFonts w:asciiTheme="minorEastAsia" w:hAnsiTheme="minorEastAsia" w:eastAsiaTheme="minorEastAsia"/>
          <w:sz w:val="24"/>
        </w:rPr>
      </w:pPr>
      <w:r>
        <w:rPr>
          <w:rFonts w:asciiTheme="minorEastAsia" w:hAnsiTheme="minorEastAsia" w:eastAsiaTheme="minorEastAsia"/>
          <w:sz w:val="24"/>
        </w:rPr>
        <w:t>（1）招标人或投标人的主要负责人的近亲属；</w:t>
      </w:r>
    </w:p>
    <w:p>
      <w:pPr>
        <w:spacing w:line="360" w:lineRule="auto"/>
        <w:ind w:firstLine="820" w:firstLineChars="342"/>
        <w:jc w:val="left"/>
        <w:rPr>
          <w:rFonts w:asciiTheme="minorEastAsia" w:hAnsiTheme="minorEastAsia" w:eastAsiaTheme="minorEastAsia"/>
          <w:sz w:val="24"/>
        </w:rPr>
      </w:pPr>
      <w:r>
        <w:rPr>
          <w:rFonts w:asciiTheme="minorEastAsia" w:hAnsiTheme="minorEastAsia" w:eastAsiaTheme="minorEastAsia"/>
          <w:sz w:val="24"/>
        </w:rPr>
        <w:t>（2）项目主管部门或者行政监督部门的人员；</w:t>
      </w:r>
    </w:p>
    <w:p>
      <w:pPr>
        <w:spacing w:line="360" w:lineRule="auto"/>
        <w:ind w:firstLine="820" w:firstLineChars="342"/>
        <w:jc w:val="left"/>
        <w:rPr>
          <w:rFonts w:asciiTheme="minorEastAsia" w:hAnsiTheme="minorEastAsia" w:eastAsiaTheme="minorEastAsia"/>
          <w:sz w:val="24"/>
        </w:rPr>
      </w:pPr>
      <w:r>
        <w:rPr>
          <w:rFonts w:asciiTheme="minorEastAsia" w:hAnsiTheme="minorEastAsia" w:eastAsiaTheme="minorEastAsia"/>
          <w:sz w:val="24"/>
        </w:rPr>
        <w:t>（3）与投标人有经济利益关系，可能影响对投标公正评审的；</w:t>
      </w:r>
    </w:p>
    <w:p>
      <w:pPr>
        <w:spacing w:line="360" w:lineRule="auto"/>
        <w:ind w:firstLine="820" w:firstLineChars="342"/>
        <w:jc w:val="left"/>
        <w:rPr>
          <w:rFonts w:asciiTheme="minorEastAsia" w:hAnsiTheme="minorEastAsia" w:eastAsiaTheme="minorEastAsia"/>
          <w:sz w:val="24"/>
        </w:rPr>
      </w:pPr>
      <w:r>
        <w:rPr>
          <w:rFonts w:asciiTheme="minorEastAsia" w:hAnsiTheme="minorEastAsia" w:eastAsiaTheme="minorEastAsia"/>
          <w:sz w:val="24"/>
        </w:rPr>
        <w:t>（4）曾因在招标、评标以及其他与招标投标有关活动中从事违法行为而受过行政处罚或刑事处罚的。</w:t>
      </w:r>
    </w:p>
    <w:p>
      <w:pPr>
        <w:pStyle w:val="4"/>
      </w:pPr>
      <w:bookmarkStart w:id="478" w:name="_Toc13791"/>
      <w:bookmarkStart w:id="479" w:name="_Toc144974532"/>
      <w:bookmarkStart w:id="480" w:name="_Toc152042340"/>
      <w:bookmarkStart w:id="481" w:name="_Toc28859"/>
      <w:bookmarkStart w:id="482" w:name="_Toc499204886"/>
      <w:bookmarkStart w:id="483" w:name="_Toc152045564"/>
      <w:bookmarkStart w:id="484" w:name="_Toc27599"/>
      <w:bookmarkStart w:id="485" w:name="_Toc269324722"/>
      <w:bookmarkStart w:id="486" w:name="_Toc273358891"/>
      <w:bookmarkStart w:id="487" w:name="_Toc498502978"/>
      <w:bookmarkStart w:id="488" w:name="_Toc499311101"/>
      <w:bookmarkStart w:id="489" w:name="_Toc281225155"/>
      <w:r>
        <w:t>6.2 评标原则</w:t>
      </w:r>
      <w:bookmarkEnd w:id="478"/>
      <w:bookmarkEnd w:id="479"/>
      <w:bookmarkEnd w:id="480"/>
      <w:bookmarkEnd w:id="481"/>
      <w:bookmarkEnd w:id="482"/>
      <w:bookmarkEnd w:id="483"/>
      <w:bookmarkEnd w:id="484"/>
      <w:bookmarkEnd w:id="485"/>
      <w:bookmarkEnd w:id="486"/>
      <w:bookmarkEnd w:id="487"/>
      <w:bookmarkEnd w:id="488"/>
      <w:bookmarkEnd w:id="489"/>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评标活动遵循公平、公正、科学和择优的原则。</w:t>
      </w:r>
    </w:p>
    <w:p>
      <w:pPr>
        <w:pStyle w:val="4"/>
      </w:pPr>
      <w:bookmarkStart w:id="490" w:name="_Toc273358892"/>
      <w:bookmarkStart w:id="491" w:name="_Toc499311102"/>
      <w:bookmarkStart w:id="492" w:name="_Toc269324723"/>
      <w:bookmarkStart w:id="493" w:name="_Toc152042341"/>
      <w:bookmarkStart w:id="494" w:name="_Toc13238"/>
      <w:bookmarkStart w:id="495" w:name="_Toc281225156"/>
      <w:bookmarkStart w:id="496" w:name="_Toc152045565"/>
      <w:bookmarkStart w:id="497" w:name="_Toc213"/>
      <w:bookmarkStart w:id="498" w:name="_Toc498502979"/>
      <w:bookmarkStart w:id="499" w:name="_Toc499204887"/>
      <w:bookmarkStart w:id="500" w:name="_Toc9747"/>
      <w:bookmarkStart w:id="501" w:name="_Toc144974533"/>
      <w:r>
        <w:t>6.3 评标</w:t>
      </w:r>
      <w:bookmarkEnd w:id="490"/>
      <w:bookmarkEnd w:id="491"/>
      <w:bookmarkEnd w:id="492"/>
      <w:bookmarkEnd w:id="493"/>
      <w:bookmarkEnd w:id="494"/>
      <w:bookmarkEnd w:id="495"/>
      <w:bookmarkEnd w:id="496"/>
      <w:bookmarkEnd w:id="497"/>
      <w:bookmarkEnd w:id="498"/>
      <w:bookmarkEnd w:id="499"/>
      <w:bookmarkEnd w:id="500"/>
      <w:bookmarkEnd w:id="501"/>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评标委员会按照第三章</w:t>
      </w:r>
      <w:r>
        <w:rPr>
          <w:rFonts w:hint="eastAsia" w:asciiTheme="minorEastAsia" w:hAnsiTheme="minorEastAsia" w:eastAsiaTheme="minorEastAsia"/>
          <w:sz w:val="24"/>
        </w:rPr>
        <w:t>“</w:t>
      </w:r>
      <w:r>
        <w:rPr>
          <w:rFonts w:asciiTheme="minorEastAsia" w:hAnsiTheme="minorEastAsia" w:eastAsiaTheme="minorEastAsia"/>
          <w:sz w:val="24"/>
        </w:rPr>
        <w:t>评标办法</w:t>
      </w:r>
      <w:r>
        <w:rPr>
          <w:rFonts w:hint="eastAsia" w:asciiTheme="minorEastAsia" w:hAnsiTheme="minorEastAsia" w:eastAsiaTheme="minorEastAsia"/>
          <w:sz w:val="24"/>
        </w:rPr>
        <w:t>”</w:t>
      </w:r>
      <w:r>
        <w:rPr>
          <w:rFonts w:asciiTheme="minorEastAsia" w:hAnsiTheme="minorEastAsia" w:eastAsiaTheme="minorEastAsia"/>
          <w:sz w:val="24"/>
        </w:rPr>
        <w:t>规定的方法、评审因素、标准和程序对投标文件进行评审。第三章</w:t>
      </w:r>
      <w:r>
        <w:rPr>
          <w:rFonts w:hint="eastAsia" w:asciiTheme="minorEastAsia" w:hAnsiTheme="minorEastAsia" w:eastAsiaTheme="minorEastAsia"/>
          <w:sz w:val="24"/>
        </w:rPr>
        <w:t>“</w:t>
      </w:r>
      <w:r>
        <w:rPr>
          <w:rFonts w:asciiTheme="minorEastAsia" w:hAnsiTheme="minorEastAsia" w:eastAsiaTheme="minorEastAsia"/>
          <w:sz w:val="24"/>
        </w:rPr>
        <w:t>评标办法</w:t>
      </w:r>
      <w:r>
        <w:rPr>
          <w:rFonts w:hint="eastAsia" w:asciiTheme="minorEastAsia" w:hAnsiTheme="minorEastAsia" w:eastAsiaTheme="minorEastAsia"/>
          <w:sz w:val="24"/>
        </w:rPr>
        <w:t>”</w:t>
      </w:r>
      <w:r>
        <w:rPr>
          <w:rFonts w:asciiTheme="minorEastAsia" w:hAnsiTheme="minorEastAsia" w:eastAsiaTheme="minorEastAsia"/>
          <w:sz w:val="24"/>
        </w:rPr>
        <w:t>没有规定的方法、评审因素和标准，不作为评标依据。</w:t>
      </w:r>
    </w:p>
    <w:p>
      <w:pPr>
        <w:pStyle w:val="2"/>
      </w:pPr>
      <w:bookmarkStart w:id="502" w:name="_Toc8979"/>
      <w:bookmarkStart w:id="503" w:name="_Toc20189"/>
      <w:bookmarkStart w:id="504" w:name="_Toc152045566"/>
      <w:bookmarkStart w:id="505" w:name="_Toc281225158"/>
      <w:bookmarkStart w:id="506" w:name="_Toc269324725"/>
      <w:bookmarkStart w:id="507" w:name="_Toc498502980"/>
      <w:bookmarkStart w:id="508" w:name="_Toc273358894"/>
      <w:bookmarkStart w:id="509" w:name="_Toc152042342"/>
      <w:bookmarkStart w:id="510" w:name="_Toc144974534"/>
      <w:r>
        <w:t>7.合同授予</w:t>
      </w:r>
      <w:bookmarkEnd w:id="502"/>
      <w:bookmarkEnd w:id="503"/>
      <w:bookmarkEnd w:id="504"/>
      <w:bookmarkEnd w:id="505"/>
      <w:bookmarkEnd w:id="506"/>
      <w:bookmarkEnd w:id="507"/>
      <w:bookmarkEnd w:id="508"/>
      <w:bookmarkEnd w:id="509"/>
      <w:bookmarkEnd w:id="510"/>
    </w:p>
    <w:p>
      <w:pPr>
        <w:pStyle w:val="4"/>
      </w:pPr>
      <w:bookmarkStart w:id="511" w:name="_Toc152042343"/>
      <w:bookmarkStart w:id="512" w:name="_Toc28158"/>
      <w:bookmarkStart w:id="513" w:name="_Toc144974535"/>
      <w:bookmarkStart w:id="514" w:name="_Toc152045567"/>
      <w:bookmarkStart w:id="515" w:name="_Toc499311104"/>
      <w:bookmarkStart w:id="516" w:name="_Toc281225159"/>
      <w:bookmarkStart w:id="517" w:name="_Toc273358895"/>
      <w:bookmarkStart w:id="518" w:name="_Toc499204889"/>
      <w:bookmarkStart w:id="519" w:name="_Toc498502981"/>
      <w:bookmarkStart w:id="520" w:name="_Toc269324726"/>
      <w:bookmarkStart w:id="521" w:name="_Toc30034"/>
      <w:bookmarkStart w:id="522" w:name="_Toc31955"/>
      <w:r>
        <w:t>7.1 定标方式</w:t>
      </w:r>
      <w:bookmarkEnd w:id="511"/>
      <w:bookmarkEnd w:id="512"/>
      <w:bookmarkEnd w:id="513"/>
      <w:bookmarkEnd w:id="514"/>
      <w:bookmarkEnd w:id="515"/>
      <w:bookmarkEnd w:id="516"/>
      <w:bookmarkEnd w:id="517"/>
      <w:bookmarkEnd w:id="518"/>
      <w:bookmarkEnd w:id="519"/>
      <w:bookmarkEnd w:id="520"/>
      <w:bookmarkEnd w:id="521"/>
      <w:bookmarkEnd w:id="522"/>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除投标人须知前附表规定评标委员会直接确定中标人外，招标人依据评标委员会推荐的中标候选人确定中标人，评标委员会推荐中标候选人的人数见投标人须知前附表。</w:t>
      </w:r>
    </w:p>
    <w:p>
      <w:pPr>
        <w:pStyle w:val="4"/>
      </w:pPr>
      <w:bookmarkStart w:id="523" w:name="_Toc499204890"/>
      <w:bookmarkStart w:id="524" w:name="_Toc6611"/>
      <w:bookmarkStart w:id="525" w:name="_Toc152042344"/>
      <w:bookmarkStart w:id="526" w:name="_Toc281225160"/>
      <w:bookmarkStart w:id="527" w:name="_Toc498502982"/>
      <w:bookmarkStart w:id="528" w:name="_Toc152045568"/>
      <w:bookmarkStart w:id="529" w:name="_Toc144974536"/>
      <w:bookmarkStart w:id="530" w:name="_Toc31964"/>
      <w:bookmarkStart w:id="531" w:name="_Toc269324727"/>
      <w:bookmarkStart w:id="532" w:name="_Toc273358896"/>
      <w:bookmarkStart w:id="533" w:name="_Toc499311105"/>
      <w:bookmarkStart w:id="534" w:name="_Toc29454"/>
      <w:r>
        <w:t>7.2 中标通知</w:t>
      </w:r>
      <w:bookmarkEnd w:id="523"/>
      <w:bookmarkEnd w:id="524"/>
      <w:bookmarkEnd w:id="525"/>
      <w:bookmarkEnd w:id="526"/>
      <w:bookmarkEnd w:id="527"/>
      <w:bookmarkEnd w:id="528"/>
      <w:bookmarkEnd w:id="529"/>
      <w:bookmarkEnd w:id="530"/>
      <w:bookmarkEnd w:id="531"/>
      <w:bookmarkEnd w:id="532"/>
      <w:bookmarkEnd w:id="533"/>
      <w:bookmarkEnd w:id="534"/>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在本章第3.3款规定的投标有效期内，招标人以书面形式向中标人发出中标通知书，同时将中标结果通知未中标的投标人。</w:t>
      </w:r>
    </w:p>
    <w:p>
      <w:pPr>
        <w:pStyle w:val="4"/>
      </w:pPr>
      <w:bookmarkStart w:id="535" w:name="_Toc152045569"/>
      <w:bookmarkStart w:id="536" w:name="_Toc499204891"/>
      <w:bookmarkStart w:id="537" w:name="_Toc499311106"/>
      <w:bookmarkStart w:id="538" w:name="_Toc152042345"/>
      <w:bookmarkStart w:id="539" w:name="_Toc12251"/>
      <w:bookmarkStart w:id="540" w:name="_Toc7863"/>
      <w:bookmarkStart w:id="541" w:name="_Toc28597"/>
      <w:bookmarkStart w:id="542" w:name="_Toc281225161"/>
      <w:bookmarkStart w:id="543" w:name="_Toc273358897"/>
      <w:bookmarkStart w:id="544" w:name="_Toc269324728"/>
      <w:bookmarkStart w:id="545" w:name="_Toc498502983"/>
      <w:bookmarkStart w:id="546" w:name="_Toc144974537"/>
      <w:r>
        <w:t>7.3 履约担保</w:t>
      </w:r>
      <w:bookmarkEnd w:id="535"/>
      <w:bookmarkEnd w:id="536"/>
      <w:bookmarkEnd w:id="537"/>
      <w:bookmarkEnd w:id="538"/>
      <w:bookmarkEnd w:id="539"/>
      <w:bookmarkEnd w:id="540"/>
      <w:bookmarkEnd w:id="541"/>
      <w:bookmarkEnd w:id="542"/>
      <w:bookmarkEnd w:id="543"/>
      <w:bookmarkEnd w:id="544"/>
      <w:bookmarkEnd w:id="545"/>
      <w:bookmarkEnd w:id="546"/>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7.3.1在合同签订前，中标人应按投标人须知前附表规定的金额、担保形式和招标文件第四章</w:t>
      </w:r>
      <w:r>
        <w:rPr>
          <w:rFonts w:hint="eastAsia" w:asciiTheme="minorEastAsia" w:hAnsiTheme="minorEastAsia" w:eastAsiaTheme="minorEastAsia"/>
          <w:sz w:val="24"/>
        </w:rPr>
        <w:t>“</w:t>
      </w:r>
      <w:r>
        <w:rPr>
          <w:rFonts w:asciiTheme="minorEastAsia" w:hAnsiTheme="minorEastAsia" w:eastAsiaTheme="minorEastAsia"/>
          <w:sz w:val="24"/>
        </w:rPr>
        <w:t>合同条款及格式</w:t>
      </w:r>
      <w:r>
        <w:rPr>
          <w:rFonts w:hint="eastAsia" w:asciiTheme="minorEastAsia" w:hAnsiTheme="minorEastAsia" w:eastAsiaTheme="minorEastAsia"/>
          <w:sz w:val="24"/>
        </w:rPr>
        <w:t>”</w:t>
      </w:r>
      <w:r>
        <w:rPr>
          <w:rFonts w:asciiTheme="minorEastAsia" w:hAnsiTheme="minorEastAsia" w:eastAsiaTheme="minorEastAsia"/>
          <w:sz w:val="24"/>
        </w:rPr>
        <w:t>规定的履约担保格式向招标人提交履约担保。</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7.3.2 中标人不能按本章第7.3.1项要求提交履约担保的，视为放弃中标，其投标保证金不予退还，给招标人造成损失的，还应当赔偿损失。</w:t>
      </w:r>
    </w:p>
    <w:p>
      <w:pPr>
        <w:pStyle w:val="4"/>
      </w:pPr>
      <w:bookmarkStart w:id="547" w:name="_Toc152042346"/>
      <w:bookmarkStart w:id="548" w:name="_Toc269324729"/>
      <w:bookmarkStart w:id="549" w:name="_Toc498502984"/>
      <w:bookmarkStart w:id="550" w:name="_Toc273358898"/>
      <w:bookmarkStart w:id="551" w:name="_Toc499311107"/>
      <w:bookmarkStart w:id="552" w:name="_Toc152045570"/>
      <w:bookmarkStart w:id="553" w:name="_Toc11448"/>
      <w:bookmarkStart w:id="554" w:name="_Toc281225162"/>
      <w:bookmarkStart w:id="555" w:name="_Toc144974538"/>
      <w:bookmarkStart w:id="556" w:name="_Toc11855"/>
      <w:bookmarkStart w:id="557" w:name="_Toc499204892"/>
      <w:bookmarkStart w:id="558" w:name="_Toc31915"/>
      <w:r>
        <w:t>7.4 签订合同</w:t>
      </w:r>
      <w:bookmarkEnd w:id="547"/>
      <w:bookmarkEnd w:id="548"/>
      <w:bookmarkEnd w:id="549"/>
      <w:bookmarkEnd w:id="550"/>
      <w:bookmarkEnd w:id="551"/>
      <w:bookmarkEnd w:id="552"/>
      <w:bookmarkEnd w:id="553"/>
      <w:bookmarkEnd w:id="554"/>
      <w:bookmarkEnd w:id="555"/>
      <w:bookmarkEnd w:id="556"/>
      <w:bookmarkEnd w:id="557"/>
      <w:bookmarkEnd w:id="558"/>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7.4.1招标人和中标人应当自中标通知书发出之日起30天内，根据招标文件和中标人的投标文件订立书面合同。</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 xml:space="preserve">7.4.2 中标人无正当理由拒签合同的，招标人取消其中标资格，其投标保证金不予退还；给招标人造成的损失超过投标保证金数额的，中标人还应当对超过部分予以赔偿。 </w:t>
      </w:r>
    </w:p>
    <w:p>
      <w:pPr>
        <w:pStyle w:val="2"/>
      </w:pPr>
      <w:bookmarkStart w:id="559" w:name="_Toc269324730"/>
      <w:bookmarkStart w:id="560" w:name="_Toc6582"/>
      <w:bookmarkStart w:id="561" w:name="_Toc498502985"/>
      <w:bookmarkStart w:id="562" w:name="_Toc23686"/>
      <w:bookmarkStart w:id="563" w:name="_Toc144974539"/>
      <w:bookmarkStart w:id="564" w:name="_Toc152042347"/>
      <w:bookmarkStart w:id="565" w:name="_Toc273358899"/>
      <w:bookmarkStart w:id="566" w:name="_Toc152045571"/>
      <w:bookmarkStart w:id="567" w:name="_Toc281225163"/>
      <w:r>
        <w:t>8.重新招标和不再招标</w:t>
      </w:r>
      <w:bookmarkEnd w:id="559"/>
      <w:bookmarkEnd w:id="560"/>
      <w:bookmarkEnd w:id="561"/>
      <w:bookmarkEnd w:id="562"/>
      <w:bookmarkEnd w:id="563"/>
      <w:bookmarkEnd w:id="564"/>
      <w:bookmarkEnd w:id="565"/>
      <w:bookmarkEnd w:id="566"/>
      <w:bookmarkEnd w:id="567"/>
    </w:p>
    <w:p>
      <w:pPr>
        <w:pStyle w:val="4"/>
      </w:pPr>
      <w:bookmarkStart w:id="568" w:name="_Toc498502986"/>
      <w:bookmarkStart w:id="569" w:name="_Toc25119"/>
      <w:bookmarkStart w:id="570" w:name="_Toc499204894"/>
      <w:bookmarkStart w:id="571" w:name="_Toc152042348"/>
      <w:bookmarkStart w:id="572" w:name="_Toc281225164"/>
      <w:bookmarkStart w:id="573" w:name="_Toc499311109"/>
      <w:bookmarkStart w:id="574" w:name="_Toc144974540"/>
      <w:bookmarkStart w:id="575" w:name="_Toc16486"/>
      <w:bookmarkStart w:id="576" w:name="_Toc20668"/>
      <w:bookmarkStart w:id="577" w:name="_Toc269324731"/>
      <w:bookmarkStart w:id="578" w:name="_Toc152045572"/>
      <w:bookmarkStart w:id="579" w:name="_Toc273358900"/>
      <w:r>
        <w:t>8.1 重新招标</w:t>
      </w:r>
      <w:bookmarkEnd w:id="568"/>
      <w:bookmarkEnd w:id="569"/>
      <w:bookmarkEnd w:id="570"/>
      <w:bookmarkEnd w:id="571"/>
      <w:bookmarkEnd w:id="572"/>
      <w:bookmarkEnd w:id="573"/>
      <w:bookmarkEnd w:id="574"/>
      <w:bookmarkEnd w:id="575"/>
      <w:bookmarkEnd w:id="576"/>
      <w:bookmarkEnd w:id="577"/>
      <w:bookmarkEnd w:id="578"/>
      <w:bookmarkEnd w:id="579"/>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有下列情形之一的，招标人将重新招标：</w:t>
      </w:r>
    </w:p>
    <w:p>
      <w:pPr>
        <w:spacing w:line="360" w:lineRule="auto"/>
        <w:ind w:firstLine="650" w:firstLineChars="271"/>
        <w:jc w:val="left"/>
        <w:rPr>
          <w:rFonts w:asciiTheme="minorEastAsia" w:hAnsiTheme="minorEastAsia" w:eastAsiaTheme="minorEastAsia"/>
          <w:sz w:val="24"/>
        </w:rPr>
      </w:pPr>
      <w:bookmarkStart w:id="580" w:name="_Toc281225165"/>
      <w:bookmarkStart w:id="581" w:name="_Toc269324732"/>
      <w:bookmarkStart w:id="582" w:name="_Toc152042349"/>
      <w:bookmarkStart w:id="583" w:name="_Toc144974541"/>
      <w:bookmarkStart w:id="584" w:name="_Toc152045573"/>
      <w:bookmarkStart w:id="585" w:name="_Toc273358901"/>
      <w:r>
        <w:rPr>
          <w:rFonts w:asciiTheme="minorEastAsia" w:hAnsiTheme="minorEastAsia" w:eastAsiaTheme="minorEastAsia"/>
          <w:sz w:val="24"/>
        </w:rPr>
        <w:t>（1）投标截止时间止，投标人少于3个的；</w:t>
      </w:r>
    </w:p>
    <w:p>
      <w:pPr>
        <w:spacing w:line="360" w:lineRule="auto"/>
        <w:ind w:firstLine="650" w:firstLineChars="271"/>
        <w:jc w:val="left"/>
        <w:rPr>
          <w:rFonts w:asciiTheme="minorEastAsia" w:hAnsiTheme="minorEastAsia" w:eastAsiaTheme="minorEastAsia"/>
          <w:sz w:val="24"/>
        </w:rPr>
      </w:pPr>
      <w:r>
        <w:rPr>
          <w:rFonts w:asciiTheme="minorEastAsia" w:hAnsiTheme="minorEastAsia" w:eastAsiaTheme="minorEastAsia"/>
          <w:sz w:val="24"/>
        </w:rPr>
        <w:t>（2）经评标委员会评审后否决所有投标的。</w:t>
      </w:r>
    </w:p>
    <w:p>
      <w:pPr>
        <w:pStyle w:val="4"/>
      </w:pPr>
      <w:bookmarkStart w:id="586" w:name="_Toc498502987"/>
      <w:bookmarkStart w:id="587" w:name="_Toc13158"/>
      <w:bookmarkStart w:id="588" w:name="_Toc14777"/>
      <w:bookmarkStart w:id="589" w:name="_Toc28094"/>
      <w:bookmarkStart w:id="590" w:name="_Toc499204895"/>
      <w:bookmarkStart w:id="591" w:name="_Toc499311110"/>
      <w:r>
        <w:t>8.2 不再招标</w:t>
      </w:r>
      <w:bookmarkEnd w:id="580"/>
      <w:bookmarkEnd w:id="581"/>
      <w:bookmarkEnd w:id="582"/>
      <w:bookmarkEnd w:id="583"/>
      <w:bookmarkEnd w:id="584"/>
      <w:bookmarkEnd w:id="585"/>
      <w:bookmarkEnd w:id="586"/>
      <w:bookmarkEnd w:id="587"/>
      <w:bookmarkEnd w:id="588"/>
      <w:bookmarkEnd w:id="589"/>
      <w:bookmarkEnd w:id="590"/>
      <w:bookmarkEnd w:id="591"/>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重新招标后投标人仍少于3个或者所有投标被否决的，属于按照国家规定需要政府审批的项目，报项目审批或核准部门批准后可以不再进行招标。</w:t>
      </w:r>
    </w:p>
    <w:p>
      <w:pPr>
        <w:pStyle w:val="2"/>
      </w:pPr>
      <w:bookmarkStart w:id="592" w:name="_Toc498502988"/>
      <w:bookmarkStart w:id="593" w:name="_Toc269324733"/>
      <w:bookmarkStart w:id="594" w:name="_Toc152045574"/>
      <w:bookmarkStart w:id="595" w:name="_Toc152042350"/>
      <w:bookmarkStart w:id="596" w:name="_Toc281225166"/>
      <w:bookmarkStart w:id="597" w:name="_Toc7591"/>
      <w:bookmarkStart w:id="598" w:name="_Toc144974542"/>
      <w:bookmarkStart w:id="599" w:name="_Toc273358902"/>
      <w:bookmarkStart w:id="600" w:name="_Toc17256"/>
      <w:r>
        <w:t>9.纪律和监督</w:t>
      </w:r>
      <w:bookmarkEnd w:id="592"/>
      <w:bookmarkEnd w:id="593"/>
      <w:bookmarkEnd w:id="594"/>
      <w:bookmarkEnd w:id="595"/>
      <w:bookmarkEnd w:id="596"/>
      <w:bookmarkEnd w:id="597"/>
      <w:bookmarkEnd w:id="598"/>
      <w:bookmarkEnd w:id="599"/>
      <w:bookmarkEnd w:id="600"/>
    </w:p>
    <w:p>
      <w:pPr>
        <w:pStyle w:val="4"/>
      </w:pPr>
      <w:bookmarkStart w:id="601" w:name="_Toc29032"/>
      <w:bookmarkStart w:id="602" w:name="_Toc22487"/>
      <w:bookmarkStart w:id="603" w:name="_Toc273358903"/>
      <w:bookmarkStart w:id="604" w:name="_Toc281225167"/>
      <w:bookmarkStart w:id="605" w:name="_Toc144974543"/>
      <w:bookmarkStart w:id="606" w:name="_Toc269324734"/>
      <w:bookmarkStart w:id="607" w:name="_Toc152042351"/>
      <w:bookmarkStart w:id="608" w:name="_Toc499204897"/>
      <w:bookmarkStart w:id="609" w:name="_Toc152045575"/>
      <w:bookmarkStart w:id="610" w:name="_Toc27611"/>
      <w:bookmarkStart w:id="611" w:name="_Toc498502989"/>
      <w:bookmarkStart w:id="612" w:name="_Toc499311112"/>
      <w:r>
        <w:t>9.1 对招标人的纪律要求</w:t>
      </w:r>
      <w:bookmarkEnd w:id="601"/>
      <w:bookmarkEnd w:id="602"/>
      <w:bookmarkEnd w:id="603"/>
      <w:bookmarkEnd w:id="604"/>
      <w:bookmarkEnd w:id="605"/>
      <w:bookmarkEnd w:id="606"/>
      <w:bookmarkEnd w:id="607"/>
      <w:bookmarkEnd w:id="608"/>
      <w:bookmarkEnd w:id="609"/>
      <w:bookmarkEnd w:id="610"/>
      <w:bookmarkEnd w:id="611"/>
      <w:bookmarkEnd w:id="612"/>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招标人不得泄漏招标投标活动中应当保密的情况和资料，不得与投标人串通损害国家利益、社会公共利益或者他人合法权益。</w:t>
      </w:r>
    </w:p>
    <w:p>
      <w:pPr>
        <w:pStyle w:val="4"/>
      </w:pPr>
      <w:bookmarkStart w:id="613" w:name="_Toc144974544"/>
      <w:bookmarkStart w:id="614" w:name="_Toc152042352"/>
      <w:bookmarkStart w:id="615" w:name="_Toc281225168"/>
      <w:bookmarkStart w:id="616" w:name="_Toc269324735"/>
      <w:bookmarkStart w:id="617" w:name="_Toc499204898"/>
      <w:bookmarkStart w:id="618" w:name="_Toc20840"/>
      <w:bookmarkStart w:id="619" w:name="_Toc20294"/>
      <w:bookmarkStart w:id="620" w:name="_Toc7495"/>
      <w:bookmarkStart w:id="621" w:name="_Toc499311113"/>
      <w:bookmarkStart w:id="622" w:name="_Toc152045576"/>
      <w:bookmarkStart w:id="623" w:name="_Toc498502990"/>
      <w:bookmarkStart w:id="624" w:name="_Toc273358904"/>
      <w:r>
        <w:t>9.2 对投标人的纪律要求</w:t>
      </w:r>
      <w:bookmarkEnd w:id="613"/>
      <w:bookmarkEnd w:id="614"/>
      <w:bookmarkEnd w:id="615"/>
      <w:bookmarkEnd w:id="616"/>
      <w:bookmarkEnd w:id="617"/>
      <w:bookmarkEnd w:id="618"/>
      <w:bookmarkEnd w:id="619"/>
      <w:bookmarkEnd w:id="620"/>
      <w:bookmarkEnd w:id="621"/>
      <w:bookmarkEnd w:id="622"/>
      <w:bookmarkEnd w:id="623"/>
      <w:bookmarkEnd w:id="624"/>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pPr>
      <w:bookmarkStart w:id="625" w:name="_Toc498502991"/>
      <w:bookmarkStart w:id="626" w:name="_Toc152042353"/>
      <w:bookmarkStart w:id="627" w:name="_Toc273358905"/>
      <w:bookmarkStart w:id="628" w:name="_Toc281225169"/>
      <w:bookmarkStart w:id="629" w:name="_Toc16178"/>
      <w:bookmarkStart w:id="630" w:name="_Toc20095"/>
      <w:bookmarkStart w:id="631" w:name="_Toc144974545"/>
      <w:bookmarkStart w:id="632" w:name="_Toc499311114"/>
      <w:bookmarkStart w:id="633" w:name="_Toc7201"/>
      <w:bookmarkStart w:id="634" w:name="_Toc269324736"/>
      <w:bookmarkStart w:id="635" w:name="_Toc499204899"/>
      <w:bookmarkStart w:id="636" w:name="_Toc152045577"/>
      <w:r>
        <w:t>9.3 对评标委员会成员的纪律要求</w:t>
      </w:r>
      <w:bookmarkEnd w:id="625"/>
      <w:bookmarkEnd w:id="626"/>
      <w:bookmarkEnd w:id="627"/>
      <w:bookmarkEnd w:id="628"/>
      <w:bookmarkEnd w:id="629"/>
      <w:bookmarkEnd w:id="630"/>
      <w:bookmarkEnd w:id="631"/>
      <w:bookmarkEnd w:id="632"/>
      <w:bookmarkEnd w:id="633"/>
      <w:bookmarkEnd w:id="634"/>
      <w:bookmarkEnd w:id="635"/>
      <w:bookmarkEnd w:id="636"/>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pPr>
      <w:bookmarkStart w:id="637" w:name="_Toc269324737"/>
      <w:bookmarkStart w:id="638" w:name="_Toc273358906"/>
      <w:bookmarkStart w:id="639" w:name="_Toc22506"/>
      <w:bookmarkStart w:id="640" w:name="_Toc152042354"/>
      <w:bookmarkStart w:id="641" w:name="_Toc498502992"/>
      <w:bookmarkStart w:id="642" w:name="_Toc27818"/>
      <w:bookmarkStart w:id="643" w:name="_Toc152045578"/>
      <w:bookmarkStart w:id="644" w:name="_Toc499204900"/>
      <w:bookmarkStart w:id="645" w:name="_Toc499311115"/>
      <w:bookmarkStart w:id="646" w:name="_Toc281225170"/>
      <w:bookmarkStart w:id="647" w:name="_Toc21357"/>
      <w:bookmarkStart w:id="648" w:name="_Toc144974546"/>
      <w:r>
        <w:t>9.4 对与评标活动有关的工作人员的纪律要求</w:t>
      </w:r>
      <w:bookmarkEnd w:id="637"/>
      <w:bookmarkEnd w:id="638"/>
      <w:bookmarkEnd w:id="639"/>
      <w:bookmarkEnd w:id="640"/>
      <w:bookmarkEnd w:id="641"/>
      <w:bookmarkEnd w:id="642"/>
      <w:bookmarkEnd w:id="643"/>
      <w:bookmarkEnd w:id="644"/>
      <w:bookmarkEnd w:id="645"/>
      <w:bookmarkEnd w:id="646"/>
      <w:bookmarkEnd w:id="647"/>
    </w:p>
    <w:p>
      <w:pPr>
        <w:spacing w:line="360" w:lineRule="auto"/>
        <w:ind w:firstLine="420"/>
        <w:jc w:val="left"/>
        <w:rPr>
          <w:rFonts w:asciiTheme="minorEastAsia" w:hAnsiTheme="minorEastAsia" w:eastAsiaTheme="minorEastAsia"/>
          <w:sz w:val="24"/>
        </w:rPr>
      </w:pPr>
      <w:bookmarkStart w:id="649" w:name="_Toc152042355"/>
      <w:r>
        <w:rPr>
          <w:rFonts w:asciiTheme="minorEastAsia" w:hAnsiTheme="minorEastAsia" w:eastAsiaTheme="minor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49"/>
    </w:p>
    <w:p>
      <w:pPr>
        <w:pStyle w:val="4"/>
      </w:pPr>
      <w:bookmarkStart w:id="650" w:name="_Toc499311116"/>
      <w:bookmarkStart w:id="651" w:name="_Toc498502993"/>
      <w:bookmarkStart w:id="652" w:name="_Toc16495"/>
      <w:bookmarkStart w:id="653" w:name="_Toc29127"/>
      <w:bookmarkStart w:id="654" w:name="_Toc499204901"/>
      <w:bookmarkStart w:id="655" w:name="_Toc30394"/>
      <w:r>
        <w:t>9.5</w:t>
      </w:r>
      <w:bookmarkStart w:id="656" w:name="_Toc269324738"/>
      <w:bookmarkStart w:id="657" w:name="_Toc152042356"/>
      <w:bookmarkStart w:id="658" w:name="_Toc273358907"/>
      <w:bookmarkStart w:id="659" w:name="_Toc281225171"/>
      <w:bookmarkStart w:id="660" w:name="_Toc152045579"/>
      <w:r>
        <w:t>投诉</w:t>
      </w:r>
      <w:bookmarkEnd w:id="648"/>
      <w:bookmarkEnd w:id="650"/>
      <w:bookmarkEnd w:id="651"/>
      <w:bookmarkEnd w:id="652"/>
      <w:bookmarkEnd w:id="653"/>
      <w:bookmarkEnd w:id="654"/>
      <w:bookmarkEnd w:id="655"/>
      <w:bookmarkEnd w:id="656"/>
      <w:bookmarkEnd w:id="657"/>
      <w:bookmarkEnd w:id="658"/>
      <w:bookmarkEnd w:id="659"/>
      <w:bookmarkEnd w:id="660"/>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投标人和其他利害关系人认为本次招标活动违反法律、法规和规章规定的，有权向有关行政监督部门投诉。</w:t>
      </w:r>
    </w:p>
    <w:p>
      <w:pPr>
        <w:pStyle w:val="2"/>
      </w:pPr>
      <w:bookmarkStart w:id="661" w:name="_Toc273358908"/>
      <w:bookmarkStart w:id="662" w:name="_Toc152042357"/>
      <w:bookmarkStart w:id="663" w:name="_Toc17155"/>
      <w:bookmarkStart w:id="664" w:name="_Toc29940"/>
      <w:bookmarkStart w:id="665" w:name="_Toc281225172"/>
      <w:bookmarkStart w:id="666" w:name="_Toc152045580"/>
      <w:bookmarkStart w:id="667" w:name="_Toc498502994"/>
      <w:bookmarkStart w:id="668" w:name="_Toc269324739"/>
      <w:bookmarkStart w:id="669" w:name="_Toc144974547"/>
      <w:r>
        <w:t>10.需要补充的其他内容</w:t>
      </w:r>
      <w:bookmarkEnd w:id="661"/>
      <w:bookmarkEnd w:id="662"/>
      <w:bookmarkEnd w:id="663"/>
      <w:bookmarkEnd w:id="664"/>
      <w:bookmarkEnd w:id="665"/>
      <w:bookmarkEnd w:id="666"/>
      <w:bookmarkEnd w:id="667"/>
      <w:bookmarkEnd w:id="668"/>
      <w:bookmarkEnd w:id="669"/>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需要补充的其他内容：见投标人须知前附表。</w:t>
      </w:r>
      <w:r>
        <w:rPr>
          <w:rFonts w:asciiTheme="minorEastAsia" w:hAnsiTheme="minorEastAsia" w:eastAsiaTheme="minorEastAsia"/>
          <w:sz w:val="24"/>
        </w:rPr>
        <w:br w:type="page"/>
      </w:r>
    </w:p>
    <w:p>
      <w:pPr>
        <w:pStyle w:val="2"/>
        <w:rPr>
          <w:rFonts w:ascii="宋体" w:hAnsi="宋体"/>
        </w:rPr>
      </w:pPr>
      <w:bookmarkStart w:id="670" w:name="_Toc498502995"/>
      <w:bookmarkStart w:id="671" w:name="_Toc152045581"/>
      <w:bookmarkStart w:id="672" w:name="_Toc290634342"/>
      <w:bookmarkStart w:id="673" w:name="_Toc152042358"/>
      <w:bookmarkStart w:id="674" w:name="_Toc30983"/>
      <w:bookmarkStart w:id="675" w:name="_Toc2077"/>
      <w:bookmarkStart w:id="676" w:name="_Toc144974548"/>
      <w:r>
        <w:rPr>
          <w:rFonts w:hint="eastAsia"/>
        </w:rPr>
        <w:t>附表一：开标记录表</w:t>
      </w:r>
      <w:bookmarkEnd w:id="670"/>
      <w:bookmarkEnd w:id="671"/>
      <w:bookmarkEnd w:id="672"/>
      <w:bookmarkEnd w:id="673"/>
      <w:bookmarkEnd w:id="674"/>
      <w:bookmarkEnd w:id="675"/>
      <w:bookmarkEnd w:id="676"/>
    </w:p>
    <w:p>
      <w:pPr>
        <w:spacing w:beforeLines="100" w:afterLines="100"/>
        <w:jc w:val="center"/>
        <w:rPr>
          <w:b/>
        </w:rPr>
      </w:pPr>
      <w:r>
        <w:rPr>
          <w:rFonts w:hAnsi="宋体"/>
          <w:b/>
        </w:rPr>
        <w:t>（项目名称）开标记录表</w:t>
      </w:r>
    </w:p>
    <w:p>
      <w:pPr>
        <w:spacing w:line="360" w:lineRule="auto"/>
        <w:ind w:firstLine="105" w:firstLineChars="50"/>
        <w:rPr>
          <w:rFonts w:asciiTheme="minorEastAsia" w:hAnsiTheme="minorEastAsia" w:eastAsiaTheme="minorEastAsia"/>
          <w:szCs w:val="21"/>
        </w:rPr>
      </w:pPr>
      <w:r>
        <w:rPr>
          <w:rFonts w:asciiTheme="minorEastAsia" w:hAnsiTheme="minorEastAsia" w:eastAsiaTheme="minorEastAsia"/>
          <w:szCs w:val="21"/>
        </w:rPr>
        <w:t>开标时间：年月日时分</w:t>
      </w:r>
    </w:p>
    <w:p>
      <w:pPr>
        <w:spacing w:line="360" w:lineRule="auto"/>
        <w:ind w:firstLine="105" w:firstLineChars="50"/>
        <w:rPr>
          <w:rFonts w:asciiTheme="minorEastAsia" w:hAnsiTheme="minorEastAsia" w:eastAsiaTheme="minorEastAsia"/>
          <w:szCs w:val="21"/>
        </w:rPr>
      </w:pPr>
      <w:r>
        <w:rPr>
          <w:rFonts w:asciiTheme="minorEastAsia" w:hAnsiTheme="minorEastAsia" w:eastAsiaTheme="minorEastAsia"/>
          <w:szCs w:val="21"/>
        </w:rPr>
        <w:t>开标地点：</w:t>
      </w:r>
    </w:p>
    <w:p>
      <w:pPr>
        <w:spacing w:line="360" w:lineRule="auto"/>
        <w:ind w:firstLine="420"/>
        <w:rPr>
          <w:rFonts w:asciiTheme="minorEastAsia" w:hAnsiTheme="minorEastAsia" w:eastAsiaTheme="minorEastAsia"/>
          <w:szCs w:val="21"/>
        </w:rPr>
      </w:pPr>
      <w:bookmarkStart w:id="677" w:name="_Toc297800038"/>
      <w:bookmarkStart w:id="678" w:name="_Toc297670070"/>
      <w:bookmarkStart w:id="679" w:name="_Toc293403298"/>
      <w:bookmarkStart w:id="680" w:name="_Toc291496617"/>
      <w:r>
        <w:rPr>
          <w:rFonts w:asciiTheme="minorEastAsia" w:hAnsiTheme="minorEastAsia" w:eastAsiaTheme="minorEastAsia"/>
          <w:szCs w:val="21"/>
        </w:rPr>
        <w:t>（一）唱标记录</w:t>
      </w:r>
      <w:bookmarkEnd w:id="677"/>
      <w:bookmarkEnd w:id="678"/>
      <w:bookmarkEnd w:id="679"/>
      <w:bookmarkEnd w:id="680"/>
    </w:p>
    <w:tbl>
      <w:tblPr>
        <w:tblStyle w:val="28"/>
        <w:tblW w:w="82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0"/>
        <w:gridCol w:w="846"/>
        <w:gridCol w:w="1142"/>
        <w:gridCol w:w="1290"/>
        <w:gridCol w:w="1124"/>
        <w:gridCol w:w="985"/>
        <w:gridCol w:w="853"/>
        <w:gridCol w:w="690"/>
        <w:gridCol w:w="6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70"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开标序号</w:t>
            </w:r>
          </w:p>
        </w:tc>
        <w:tc>
          <w:tcPr>
            <w:tcW w:w="846"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投标人</w:t>
            </w:r>
          </w:p>
        </w:tc>
        <w:tc>
          <w:tcPr>
            <w:tcW w:w="1142"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密封情况</w:t>
            </w:r>
          </w:p>
        </w:tc>
        <w:tc>
          <w:tcPr>
            <w:tcW w:w="1290"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投标保证金</w:t>
            </w:r>
          </w:p>
        </w:tc>
        <w:tc>
          <w:tcPr>
            <w:tcW w:w="1124"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投标报价（</w:t>
            </w:r>
            <w:r>
              <w:rPr>
                <w:rFonts w:hint="eastAsia" w:asciiTheme="minorEastAsia" w:hAnsiTheme="minorEastAsia" w:eastAsiaTheme="minorEastAsia"/>
                <w:szCs w:val="21"/>
              </w:rPr>
              <w:t>费率</w:t>
            </w:r>
            <w:r>
              <w:rPr>
                <w:rFonts w:asciiTheme="minorEastAsia" w:hAnsiTheme="minorEastAsia" w:eastAsiaTheme="minorEastAsia"/>
                <w:szCs w:val="21"/>
              </w:rPr>
              <w:t>）</w:t>
            </w:r>
          </w:p>
        </w:tc>
        <w:tc>
          <w:tcPr>
            <w:tcW w:w="985"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服务</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周期</w:t>
            </w:r>
          </w:p>
        </w:tc>
        <w:tc>
          <w:tcPr>
            <w:tcW w:w="853"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服务质量目标</w:t>
            </w:r>
          </w:p>
        </w:tc>
        <w:tc>
          <w:tcPr>
            <w:tcW w:w="690"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备注</w:t>
            </w:r>
          </w:p>
        </w:tc>
        <w:tc>
          <w:tcPr>
            <w:tcW w:w="677"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70" w:type="dxa"/>
          </w:tcPr>
          <w:p>
            <w:pPr>
              <w:spacing w:line="360" w:lineRule="auto"/>
              <w:ind w:firstLine="420"/>
              <w:rPr>
                <w:rFonts w:asciiTheme="minorEastAsia" w:hAnsiTheme="minorEastAsia" w:eastAsiaTheme="minorEastAsia"/>
                <w:szCs w:val="21"/>
              </w:rPr>
            </w:pPr>
          </w:p>
        </w:tc>
        <w:tc>
          <w:tcPr>
            <w:tcW w:w="846" w:type="dxa"/>
          </w:tcPr>
          <w:p>
            <w:pPr>
              <w:spacing w:line="360" w:lineRule="auto"/>
              <w:ind w:firstLine="420"/>
              <w:rPr>
                <w:rFonts w:asciiTheme="minorEastAsia" w:hAnsiTheme="minorEastAsia" w:eastAsiaTheme="minorEastAsia"/>
                <w:szCs w:val="21"/>
              </w:rPr>
            </w:pPr>
          </w:p>
        </w:tc>
        <w:tc>
          <w:tcPr>
            <w:tcW w:w="1142" w:type="dxa"/>
          </w:tcPr>
          <w:p>
            <w:pPr>
              <w:spacing w:line="360" w:lineRule="auto"/>
              <w:ind w:firstLine="420"/>
              <w:rPr>
                <w:rFonts w:asciiTheme="minorEastAsia" w:hAnsiTheme="minorEastAsia" w:eastAsiaTheme="minorEastAsia"/>
                <w:szCs w:val="21"/>
              </w:rPr>
            </w:pPr>
          </w:p>
        </w:tc>
        <w:tc>
          <w:tcPr>
            <w:tcW w:w="1290" w:type="dxa"/>
          </w:tcPr>
          <w:p>
            <w:pPr>
              <w:spacing w:line="360" w:lineRule="auto"/>
              <w:ind w:firstLine="420"/>
              <w:rPr>
                <w:rFonts w:asciiTheme="minorEastAsia" w:hAnsiTheme="minorEastAsia" w:eastAsiaTheme="minorEastAsia"/>
                <w:szCs w:val="21"/>
              </w:rPr>
            </w:pPr>
          </w:p>
        </w:tc>
        <w:tc>
          <w:tcPr>
            <w:tcW w:w="1124" w:type="dxa"/>
          </w:tcPr>
          <w:p>
            <w:pPr>
              <w:spacing w:line="360" w:lineRule="auto"/>
              <w:ind w:firstLine="420"/>
              <w:rPr>
                <w:rFonts w:asciiTheme="minorEastAsia" w:hAnsiTheme="minorEastAsia" w:eastAsiaTheme="minorEastAsia"/>
                <w:szCs w:val="21"/>
              </w:rPr>
            </w:pPr>
          </w:p>
        </w:tc>
        <w:tc>
          <w:tcPr>
            <w:tcW w:w="985" w:type="dxa"/>
          </w:tcPr>
          <w:p>
            <w:pPr>
              <w:spacing w:line="360" w:lineRule="auto"/>
              <w:ind w:firstLine="420"/>
              <w:rPr>
                <w:rFonts w:asciiTheme="minorEastAsia" w:hAnsiTheme="minorEastAsia" w:eastAsiaTheme="minorEastAsia"/>
                <w:szCs w:val="21"/>
              </w:rPr>
            </w:pPr>
          </w:p>
        </w:tc>
        <w:tc>
          <w:tcPr>
            <w:tcW w:w="853" w:type="dxa"/>
          </w:tcPr>
          <w:p>
            <w:pPr>
              <w:spacing w:line="360" w:lineRule="auto"/>
              <w:ind w:firstLine="420"/>
              <w:rPr>
                <w:rFonts w:asciiTheme="minorEastAsia" w:hAnsiTheme="minorEastAsia" w:eastAsiaTheme="minorEastAsia"/>
                <w:szCs w:val="21"/>
              </w:rPr>
            </w:pPr>
          </w:p>
        </w:tc>
        <w:tc>
          <w:tcPr>
            <w:tcW w:w="690" w:type="dxa"/>
          </w:tcPr>
          <w:p>
            <w:pPr>
              <w:spacing w:line="360" w:lineRule="auto"/>
              <w:ind w:firstLine="420"/>
              <w:rPr>
                <w:rFonts w:asciiTheme="minorEastAsia" w:hAnsiTheme="minorEastAsia" w:eastAsiaTheme="minorEastAsia"/>
                <w:szCs w:val="21"/>
              </w:rPr>
            </w:pPr>
          </w:p>
        </w:tc>
        <w:tc>
          <w:tcPr>
            <w:tcW w:w="677" w:type="dxa"/>
          </w:tcPr>
          <w:p>
            <w:pPr>
              <w:spacing w:line="360" w:lineRule="auto"/>
              <w:ind w:firstLine="420"/>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70" w:type="dxa"/>
          </w:tcPr>
          <w:p>
            <w:pPr>
              <w:spacing w:line="360" w:lineRule="auto"/>
              <w:ind w:firstLine="420"/>
              <w:rPr>
                <w:rFonts w:asciiTheme="minorEastAsia" w:hAnsiTheme="minorEastAsia" w:eastAsiaTheme="minorEastAsia"/>
                <w:szCs w:val="21"/>
              </w:rPr>
            </w:pPr>
          </w:p>
        </w:tc>
        <w:tc>
          <w:tcPr>
            <w:tcW w:w="846" w:type="dxa"/>
          </w:tcPr>
          <w:p>
            <w:pPr>
              <w:spacing w:line="360" w:lineRule="auto"/>
              <w:ind w:firstLine="420"/>
              <w:rPr>
                <w:rFonts w:asciiTheme="minorEastAsia" w:hAnsiTheme="minorEastAsia" w:eastAsiaTheme="minorEastAsia"/>
                <w:szCs w:val="21"/>
              </w:rPr>
            </w:pPr>
          </w:p>
        </w:tc>
        <w:tc>
          <w:tcPr>
            <w:tcW w:w="1142" w:type="dxa"/>
          </w:tcPr>
          <w:p>
            <w:pPr>
              <w:spacing w:line="360" w:lineRule="auto"/>
              <w:ind w:firstLine="420"/>
              <w:rPr>
                <w:rFonts w:asciiTheme="minorEastAsia" w:hAnsiTheme="minorEastAsia" w:eastAsiaTheme="minorEastAsia"/>
                <w:szCs w:val="21"/>
              </w:rPr>
            </w:pPr>
          </w:p>
        </w:tc>
        <w:tc>
          <w:tcPr>
            <w:tcW w:w="1290" w:type="dxa"/>
          </w:tcPr>
          <w:p>
            <w:pPr>
              <w:spacing w:line="360" w:lineRule="auto"/>
              <w:ind w:firstLine="420"/>
              <w:rPr>
                <w:rFonts w:asciiTheme="minorEastAsia" w:hAnsiTheme="minorEastAsia" w:eastAsiaTheme="minorEastAsia"/>
                <w:szCs w:val="21"/>
              </w:rPr>
            </w:pPr>
          </w:p>
        </w:tc>
        <w:tc>
          <w:tcPr>
            <w:tcW w:w="1124" w:type="dxa"/>
          </w:tcPr>
          <w:p>
            <w:pPr>
              <w:spacing w:line="360" w:lineRule="auto"/>
              <w:ind w:firstLine="420"/>
              <w:rPr>
                <w:rFonts w:asciiTheme="minorEastAsia" w:hAnsiTheme="minorEastAsia" w:eastAsiaTheme="minorEastAsia"/>
                <w:szCs w:val="21"/>
              </w:rPr>
            </w:pPr>
          </w:p>
        </w:tc>
        <w:tc>
          <w:tcPr>
            <w:tcW w:w="985" w:type="dxa"/>
          </w:tcPr>
          <w:p>
            <w:pPr>
              <w:spacing w:line="360" w:lineRule="auto"/>
              <w:ind w:firstLine="420"/>
              <w:rPr>
                <w:rFonts w:asciiTheme="minorEastAsia" w:hAnsiTheme="minorEastAsia" w:eastAsiaTheme="minorEastAsia"/>
                <w:szCs w:val="21"/>
              </w:rPr>
            </w:pPr>
          </w:p>
        </w:tc>
        <w:tc>
          <w:tcPr>
            <w:tcW w:w="853" w:type="dxa"/>
          </w:tcPr>
          <w:p>
            <w:pPr>
              <w:spacing w:line="360" w:lineRule="auto"/>
              <w:ind w:firstLine="420"/>
              <w:rPr>
                <w:rFonts w:asciiTheme="minorEastAsia" w:hAnsiTheme="minorEastAsia" w:eastAsiaTheme="minorEastAsia"/>
                <w:szCs w:val="21"/>
              </w:rPr>
            </w:pPr>
          </w:p>
        </w:tc>
        <w:tc>
          <w:tcPr>
            <w:tcW w:w="690" w:type="dxa"/>
          </w:tcPr>
          <w:p>
            <w:pPr>
              <w:spacing w:line="360" w:lineRule="auto"/>
              <w:ind w:firstLine="420"/>
              <w:rPr>
                <w:rFonts w:asciiTheme="minorEastAsia" w:hAnsiTheme="minorEastAsia" w:eastAsiaTheme="minorEastAsia"/>
                <w:szCs w:val="21"/>
              </w:rPr>
            </w:pPr>
          </w:p>
        </w:tc>
        <w:tc>
          <w:tcPr>
            <w:tcW w:w="677" w:type="dxa"/>
          </w:tcPr>
          <w:p>
            <w:pPr>
              <w:spacing w:line="360" w:lineRule="auto"/>
              <w:ind w:firstLine="420"/>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70" w:type="dxa"/>
          </w:tcPr>
          <w:p>
            <w:pPr>
              <w:spacing w:line="360" w:lineRule="auto"/>
              <w:ind w:firstLine="420"/>
              <w:rPr>
                <w:rFonts w:asciiTheme="minorEastAsia" w:hAnsiTheme="minorEastAsia" w:eastAsiaTheme="minorEastAsia"/>
                <w:szCs w:val="21"/>
              </w:rPr>
            </w:pPr>
          </w:p>
        </w:tc>
        <w:tc>
          <w:tcPr>
            <w:tcW w:w="846" w:type="dxa"/>
          </w:tcPr>
          <w:p>
            <w:pPr>
              <w:spacing w:line="360" w:lineRule="auto"/>
              <w:ind w:firstLine="420"/>
              <w:rPr>
                <w:rFonts w:asciiTheme="minorEastAsia" w:hAnsiTheme="minorEastAsia" w:eastAsiaTheme="minorEastAsia"/>
                <w:szCs w:val="21"/>
              </w:rPr>
            </w:pPr>
          </w:p>
        </w:tc>
        <w:tc>
          <w:tcPr>
            <w:tcW w:w="1142" w:type="dxa"/>
          </w:tcPr>
          <w:p>
            <w:pPr>
              <w:spacing w:line="360" w:lineRule="auto"/>
              <w:ind w:firstLine="420"/>
              <w:rPr>
                <w:rFonts w:asciiTheme="minorEastAsia" w:hAnsiTheme="minorEastAsia" w:eastAsiaTheme="minorEastAsia"/>
                <w:szCs w:val="21"/>
              </w:rPr>
            </w:pPr>
          </w:p>
        </w:tc>
        <w:tc>
          <w:tcPr>
            <w:tcW w:w="1290" w:type="dxa"/>
          </w:tcPr>
          <w:p>
            <w:pPr>
              <w:spacing w:line="360" w:lineRule="auto"/>
              <w:ind w:firstLine="420"/>
              <w:rPr>
                <w:rFonts w:asciiTheme="minorEastAsia" w:hAnsiTheme="minorEastAsia" w:eastAsiaTheme="minorEastAsia"/>
                <w:szCs w:val="21"/>
              </w:rPr>
            </w:pPr>
          </w:p>
        </w:tc>
        <w:tc>
          <w:tcPr>
            <w:tcW w:w="1124" w:type="dxa"/>
          </w:tcPr>
          <w:p>
            <w:pPr>
              <w:spacing w:line="360" w:lineRule="auto"/>
              <w:ind w:firstLine="420"/>
              <w:rPr>
                <w:rFonts w:asciiTheme="minorEastAsia" w:hAnsiTheme="minorEastAsia" w:eastAsiaTheme="minorEastAsia"/>
                <w:szCs w:val="21"/>
              </w:rPr>
            </w:pPr>
          </w:p>
        </w:tc>
        <w:tc>
          <w:tcPr>
            <w:tcW w:w="985" w:type="dxa"/>
          </w:tcPr>
          <w:p>
            <w:pPr>
              <w:spacing w:line="360" w:lineRule="auto"/>
              <w:ind w:firstLine="420"/>
              <w:rPr>
                <w:rFonts w:asciiTheme="minorEastAsia" w:hAnsiTheme="minorEastAsia" w:eastAsiaTheme="minorEastAsia"/>
                <w:szCs w:val="21"/>
              </w:rPr>
            </w:pPr>
          </w:p>
        </w:tc>
        <w:tc>
          <w:tcPr>
            <w:tcW w:w="853" w:type="dxa"/>
          </w:tcPr>
          <w:p>
            <w:pPr>
              <w:spacing w:line="360" w:lineRule="auto"/>
              <w:ind w:firstLine="420"/>
              <w:rPr>
                <w:rFonts w:asciiTheme="minorEastAsia" w:hAnsiTheme="minorEastAsia" w:eastAsiaTheme="minorEastAsia"/>
                <w:szCs w:val="21"/>
              </w:rPr>
            </w:pPr>
          </w:p>
        </w:tc>
        <w:tc>
          <w:tcPr>
            <w:tcW w:w="690" w:type="dxa"/>
          </w:tcPr>
          <w:p>
            <w:pPr>
              <w:spacing w:line="360" w:lineRule="auto"/>
              <w:ind w:firstLine="420"/>
              <w:rPr>
                <w:rFonts w:asciiTheme="minorEastAsia" w:hAnsiTheme="minorEastAsia" w:eastAsiaTheme="minorEastAsia"/>
                <w:szCs w:val="21"/>
              </w:rPr>
            </w:pPr>
          </w:p>
        </w:tc>
        <w:tc>
          <w:tcPr>
            <w:tcW w:w="677" w:type="dxa"/>
          </w:tcPr>
          <w:p>
            <w:pPr>
              <w:spacing w:line="360" w:lineRule="auto"/>
              <w:ind w:firstLine="420"/>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5" w:hRule="atLeast"/>
        </w:trPr>
        <w:tc>
          <w:tcPr>
            <w:tcW w:w="670" w:type="dxa"/>
          </w:tcPr>
          <w:p>
            <w:pPr>
              <w:spacing w:line="360" w:lineRule="auto"/>
              <w:ind w:firstLine="420"/>
              <w:rPr>
                <w:rFonts w:asciiTheme="minorEastAsia" w:hAnsiTheme="minorEastAsia" w:eastAsiaTheme="minorEastAsia"/>
                <w:szCs w:val="21"/>
              </w:rPr>
            </w:pPr>
          </w:p>
        </w:tc>
        <w:tc>
          <w:tcPr>
            <w:tcW w:w="846" w:type="dxa"/>
          </w:tcPr>
          <w:p>
            <w:pPr>
              <w:spacing w:line="360" w:lineRule="auto"/>
              <w:ind w:firstLine="420"/>
              <w:rPr>
                <w:rFonts w:asciiTheme="minorEastAsia" w:hAnsiTheme="minorEastAsia" w:eastAsiaTheme="minorEastAsia"/>
                <w:szCs w:val="21"/>
              </w:rPr>
            </w:pPr>
          </w:p>
        </w:tc>
        <w:tc>
          <w:tcPr>
            <w:tcW w:w="1142" w:type="dxa"/>
          </w:tcPr>
          <w:p>
            <w:pPr>
              <w:spacing w:line="360" w:lineRule="auto"/>
              <w:ind w:firstLine="420"/>
              <w:rPr>
                <w:rFonts w:asciiTheme="minorEastAsia" w:hAnsiTheme="minorEastAsia" w:eastAsiaTheme="minorEastAsia"/>
                <w:szCs w:val="21"/>
              </w:rPr>
            </w:pPr>
          </w:p>
        </w:tc>
        <w:tc>
          <w:tcPr>
            <w:tcW w:w="1290" w:type="dxa"/>
          </w:tcPr>
          <w:p>
            <w:pPr>
              <w:spacing w:line="360" w:lineRule="auto"/>
              <w:ind w:firstLine="420"/>
              <w:rPr>
                <w:rFonts w:asciiTheme="minorEastAsia" w:hAnsiTheme="minorEastAsia" w:eastAsiaTheme="minorEastAsia"/>
                <w:szCs w:val="21"/>
              </w:rPr>
            </w:pPr>
          </w:p>
        </w:tc>
        <w:tc>
          <w:tcPr>
            <w:tcW w:w="1124" w:type="dxa"/>
          </w:tcPr>
          <w:p>
            <w:pPr>
              <w:spacing w:line="360" w:lineRule="auto"/>
              <w:ind w:firstLine="420"/>
              <w:rPr>
                <w:rFonts w:asciiTheme="minorEastAsia" w:hAnsiTheme="minorEastAsia" w:eastAsiaTheme="minorEastAsia"/>
                <w:szCs w:val="21"/>
              </w:rPr>
            </w:pPr>
          </w:p>
        </w:tc>
        <w:tc>
          <w:tcPr>
            <w:tcW w:w="985" w:type="dxa"/>
          </w:tcPr>
          <w:p>
            <w:pPr>
              <w:spacing w:line="360" w:lineRule="auto"/>
              <w:ind w:firstLine="420"/>
              <w:rPr>
                <w:rFonts w:asciiTheme="minorEastAsia" w:hAnsiTheme="minorEastAsia" w:eastAsiaTheme="minorEastAsia"/>
                <w:szCs w:val="21"/>
              </w:rPr>
            </w:pPr>
          </w:p>
        </w:tc>
        <w:tc>
          <w:tcPr>
            <w:tcW w:w="853" w:type="dxa"/>
          </w:tcPr>
          <w:p>
            <w:pPr>
              <w:spacing w:line="360" w:lineRule="auto"/>
              <w:ind w:firstLine="420"/>
              <w:rPr>
                <w:rFonts w:asciiTheme="minorEastAsia" w:hAnsiTheme="minorEastAsia" w:eastAsiaTheme="minorEastAsia"/>
                <w:szCs w:val="21"/>
              </w:rPr>
            </w:pPr>
          </w:p>
        </w:tc>
        <w:tc>
          <w:tcPr>
            <w:tcW w:w="690" w:type="dxa"/>
          </w:tcPr>
          <w:p>
            <w:pPr>
              <w:spacing w:line="360" w:lineRule="auto"/>
              <w:ind w:firstLine="420"/>
              <w:rPr>
                <w:rFonts w:asciiTheme="minorEastAsia" w:hAnsiTheme="minorEastAsia" w:eastAsiaTheme="minorEastAsia"/>
                <w:szCs w:val="21"/>
              </w:rPr>
            </w:pPr>
          </w:p>
        </w:tc>
        <w:tc>
          <w:tcPr>
            <w:tcW w:w="677" w:type="dxa"/>
          </w:tcPr>
          <w:p>
            <w:pPr>
              <w:spacing w:line="360" w:lineRule="auto"/>
              <w:ind w:firstLine="420"/>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70" w:type="dxa"/>
          </w:tcPr>
          <w:p>
            <w:pPr>
              <w:spacing w:line="360" w:lineRule="auto"/>
              <w:ind w:firstLine="420"/>
              <w:rPr>
                <w:rFonts w:asciiTheme="minorEastAsia" w:hAnsiTheme="minorEastAsia" w:eastAsiaTheme="minorEastAsia"/>
                <w:szCs w:val="21"/>
              </w:rPr>
            </w:pPr>
          </w:p>
        </w:tc>
        <w:tc>
          <w:tcPr>
            <w:tcW w:w="846" w:type="dxa"/>
          </w:tcPr>
          <w:p>
            <w:pPr>
              <w:spacing w:line="360" w:lineRule="auto"/>
              <w:ind w:firstLine="420"/>
              <w:rPr>
                <w:rFonts w:asciiTheme="minorEastAsia" w:hAnsiTheme="minorEastAsia" w:eastAsiaTheme="minorEastAsia"/>
                <w:szCs w:val="21"/>
              </w:rPr>
            </w:pPr>
          </w:p>
        </w:tc>
        <w:tc>
          <w:tcPr>
            <w:tcW w:w="1142" w:type="dxa"/>
          </w:tcPr>
          <w:p>
            <w:pPr>
              <w:spacing w:line="360" w:lineRule="auto"/>
              <w:ind w:firstLine="420"/>
              <w:rPr>
                <w:rFonts w:asciiTheme="minorEastAsia" w:hAnsiTheme="minorEastAsia" w:eastAsiaTheme="minorEastAsia"/>
                <w:szCs w:val="21"/>
              </w:rPr>
            </w:pPr>
          </w:p>
        </w:tc>
        <w:tc>
          <w:tcPr>
            <w:tcW w:w="1290" w:type="dxa"/>
          </w:tcPr>
          <w:p>
            <w:pPr>
              <w:spacing w:line="360" w:lineRule="auto"/>
              <w:ind w:firstLine="420"/>
              <w:rPr>
                <w:rFonts w:asciiTheme="minorEastAsia" w:hAnsiTheme="minorEastAsia" w:eastAsiaTheme="minorEastAsia"/>
                <w:szCs w:val="21"/>
              </w:rPr>
            </w:pPr>
          </w:p>
        </w:tc>
        <w:tc>
          <w:tcPr>
            <w:tcW w:w="1124" w:type="dxa"/>
          </w:tcPr>
          <w:p>
            <w:pPr>
              <w:spacing w:line="360" w:lineRule="auto"/>
              <w:ind w:firstLine="420"/>
              <w:rPr>
                <w:rFonts w:asciiTheme="minorEastAsia" w:hAnsiTheme="minorEastAsia" w:eastAsiaTheme="minorEastAsia"/>
                <w:szCs w:val="21"/>
              </w:rPr>
            </w:pPr>
          </w:p>
        </w:tc>
        <w:tc>
          <w:tcPr>
            <w:tcW w:w="985" w:type="dxa"/>
          </w:tcPr>
          <w:p>
            <w:pPr>
              <w:spacing w:line="360" w:lineRule="auto"/>
              <w:ind w:firstLine="420"/>
              <w:rPr>
                <w:rFonts w:asciiTheme="minorEastAsia" w:hAnsiTheme="minorEastAsia" w:eastAsiaTheme="minorEastAsia"/>
                <w:szCs w:val="21"/>
              </w:rPr>
            </w:pPr>
          </w:p>
        </w:tc>
        <w:tc>
          <w:tcPr>
            <w:tcW w:w="853" w:type="dxa"/>
          </w:tcPr>
          <w:p>
            <w:pPr>
              <w:spacing w:line="360" w:lineRule="auto"/>
              <w:ind w:firstLine="420"/>
              <w:rPr>
                <w:rFonts w:asciiTheme="minorEastAsia" w:hAnsiTheme="minorEastAsia" w:eastAsiaTheme="minorEastAsia"/>
                <w:szCs w:val="21"/>
              </w:rPr>
            </w:pPr>
          </w:p>
        </w:tc>
        <w:tc>
          <w:tcPr>
            <w:tcW w:w="690" w:type="dxa"/>
          </w:tcPr>
          <w:p>
            <w:pPr>
              <w:spacing w:line="360" w:lineRule="auto"/>
              <w:ind w:firstLine="420"/>
              <w:rPr>
                <w:rFonts w:asciiTheme="minorEastAsia" w:hAnsiTheme="minorEastAsia" w:eastAsiaTheme="minorEastAsia"/>
                <w:szCs w:val="21"/>
              </w:rPr>
            </w:pPr>
          </w:p>
        </w:tc>
        <w:tc>
          <w:tcPr>
            <w:tcW w:w="677" w:type="dxa"/>
          </w:tcPr>
          <w:p>
            <w:pPr>
              <w:spacing w:line="360" w:lineRule="auto"/>
              <w:ind w:firstLine="420"/>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70" w:type="dxa"/>
          </w:tcPr>
          <w:p>
            <w:pPr>
              <w:spacing w:line="360" w:lineRule="auto"/>
              <w:ind w:firstLine="420"/>
              <w:rPr>
                <w:rFonts w:asciiTheme="minorEastAsia" w:hAnsiTheme="minorEastAsia" w:eastAsiaTheme="minorEastAsia"/>
                <w:szCs w:val="21"/>
              </w:rPr>
            </w:pPr>
          </w:p>
        </w:tc>
        <w:tc>
          <w:tcPr>
            <w:tcW w:w="846" w:type="dxa"/>
          </w:tcPr>
          <w:p>
            <w:pPr>
              <w:spacing w:line="360" w:lineRule="auto"/>
              <w:ind w:firstLine="420"/>
              <w:rPr>
                <w:rFonts w:asciiTheme="minorEastAsia" w:hAnsiTheme="minorEastAsia" w:eastAsiaTheme="minorEastAsia"/>
                <w:szCs w:val="21"/>
              </w:rPr>
            </w:pPr>
          </w:p>
        </w:tc>
        <w:tc>
          <w:tcPr>
            <w:tcW w:w="1142" w:type="dxa"/>
          </w:tcPr>
          <w:p>
            <w:pPr>
              <w:spacing w:line="360" w:lineRule="auto"/>
              <w:ind w:firstLine="420"/>
              <w:rPr>
                <w:rFonts w:asciiTheme="minorEastAsia" w:hAnsiTheme="minorEastAsia" w:eastAsiaTheme="minorEastAsia"/>
                <w:szCs w:val="21"/>
              </w:rPr>
            </w:pPr>
          </w:p>
        </w:tc>
        <w:tc>
          <w:tcPr>
            <w:tcW w:w="1290" w:type="dxa"/>
          </w:tcPr>
          <w:p>
            <w:pPr>
              <w:spacing w:line="360" w:lineRule="auto"/>
              <w:ind w:firstLine="420"/>
              <w:rPr>
                <w:rFonts w:asciiTheme="minorEastAsia" w:hAnsiTheme="minorEastAsia" w:eastAsiaTheme="minorEastAsia"/>
                <w:szCs w:val="21"/>
              </w:rPr>
            </w:pPr>
          </w:p>
        </w:tc>
        <w:tc>
          <w:tcPr>
            <w:tcW w:w="1124" w:type="dxa"/>
          </w:tcPr>
          <w:p>
            <w:pPr>
              <w:spacing w:line="360" w:lineRule="auto"/>
              <w:ind w:firstLine="420"/>
              <w:rPr>
                <w:rFonts w:asciiTheme="minorEastAsia" w:hAnsiTheme="minorEastAsia" w:eastAsiaTheme="minorEastAsia"/>
                <w:szCs w:val="21"/>
              </w:rPr>
            </w:pPr>
          </w:p>
        </w:tc>
        <w:tc>
          <w:tcPr>
            <w:tcW w:w="985" w:type="dxa"/>
          </w:tcPr>
          <w:p>
            <w:pPr>
              <w:spacing w:line="360" w:lineRule="auto"/>
              <w:ind w:firstLine="420"/>
              <w:rPr>
                <w:rFonts w:asciiTheme="minorEastAsia" w:hAnsiTheme="minorEastAsia" w:eastAsiaTheme="minorEastAsia"/>
                <w:szCs w:val="21"/>
              </w:rPr>
            </w:pPr>
          </w:p>
        </w:tc>
        <w:tc>
          <w:tcPr>
            <w:tcW w:w="853" w:type="dxa"/>
          </w:tcPr>
          <w:p>
            <w:pPr>
              <w:spacing w:line="360" w:lineRule="auto"/>
              <w:ind w:firstLine="420"/>
              <w:rPr>
                <w:rFonts w:asciiTheme="minorEastAsia" w:hAnsiTheme="minorEastAsia" w:eastAsiaTheme="minorEastAsia"/>
                <w:szCs w:val="21"/>
              </w:rPr>
            </w:pPr>
          </w:p>
        </w:tc>
        <w:tc>
          <w:tcPr>
            <w:tcW w:w="690" w:type="dxa"/>
          </w:tcPr>
          <w:p>
            <w:pPr>
              <w:spacing w:line="360" w:lineRule="auto"/>
              <w:ind w:firstLine="420"/>
              <w:rPr>
                <w:rFonts w:asciiTheme="minorEastAsia" w:hAnsiTheme="minorEastAsia" w:eastAsiaTheme="minorEastAsia"/>
                <w:szCs w:val="21"/>
              </w:rPr>
            </w:pPr>
          </w:p>
        </w:tc>
        <w:tc>
          <w:tcPr>
            <w:tcW w:w="677" w:type="dxa"/>
          </w:tcPr>
          <w:p>
            <w:pPr>
              <w:spacing w:line="360" w:lineRule="auto"/>
              <w:ind w:firstLine="420"/>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658" w:type="dxa"/>
            <w:gridSpan w:val="3"/>
          </w:tcPr>
          <w:p>
            <w:pPr>
              <w:spacing w:line="360" w:lineRule="auto"/>
              <w:rPr>
                <w:rFonts w:asciiTheme="minorEastAsia" w:hAnsiTheme="minorEastAsia" w:eastAsiaTheme="minorEastAsia"/>
                <w:szCs w:val="21"/>
              </w:rPr>
            </w:pPr>
            <w:r>
              <w:rPr>
                <w:rFonts w:asciiTheme="minorEastAsia" w:hAnsiTheme="minorEastAsia" w:eastAsiaTheme="minorEastAsia"/>
                <w:szCs w:val="21"/>
              </w:rPr>
              <w:t>招标人编制的招标控制价</w:t>
            </w:r>
          </w:p>
        </w:tc>
        <w:tc>
          <w:tcPr>
            <w:tcW w:w="5619" w:type="dxa"/>
            <w:gridSpan w:val="6"/>
          </w:tcPr>
          <w:p>
            <w:pPr>
              <w:spacing w:line="360" w:lineRule="auto"/>
              <w:ind w:firstLine="420"/>
              <w:rPr>
                <w:rFonts w:asciiTheme="minorEastAsia" w:hAnsiTheme="minorEastAsia" w:eastAsiaTheme="minorEastAsia"/>
                <w:szCs w:val="21"/>
              </w:rPr>
            </w:pPr>
          </w:p>
        </w:tc>
      </w:tr>
    </w:tbl>
    <w:p>
      <w:pPr>
        <w:spacing w:line="360" w:lineRule="auto"/>
        <w:ind w:firstLine="420"/>
        <w:rPr>
          <w:rFonts w:asciiTheme="minorEastAsia" w:hAnsiTheme="minorEastAsia" w:eastAsiaTheme="minorEastAsia"/>
          <w:szCs w:val="21"/>
        </w:rPr>
      </w:pPr>
    </w:p>
    <w:p>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（二）开标过程中的其他事项记录</w:t>
      </w:r>
    </w:p>
    <w:p>
      <w:pPr>
        <w:spacing w:line="360" w:lineRule="auto"/>
        <w:ind w:firstLine="420"/>
        <w:rPr>
          <w:rFonts w:asciiTheme="minorEastAsia" w:hAnsiTheme="minorEastAsia" w:eastAsiaTheme="minorEastAsia"/>
          <w:szCs w:val="21"/>
          <w:u w:val="single"/>
        </w:rPr>
      </w:pPr>
    </w:p>
    <w:p>
      <w:pPr>
        <w:spacing w:line="360" w:lineRule="auto"/>
        <w:ind w:firstLine="420"/>
        <w:rPr>
          <w:rFonts w:asciiTheme="minorEastAsia" w:hAnsiTheme="minorEastAsia" w:eastAsiaTheme="minorEastAsia"/>
          <w:szCs w:val="21"/>
          <w:u w:val="single"/>
        </w:rPr>
      </w:pPr>
    </w:p>
    <w:p>
      <w:pPr>
        <w:spacing w:line="360" w:lineRule="auto"/>
        <w:ind w:firstLine="420"/>
        <w:rPr>
          <w:rFonts w:asciiTheme="minorEastAsia" w:hAnsiTheme="minorEastAsia" w:eastAsiaTheme="minorEastAsia"/>
          <w:szCs w:val="21"/>
        </w:rPr>
      </w:pPr>
      <w:bookmarkStart w:id="681" w:name="_Toc297800039"/>
      <w:bookmarkStart w:id="682" w:name="_Toc293403299"/>
      <w:bookmarkStart w:id="683" w:name="_Toc291496618"/>
      <w:bookmarkStart w:id="684" w:name="_Toc297670071"/>
      <w:r>
        <w:rPr>
          <w:rFonts w:asciiTheme="minorEastAsia" w:hAnsiTheme="minorEastAsia" w:eastAsiaTheme="minorEastAsia"/>
          <w:szCs w:val="21"/>
        </w:rPr>
        <w:t>（三）出席开标会的单位和人员（附签到表）</w:t>
      </w:r>
      <w:bookmarkEnd w:id="681"/>
      <w:bookmarkEnd w:id="682"/>
      <w:bookmarkEnd w:id="683"/>
      <w:bookmarkEnd w:id="684"/>
    </w:p>
    <w:p>
      <w:pPr>
        <w:spacing w:line="360" w:lineRule="auto"/>
        <w:ind w:firstLine="420"/>
        <w:rPr>
          <w:rFonts w:asciiTheme="minorEastAsia" w:hAnsiTheme="minorEastAsia" w:eastAsiaTheme="minorEastAsia"/>
          <w:szCs w:val="21"/>
        </w:rPr>
      </w:pPr>
    </w:p>
    <w:p>
      <w:pPr>
        <w:spacing w:line="360" w:lineRule="auto"/>
        <w:ind w:firstLine="420"/>
        <w:rPr>
          <w:rFonts w:asciiTheme="minorEastAsia" w:hAnsiTheme="minorEastAsia" w:eastAsiaTheme="minorEastAsia"/>
          <w:szCs w:val="21"/>
        </w:rPr>
      </w:pPr>
    </w:p>
    <w:p>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招标人代表： 记录人： 监标人：</w:t>
      </w:r>
    </w:p>
    <w:p>
      <w:pPr>
        <w:spacing w:line="360" w:lineRule="auto"/>
        <w:ind w:right="-58" w:firstLine="420"/>
        <w:jc w:val="right"/>
        <w:rPr>
          <w:rFonts w:asciiTheme="minorEastAsia" w:hAnsiTheme="minorEastAsia" w:eastAsiaTheme="minorEastAsia"/>
          <w:szCs w:val="21"/>
        </w:rPr>
      </w:pPr>
    </w:p>
    <w:p>
      <w:pPr>
        <w:spacing w:line="360" w:lineRule="auto"/>
        <w:ind w:right="-58" w:firstLine="420"/>
        <w:jc w:val="right"/>
        <w:rPr>
          <w:rFonts w:asciiTheme="minorEastAsia" w:hAnsiTheme="minorEastAsia" w:eastAsiaTheme="minorEastAsia"/>
          <w:szCs w:val="21"/>
        </w:rPr>
      </w:pPr>
    </w:p>
    <w:p>
      <w:pPr>
        <w:spacing w:line="360" w:lineRule="auto"/>
        <w:ind w:right="-58" w:firstLine="420"/>
        <w:jc w:val="right"/>
        <w:rPr>
          <w:rFonts w:asciiTheme="minorEastAsia" w:hAnsiTheme="minorEastAsia" w:eastAsiaTheme="minorEastAsia"/>
          <w:szCs w:val="21"/>
        </w:rPr>
      </w:pPr>
    </w:p>
    <w:p>
      <w:pPr>
        <w:spacing w:line="360" w:lineRule="auto"/>
        <w:ind w:right="-58" w:firstLine="420"/>
        <w:jc w:val="right"/>
        <w:rPr>
          <w:rFonts w:asciiTheme="minorEastAsia" w:hAnsiTheme="minorEastAsia" w:eastAsiaTheme="minorEastAsia"/>
          <w:szCs w:val="21"/>
          <w:u w:val="single"/>
        </w:rPr>
      </w:pPr>
      <w:r>
        <w:rPr>
          <w:rFonts w:asciiTheme="minorEastAsia" w:hAnsiTheme="minorEastAsia" w:eastAsiaTheme="minorEastAsia"/>
          <w:szCs w:val="21"/>
        </w:rPr>
        <w:t>年月日</w:t>
      </w:r>
    </w:p>
    <w:p>
      <w:pPr>
        <w:ind w:right="-58" w:firstLine="420"/>
        <w:jc w:val="right"/>
        <w:rPr>
          <w:szCs w:val="21"/>
        </w:rPr>
      </w:pPr>
      <w:r>
        <w:rPr>
          <w:u w:val="single"/>
        </w:rPr>
        <w:br w:type="page"/>
      </w:r>
    </w:p>
    <w:p>
      <w:pPr>
        <w:pStyle w:val="2"/>
      </w:pPr>
      <w:bookmarkStart w:id="685" w:name="_Toc152045582"/>
      <w:bookmarkStart w:id="686" w:name="_Toc3602"/>
      <w:bookmarkStart w:id="687" w:name="_Toc15334"/>
      <w:bookmarkStart w:id="688" w:name="_Toc152042359"/>
      <w:bookmarkStart w:id="689" w:name="_Toc498502996"/>
      <w:bookmarkStart w:id="690" w:name="_Toc144974549"/>
      <w:bookmarkStart w:id="691" w:name="_Toc290634343"/>
      <w:r>
        <w:rPr>
          <w:rFonts w:hint="eastAsia"/>
        </w:rPr>
        <w:t>附表二：问题澄清通知</w:t>
      </w:r>
      <w:bookmarkEnd w:id="685"/>
      <w:bookmarkEnd w:id="686"/>
      <w:bookmarkEnd w:id="687"/>
      <w:bookmarkEnd w:id="688"/>
      <w:bookmarkEnd w:id="689"/>
      <w:bookmarkEnd w:id="690"/>
      <w:bookmarkEnd w:id="691"/>
    </w:p>
    <w:p>
      <w:pPr>
        <w:spacing w:beforeLines="100" w:afterLines="100" w:line="360" w:lineRule="auto"/>
        <w:jc w:val="center"/>
        <w:rPr>
          <w:b/>
        </w:rPr>
      </w:pPr>
      <w:r>
        <w:rPr>
          <w:rFonts w:hAnsi="宋体"/>
          <w:b/>
        </w:rPr>
        <w:t>问题澄清通知</w:t>
      </w:r>
    </w:p>
    <w:p>
      <w:pPr>
        <w:spacing w:line="360" w:lineRule="auto"/>
        <w:ind w:firstLine="6818" w:firstLineChars="3247"/>
        <w:rPr>
          <w:szCs w:val="21"/>
          <w:u w:val="single"/>
        </w:rPr>
      </w:pPr>
      <w:r>
        <w:rPr>
          <w:rFonts w:hAnsi="宋体"/>
          <w:szCs w:val="21"/>
        </w:rPr>
        <w:t>编号：</w:t>
      </w:r>
    </w:p>
    <w:p>
      <w:pPr>
        <w:spacing w:line="360" w:lineRule="auto"/>
        <w:ind w:firstLine="420"/>
        <w:rPr>
          <w:szCs w:val="21"/>
        </w:rPr>
      </w:pPr>
      <w:r>
        <w:rPr>
          <w:rFonts w:hAnsi="宋体"/>
          <w:szCs w:val="21"/>
        </w:rPr>
        <w:t>（投标人名称）：</w:t>
      </w:r>
    </w:p>
    <w:p>
      <w:pPr>
        <w:spacing w:line="360" w:lineRule="auto"/>
        <w:ind w:firstLine="420"/>
        <w:rPr>
          <w:szCs w:val="21"/>
        </w:rPr>
      </w:pPr>
      <w:r>
        <w:rPr>
          <w:rFonts w:hAnsi="宋体"/>
          <w:szCs w:val="21"/>
        </w:rPr>
        <w:t>（项目名称）招标的评标委员会，对你方的投标文件进行了仔细的审查，现需你方对本通知所附质疑问卷中的问题以书面形式予以澄清、说明或者补正。</w:t>
      </w:r>
    </w:p>
    <w:p>
      <w:pPr>
        <w:spacing w:line="360" w:lineRule="auto"/>
        <w:ind w:firstLine="420"/>
        <w:rPr>
          <w:szCs w:val="21"/>
        </w:rPr>
      </w:pPr>
      <w:r>
        <w:rPr>
          <w:rFonts w:hAnsi="宋体"/>
          <w:szCs w:val="21"/>
        </w:rPr>
        <w:t>请将上述问题的澄清、说明或者补正于年月日时前密封递交至（详细地址）或传真至（传真号码）。采用传真方式的，应在年月日时前将原件递交至</w:t>
      </w:r>
      <w:r>
        <w:rPr>
          <w:rFonts w:hAnsi="宋体"/>
          <w:szCs w:val="21"/>
          <w:u w:val="single"/>
        </w:rPr>
        <w:t>（详细地址）</w:t>
      </w:r>
      <w:r>
        <w:rPr>
          <w:rFonts w:hAnsi="宋体"/>
          <w:szCs w:val="21"/>
        </w:rPr>
        <w:t>。</w:t>
      </w:r>
    </w:p>
    <w:p>
      <w:pPr>
        <w:spacing w:line="360" w:lineRule="auto"/>
        <w:ind w:firstLine="420"/>
        <w:rPr>
          <w:szCs w:val="21"/>
        </w:rPr>
      </w:pPr>
    </w:p>
    <w:p>
      <w:pPr>
        <w:spacing w:line="360" w:lineRule="auto"/>
        <w:ind w:firstLine="420"/>
        <w:rPr>
          <w:szCs w:val="21"/>
        </w:rPr>
      </w:pPr>
      <w:r>
        <w:rPr>
          <w:rFonts w:hAnsi="宋体"/>
          <w:szCs w:val="21"/>
        </w:rPr>
        <w:t>附件：质疑问卷</w:t>
      </w:r>
    </w:p>
    <w:p>
      <w:pPr>
        <w:spacing w:beforeLines="100" w:afterLines="100" w:line="360" w:lineRule="auto"/>
        <w:ind w:firstLine="420"/>
        <w:jc w:val="right"/>
        <w:rPr>
          <w:szCs w:val="21"/>
          <w:u w:val="single"/>
        </w:rPr>
      </w:pPr>
    </w:p>
    <w:p>
      <w:pPr>
        <w:spacing w:beforeLines="100" w:afterLines="100" w:line="360" w:lineRule="auto"/>
        <w:ind w:firstLine="420"/>
        <w:jc w:val="right"/>
        <w:rPr>
          <w:szCs w:val="21"/>
        </w:rPr>
      </w:pPr>
      <w:r>
        <w:rPr>
          <w:rFonts w:hAnsi="宋体"/>
          <w:szCs w:val="21"/>
        </w:rPr>
        <w:t>（项目名称）标段招标评标委员会</w:t>
      </w:r>
    </w:p>
    <w:p>
      <w:pPr>
        <w:spacing w:line="360" w:lineRule="auto"/>
        <w:ind w:firstLine="2125" w:firstLineChars="1012"/>
        <w:rPr>
          <w:szCs w:val="21"/>
        </w:rPr>
      </w:pPr>
      <w:r>
        <w:rPr>
          <w:rFonts w:hAnsi="宋体"/>
          <w:szCs w:val="21"/>
        </w:rPr>
        <w:t>（经评标委员会授权的招标人代表签字或招标人加盖单位章）</w:t>
      </w:r>
    </w:p>
    <w:p>
      <w:pPr>
        <w:spacing w:line="360" w:lineRule="auto"/>
        <w:ind w:firstLine="4620" w:firstLineChars="2200"/>
        <w:rPr>
          <w:rFonts w:ascii="宋体" w:hAnsi="宋体"/>
          <w:szCs w:val="21"/>
        </w:rPr>
      </w:pPr>
      <w:r>
        <w:rPr>
          <w:rFonts w:hAnsi="宋体"/>
          <w:szCs w:val="21"/>
        </w:rPr>
        <w:t>年月日</w:t>
      </w:r>
    </w:p>
    <w:p>
      <w:pPr>
        <w:spacing w:line="400" w:lineRule="exact"/>
      </w:pPr>
    </w:p>
    <w:p>
      <w:pPr>
        <w:spacing w:line="400" w:lineRule="exact"/>
        <w:rPr>
          <w:szCs w:val="21"/>
        </w:rPr>
      </w:pPr>
      <w:r>
        <w:rPr>
          <w:szCs w:val="21"/>
        </w:rPr>
        <w:br w:type="page"/>
      </w:r>
    </w:p>
    <w:p>
      <w:pPr>
        <w:pStyle w:val="2"/>
      </w:pPr>
      <w:bookmarkStart w:id="692" w:name="_Toc152045583"/>
      <w:bookmarkStart w:id="693" w:name="_Toc290634344"/>
      <w:bookmarkStart w:id="694" w:name="_Toc152042360"/>
      <w:bookmarkStart w:id="695" w:name="_Toc6766"/>
      <w:bookmarkStart w:id="696" w:name="_Toc21152"/>
      <w:bookmarkStart w:id="697" w:name="_Toc144974550"/>
      <w:bookmarkStart w:id="698" w:name="_Toc498502997"/>
      <w:r>
        <w:rPr>
          <w:rFonts w:hint="eastAsia"/>
        </w:rPr>
        <w:t>附表三：问题的澄清</w:t>
      </w:r>
      <w:bookmarkEnd w:id="692"/>
      <w:bookmarkEnd w:id="693"/>
      <w:bookmarkEnd w:id="694"/>
      <w:bookmarkEnd w:id="695"/>
      <w:bookmarkEnd w:id="696"/>
      <w:bookmarkEnd w:id="697"/>
      <w:bookmarkEnd w:id="698"/>
    </w:p>
    <w:p>
      <w:pPr>
        <w:spacing w:beforeLines="100" w:afterLines="100"/>
        <w:jc w:val="center"/>
        <w:rPr>
          <w:rFonts w:ascii="宋体" w:hAnsi="宋体"/>
          <w:b/>
        </w:rPr>
      </w:pPr>
      <w:r>
        <w:rPr>
          <w:rFonts w:hint="eastAsia" w:ascii="宋体" w:hAnsi="宋体"/>
          <w:b/>
        </w:rPr>
        <w:t>问题的澄清、说明或补正</w:t>
      </w:r>
    </w:p>
    <w:p>
      <w:pPr>
        <w:spacing w:line="360" w:lineRule="auto"/>
        <w:ind w:firstLine="5880" w:firstLineChars="2800"/>
        <w:jc w:val="left"/>
        <w:rPr>
          <w:rFonts w:ascii="宋体" w:hAnsi="宋体"/>
          <w:szCs w:val="21"/>
          <w:u w:val="single"/>
        </w:rPr>
      </w:pPr>
      <w:r>
        <w:rPr>
          <w:rFonts w:hint="eastAsia" w:ascii="宋体" w:hAnsi="宋体"/>
          <w:szCs w:val="21"/>
        </w:rPr>
        <w:t>编号：</w:t>
      </w:r>
    </w:p>
    <w:p>
      <w:pPr>
        <w:spacing w:line="360" w:lineRule="auto"/>
        <w:ind w:firstLine="420"/>
        <w:rPr>
          <w:rFonts w:ascii="宋体" w:hAnsi="宋体"/>
          <w:szCs w:val="21"/>
        </w:rPr>
      </w:pPr>
      <w:r>
        <w:rPr>
          <w:rFonts w:hint="eastAsia" w:ascii="宋体" w:hAnsi="宋体"/>
          <w:szCs w:val="21"/>
        </w:rPr>
        <w:t>（项目名称）招标评标委员会：</w:t>
      </w:r>
    </w:p>
    <w:p>
      <w:pPr>
        <w:spacing w:line="360" w:lineRule="auto"/>
        <w:ind w:firstLine="420"/>
        <w:rPr>
          <w:rFonts w:ascii="宋体" w:hAnsi="宋体"/>
          <w:szCs w:val="21"/>
        </w:rPr>
      </w:pPr>
      <w:r>
        <w:rPr>
          <w:rFonts w:hint="eastAsia" w:ascii="宋体" w:hAnsi="宋体"/>
          <w:szCs w:val="21"/>
        </w:rPr>
        <w:t>问题澄清通知（编号：）已收悉，现澄清、说明或者补正如下：</w:t>
      </w:r>
    </w:p>
    <w:p>
      <w:pPr>
        <w:spacing w:line="360" w:lineRule="auto"/>
        <w:ind w:firstLine="420"/>
        <w:rPr>
          <w:rFonts w:ascii="宋体" w:hAnsi="宋体"/>
          <w:szCs w:val="21"/>
        </w:rPr>
      </w:pPr>
      <w:r>
        <w:rPr>
          <w:rFonts w:ascii="宋体" w:hAnsi="宋体"/>
          <w:szCs w:val="21"/>
        </w:rPr>
        <w:t>1.</w:t>
      </w:r>
    </w:p>
    <w:p>
      <w:pPr>
        <w:spacing w:line="360" w:lineRule="auto"/>
        <w:ind w:firstLine="420"/>
        <w:rPr>
          <w:rFonts w:ascii="宋体" w:hAnsi="宋体"/>
          <w:szCs w:val="21"/>
        </w:rPr>
      </w:pPr>
      <w:r>
        <w:rPr>
          <w:rFonts w:ascii="宋体" w:hAnsi="宋体"/>
          <w:szCs w:val="21"/>
        </w:rPr>
        <w:t>2.</w:t>
      </w:r>
    </w:p>
    <w:p>
      <w:pPr>
        <w:spacing w:line="360" w:lineRule="auto"/>
        <w:ind w:firstLine="420"/>
        <w:rPr>
          <w:rFonts w:ascii="宋体" w:hAnsi="宋体"/>
          <w:szCs w:val="21"/>
        </w:rPr>
      </w:pPr>
    </w:p>
    <w:p>
      <w:pPr>
        <w:spacing w:line="360" w:lineRule="auto"/>
        <w:ind w:firstLine="420"/>
        <w:rPr>
          <w:rFonts w:ascii="宋体" w:hAnsi="宋体"/>
          <w:szCs w:val="21"/>
        </w:rPr>
      </w:pPr>
      <w:r>
        <w:rPr>
          <w:rFonts w:ascii="宋体" w:hAnsi="宋体"/>
          <w:szCs w:val="21"/>
        </w:rPr>
        <w:t>……</w:t>
      </w:r>
    </w:p>
    <w:p>
      <w:pPr>
        <w:spacing w:line="360" w:lineRule="auto"/>
        <w:ind w:firstLine="420"/>
        <w:rPr>
          <w:rFonts w:ascii="宋体" w:hAnsi="宋体"/>
          <w:szCs w:val="21"/>
        </w:rPr>
      </w:pPr>
    </w:p>
    <w:p>
      <w:pPr>
        <w:spacing w:line="360" w:lineRule="auto"/>
        <w:ind w:firstLine="420"/>
        <w:rPr>
          <w:szCs w:val="21"/>
        </w:rPr>
      </w:pPr>
    </w:p>
    <w:p>
      <w:pPr>
        <w:spacing w:line="360" w:lineRule="auto"/>
        <w:ind w:firstLine="420"/>
        <w:rPr>
          <w:szCs w:val="21"/>
        </w:rPr>
      </w:pPr>
    </w:p>
    <w:p>
      <w:pPr>
        <w:spacing w:line="360" w:lineRule="auto"/>
        <w:ind w:firstLine="420"/>
        <w:rPr>
          <w:szCs w:val="21"/>
        </w:rPr>
      </w:pPr>
    </w:p>
    <w:p>
      <w:pPr>
        <w:spacing w:line="360" w:lineRule="auto"/>
        <w:ind w:firstLine="420"/>
        <w:rPr>
          <w:szCs w:val="21"/>
        </w:rPr>
      </w:pPr>
    </w:p>
    <w:p>
      <w:pPr>
        <w:spacing w:line="360" w:lineRule="auto"/>
        <w:ind w:firstLine="420"/>
        <w:rPr>
          <w:szCs w:val="21"/>
        </w:rPr>
      </w:pPr>
    </w:p>
    <w:p>
      <w:pPr>
        <w:spacing w:line="360" w:lineRule="auto"/>
        <w:ind w:firstLine="420"/>
        <w:jc w:val="right"/>
        <w:rPr>
          <w:rFonts w:ascii="宋体" w:hAnsi="宋体"/>
          <w:szCs w:val="21"/>
        </w:rPr>
      </w:pPr>
      <w:r>
        <w:rPr>
          <w:rFonts w:hint="eastAsia" w:ascii="宋体" w:hAnsi="宋体"/>
          <w:szCs w:val="21"/>
        </w:rPr>
        <w:t>投标人：（盖单位章）</w:t>
      </w:r>
    </w:p>
    <w:p>
      <w:pPr>
        <w:spacing w:beforeLines="50" w:afterLines="50" w:line="360" w:lineRule="auto"/>
        <w:ind w:right="210" w:firstLine="420"/>
        <w:jc w:val="right"/>
        <w:rPr>
          <w:rFonts w:ascii="宋体" w:hAnsi="宋体"/>
          <w:szCs w:val="21"/>
        </w:rPr>
      </w:pPr>
      <w:r>
        <w:rPr>
          <w:rFonts w:hint="eastAsia" w:ascii="宋体" w:hAnsi="宋体"/>
          <w:szCs w:val="21"/>
        </w:rPr>
        <w:t>法定代表人或其委托代理人：（签字）</w:t>
      </w:r>
    </w:p>
    <w:p>
      <w:pPr>
        <w:pStyle w:val="9"/>
        <w:spacing w:line="360" w:lineRule="auto"/>
        <w:jc w:val="right"/>
      </w:pPr>
      <w:r>
        <w:rPr>
          <w:rFonts w:hint="eastAsia" w:ascii="宋体" w:hAnsi="宋体"/>
          <w:szCs w:val="21"/>
        </w:rPr>
        <w:t>年月日</w:t>
      </w:r>
      <w:r>
        <w:rPr>
          <w:rFonts w:hint="eastAsia" w:ascii="宋体" w:hAnsi="宋体"/>
          <w:szCs w:val="21"/>
        </w:rPr>
        <w:br w:type="page"/>
      </w:r>
    </w:p>
    <w:p>
      <w:pPr>
        <w:pStyle w:val="2"/>
      </w:pPr>
      <w:bookmarkStart w:id="699" w:name="_Toc16151"/>
      <w:bookmarkStart w:id="700" w:name="_Toc152045584"/>
      <w:bookmarkStart w:id="701" w:name="_Toc152042361"/>
      <w:bookmarkStart w:id="702" w:name="_Toc144974551"/>
      <w:bookmarkStart w:id="703" w:name="_Toc289002866"/>
      <w:bookmarkStart w:id="704" w:name="_Toc3104"/>
      <w:bookmarkStart w:id="705" w:name="_Toc290634345"/>
      <w:bookmarkStart w:id="706" w:name="_Toc498502998"/>
      <w:r>
        <w:rPr>
          <w:rFonts w:hint="eastAsia"/>
        </w:rPr>
        <w:t>附表四：中标通知书</w:t>
      </w:r>
      <w:bookmarkEnd w:id="699"/>
      <w:bookmarkEnd w:id="700"/>
      <w:bookmarkEnd w:id="701"/>
      <w:bookmarkEnd w:id="702"/>
      <w:bookmarkEnd w:id="703"/>
      <w:bookmarkEnd w:id="704"/>
      <w:bookmarkEnd w:id="705"/>
      <w:bookmarkEnd w:id="706"/>
    </w:p>
    <w:p>
      <w:pPr>
        <w:spacing w:line="400" w:lineRule="exact"/>
      </w:pPr>
    </w:p>
    <w:p>
      <w:pPr>
        <w:spacing w:line="1060" w:lineRule="exact"/>
        <w:ind w:firstLine="1440"/>
        <w:jc w:val="center"/>
        <w:rPr>
          <w:rFonts w:ascii="宋体" w:hAnsi="宋体"/>
          <w:sz w:val="72"/>
          <w:szCs w:val="72"/>
        </w:rPr>
      </w:pPr>
    </w:p>
    <w:p>
      <w:pPr>
        <w:jc w:val="center"/>
        <w:rPr>
          <w:rFonts w:ascii="方正小标宋简体" w:eastAsia="方正小标宋简体"/>
          <w:spacing w:val="60"/>
          <w:w w:val="90"/>
          <w:sz w:val="52"/>
          <w:szCs w:val="52"/>
        </w:rPr>
      </w:pPr>
      <w:r>
        <w:rPr>
          <w:rFonts w:hint="eastAsia" w:ascii="方正小标宋简体" w:eastAsia="方正小标宋简体"/>
          <w:spacing w:val="60"/>
          <w:w w:val="90"/>
          <w:sz w:val="52"/>
          <w:szCs w:val="52"/>
        </w:rPr>
        <w:t>河南省房屋建筑和市政工程项目</w:t>
      </w:r>
    </w:p>
    <w:p>
      <w:pPr>
        <w:rPr>
          <w:rFonts w:ascii="方正小标宋简体" w:eastAsia="方正小标宋简体"/>
          <w:spacing w:val="20"/>
          <w:sz w:val="72"/>
          <w:szCs w:val="72"/>
        </w:rPr>
      </w:pPr>
    </w:p>
    <w:p>
      <w:pPr>
        <w:jc w:val="center"/>
        <w:rPr>
          <w:rFonts w:ascii="方正小标宋简体" w:eastAsia="方正小标宋简体"/>
          <w:spacing w:val="20"/>
          <w:sz w:val="72"/>
          <w:szCs w:val="72"/>
        </w:rPr>
      </w:pPr>
      <w:r>
        <w:rPr>
          <w:rFonts w:hint="eastAsia" w:ascii="方正小标宋简体" w:eastAsia="方正小标宋简体"/>
          <w:spacing w:val="20"/>
          <w:sz w:val="72"/>
          <w:szCs w:val="72"/>
        </w:rPr>
        <w:t>中</w:t>
      </w:r>
    </w:p>
    <w:p>
      <w:pPr>
        <w:jc w:val="center"/>
        <w:rPr>
          <w:rFonts w:ascii="方正小标宋简体" w:eastAsia="方正小标宋简体"/>
          <w:spacing w:val="20"/>
          <w:sz w:val="72"/>
          <w:szCs w:val="72"/>
        </w:rPr>
      </w:pPr>
      <w:r>
        <w:rPr>
          <w:rFonts w:hint="eastAsia" w:ascii="方正小标宋简体" w:eastAsia="方正小标宋简体"/>
          <w:spacing w:val="20"/>
          <w:sz w:val="72"/>
          <w:szCs w:val="72"/>
        </w:rPr>
        <w:t>标</w:t>
      </w:r>
    </w:p>
    <w:p>
      <w:pPr>
        <w:jc w:val="center"/>
        <w:rPr>
          <w:rFonts w:ascii="方正小标宋简体" w:eastAsia="方正小标宋简体"/>
          <w:spacing w:val="20"/>
          <w:sz w:val="72"/>
          <w:szCs w:val="72"/>
        </w:rPr>
      </w:pPr>
      <w:r>
        <w:rPr>
          <w:rFonts w:hint="eastAsia" w:ascii="方正小标宋简体" w:eastAsia="方正小标宋简体"/>
          <w:spacing w:val="20"/>
          <w:sz w:val="72"/>
          <w:szCs w:val="72"/>
        </w:rPr>
        <w:t>通</w:t>
      </w:r>
    </w:p>
    <w:p>
      <w:pPr>
        <w:jc w:val="center"/>
        <w:rPr>
          <w:rFonts w:ascii="方正小标宋简体" w:eastAsia="方正小标宋简体"/>
          <w:spacing w:val="20"/>
          <w:sz w:val="72"/>
          <w:szCs w:val="72"/>
        </w:rPr>
      </w:pPr>
      <w:r>
        <w:rPr>
          <w:rFonts w:hint="eastAsia" w:ascii="方正小标宋简体" w:eastAsia="方正小标宋简体"/>
          <w:spacing w:val="20"/>
          <w:sz w:val="72"/>
          <w:szCs w:val="72"/>
        </w:rPr>
        <w:t>知</w:t>
      </w:r>
    </w:p>
    <w:p>
      <w:pPr>
        <w:jc w:val="center"/>
        <w:rPr>
          <w:rFonts w:ascii="方正小标宋简体" w:eastAsia="方正小标宋简体"/>
          <w:spacing w:val="20"/>
          <w:sz w:val="72"/>
          <w:szCs w:val="72"/>
        </w:rPr>
      </w:pPr>
      <w:r>
        <w:rPr>
          <w:rFonts w:hint="eastAsia" w:ascii="方正小标宋简体" w:eastAsia="方正小标宋简体"/>
          <w:spacing w:val="20"/>
          <w:sz w:val="72"/>
          <w:szCs w:val="72"/>
        </w:rPr>
        <w:t>书</w:t>
      </w:r>
    </w:p>
    <w:p>
      <w:pPr>
        <w:jc w:val="center"/>
        <w:rPr>
          <w:rFonts w:ascii="宋体" w:hAnsi="宋体"/>
          <w:sz w:val="28"/>
          <w:szCs w:val="28"/>
        </w:rPr>
      </w:pPr>
      <w:r>
        <w:rPr>
          <w:rFonts w:hint="eastAsia" w:ascii="方正小标宋简体" w:eastAsia="方正小标宋简体"/>
          <w:spacing w:val="20"/>
          <w:sz w:val="36"/>
          <w:szCs w:val="36"/>
        </w:rPr>
        <w:t>河南省住房和城乡建设厅制</w:t>
      </w:r>
    </w:p>
    <w:p>
      <w:pPr>
        <w:rPr>
          <w:rFonts w:ascii="宋体" w:hAnsi="宋体"/>
        </w:rPr>
      </w:pPr>
    </w:p>
    <w:p>
      <w:pPr>
        <w:spacing w:line="400" w:lineRule="exact"/>
        <w:ind w:firstLine="6008" w:firstLineChars="2850"/>
        <w:rPr>
          <w:b/>
        </w:rPr>
      </w:pPr>
      <w:r>
        <w:rPr>
          <w:b/>
        </w:rPr>
        <w:br w:type="page"/>
      </w:r>
    </w:p>
    <w:p>
      <w:pPr>
        <w:spacing w:line="360" w:lineRule="auto"/>
        <w:rPr>
          <w:rFonts w:ascii="宋体" w:hAnsi="宋体" w:cs="宋体"/>
          <w:b/>
          <w:bCs/>
          <w:spacing w:val="2"/>
          <w:szCs w:val="21"/>
          <w:u w:val="single"/>
        </w:rPr>
      </w:pPr>
      <w:r>
        <w:rPr>
          <w:rFonts w:hint="eastAsia" w:ascii="宋体" w:hAnsi="宋体" w:cs="宋体"/>
          <w:b/>
          <w:bCs/>
          <w:spacing w:val="2"/>
          <w:szCs w:val="21"/>
        </w:rPr>
        <w:t>中标人：</w:t>
      </w:r>
    </w:p>
    <w:p/>
    <w:p/>
    <w:p>
      <w:pPr>
        <w:spacing w:line="360" w:lineRule="auto"/>
        <w:ind w:firstLine="750" w:firstLineChars="300"/>
        <w:rPr>
          <w:rFonts w:ascii="宋体" w:hAnsi="宋体" w:cs="宋体"/>
          <w:spacing w:val="20"/>
          <w:szCs w:val="21"/>
          <w:u w:val="single"/>
        </w:rPr>
      </w:pPr>
      <w:r>
        <w:rPr>
          <w:rFonts w:hint="eastAsia" w:ascii="宋体" w:hAnsi="宋体" w:cs="宋体"/>
          <w:spacing w:val="20"/>
          <w:szCs w:val="21"/>
        </w:rPr>
        <w:t>根据招标文件和你公司于年月日提交的投标文件，经评标委员会按照《中华人民共和国招标投标法》和招标文件确定的评标标准和方法，已完成评审和中标公示，确定你公司中标。请收到本通知书后</w:t>
      </w:r>
      <w:r>
        <w:rPr>
          <w:rFonts w:hint="eastAsia" w:ascii="宋体" w:hAnsi="宋体" w:cs="宋体"/>
          <w:spacing w:val="20"/>
          <w:szCs w:val="21"/>
          <w:u w:val="single"/>
        </w:rPr>
        <w:t>30</w:t>
      </w:r>
      <w:r>
        <w:rPr>
          <w:rFonts w:hint="eastAsia" w:ascii="宋体" w:hAnsi="宋体" w:cs="宋体"/>
          <w:spacing w:val="20"/>
          <w:szCs w:val="21"/>
        </w:rPr>
        <w:t>天内，到我单位签订建设工程总承包</w:t>
      </w:r>
      <w:r>
        <w:rPr>
          <w:rFonts w:hint="eastAsia" w:ascii="宋体" w:hAnsi="宋体" w:cs="宋体"/>
          <w:spacing w:val="20"/>
          <w:szCs w:val="21"/>
          <w:u w:val="single"/>
        </w:rPr>
        <w:t>书面</w:t>
      </w:r>
      <w:r>
        <w:rPr>
          <w:rFonts w:hint="eastAsia" w:ascii="宋体" w:hAnsi="宋体" w:cs="宋体"/>
          <w:spacing w:val="20"/>
          <w:szCs w:val="21"/>
        </w:rPr>
        <w:t>合同。</w:t>
      </w:r>
    </w:p>
    <w:p>
      <w:pPr>
        <w:spacing w:line="360" w:lineRule="auto"/>
        <w:rPr>
          <w:rFonts w:ascii="宋体" w:hAnsi="宋体" w:cs="宋体"/>
          <w:spacing w:val="20"/>
          <w:szCs w:val="21"/>
        </w:rPr>
      </w:pPr>
    </w:p>
    <w:p>
      <w:pPr>
        <w:spacing w:line="360" w:lineRule="auto"/>
        <w:ind w:right="428" w:rightChars="204" w:firstLine="420" w:firstLineChars="200"/>
        <w:jc w:val="right"/>
        <w:rPr>
          <w:rFonts w:ascii="宋体" w:hAnsi="宋体" w:cs="宋体"/>
          <w:spacing w:val="20"/>
          <w:szCs w:val="21"/>
        </w:rPr>
      </w:pPr>
      <w:r>
        <w:rPr>
          <w:rFonts w:hint="eastAsia" w:ascii="宋体" w:hAnsi="宋体" w:cs="宋体"/>
          <w:szCs w:val="21"/>
        </w:rPr>
        <w:t>招标人：</w:t>
      </w:r>
      <w:r>
        <w:rPr>
          <w:rFonts w:hint="eastAsia" w:ascii="宋体" w:hAnsi="宋体" w:cs="宋体"/>
          <w:spacing w:val="20"/>
          <w:szCs w:val="21"/>
        </w:rPr>
        <w:t>（盖章）</w:t>
      </w:r>
    </w:p>
    <w:p>
      <w:pPr>
        <w:spacing w:line="360" w:lineRule="auto"/>
        <w:ind w:right="428" w:rightChars="204" w:firstLine="420" w:firstLineChars="200"/>
        <w:jc w:val="center"/>
        <w:rPr>
          <w:rFonts w:ascii="宋体" w:hAnsi="宋体" w:cs="宋体"/>
          <w:spacing w:val="20"/>
          <w:szCs w:val="21"/>
        </w:rPr>
      </w:pPr>
      <w:r>
        <w:rPr>
          <w:rFonts w:hint="eastAsia" w:ascii="宋体" w:hAnsi="宋体" w:cs="宋体"/>
          <w:szCs w:val="21"/>
        </w:rPr>
        <w:t xml:space="preserve"> 法定代表人：</w:t>
      </w:r>
      <w:r>
        <w:rPr>
          <w:rFonts w:hint="eastAsia" w:ascii="宋体" w:hAnsi="宋体" w:cs="宋体"/>
          <w:spacing w:val="20"/>
          <w:szCs w:val="21"/>
        </w:rPr>
        <w:t>（盖章）</w:t>
      </w:r>
    </w:p>
    <w:p>
      <w:pPr>
        <w:spacing w:line="360" w:lineRule="auto"/>
        <w:ind w:firstLine="500" w:firstLineChars="200"/>
        <w:jc w:val="right"/>
        <w:rPr>
          <w:rFonts w:ascii="宋体" w:hAnsi="宋体" w:cs="宋体"/>
          <w:spacing w:val="20"/>
          <w:szCs w:val="21"/>
        </w:rPr>
      </w:pPr>
    </w:p>
    <w:p>
      <w:pPr>
        <w:spacing w:line="360" w:lineRule="auto"/>
        <w:ind w:right="428" w:rightChars="204" w:firstLine="2000" w:firstLineChars="800"/>
        <w:jc w:val="right"/>
        <w:rPr>
          <w:rFonts w:ascii="宋体" w:hAnsi="宋体" w:cs="宋体"/>
          <w:spacing w:val="20"/>
          <w:szCs w:val="21"/>
        </w:rPr>
      </w:pPr>
      <w:r>
        <w:rPr>
          <w:rFonts w:hint="eastAsia" w:ascii="宋体" w:hAnsi="宋体" w:cs="宋体"/>
          <w:spacing w:val="20"/>
          <w:szCs w:val="21"/>
        </w:rPr>
        <w:t>年月日</w:t>
      </w:r>
    </w:p>
    <w:p/>
    <w:p/>
    <w:p/>
    <w:p/>
    <w:p/>
    <w:p/>
    <w:p/>
    <w:p/>
    <w:p/>
    <w:p/>
    <w:p/>
    <w:p/>
    <w:p/>
    <w:p/>
    <w:p/>
    <w:p/>
    <w:p/>
    <w:p/>
    <w:p/>
    <w:p>
      <w:pPr>
        <w:pStyle w:val="9"/>
      </w:pPr>
    </w:p>
    <w:p>
      <w:pPr>
        <w:pStyle w:val="9"/>
      </w:pPr>
    </w:p>
    <w:p>
      <w:pPr>
        <w:pStyle w:val="9"/>
      </w:pPr>
    </w:p>
    <w:p>
      <w:pPr>
        <w:pStyle w:val="9"/>
      </w:pPr>
    </w:p>
    <w:p>
      <w:pPr>
        <w:pStyle w:val="9"/>
      </w:pPr>
    </w:p>
    <w:p>
      <w:pPr>
        <w:jc w:val="center"/>
        <w:rPr>
          <w:rFonts w:ascii="宋体" w:hAnsi="宋体"/>
          <w:spacing w:val="20"/>
          <w:sz w:val="18"/>
          <w:szCs w:val="18"/>
        </w:rPr>
      </w:pPr>
      <w:r>
        <w:rPr>
          <w:rFonts w:hint="eastAsia" w:ascii="黑体" w:hAnsi="宋体" w:eastAsia="黑体"/>
          <w:spacing w:val="20"/>
          <w:sz w:val="48"/>
          <w:szCs w:val="48"/>
        </w:rPr>
        <w:t>中标内容及条件</w:t>
      </w:r>
    </w:p>
    <w:tbl>
      <w:tblPr>
        <w:tblStyle w:val="28"/>
        <w:tblW w:w="8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3606"/>
        <w:gridCol w:w="875"/>
        <w:gridCol w:w="488"/>
        <w:gridCol w:w="149"/>
        <w:gridCol w:w="376"/>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1875" w:type="dxa"/>
            <w:vAlign w:val="center"/>
          </w:tcPr>
          <w:p>
            <w:pPr>
              <w:jc w:val="center"/>
              <w:rPr>
                <w:spacing w:val="10"/>
                <w:sz w:val="24"/>
              </w:rPr>
            </w:pPr>
            <w:r>
              <w:rPr>
                <w:rFonts w:hint="eastAsia"/>
                <w:spacing w:val="10"/>
                <w:sz w:val="24"/>
              </w:rPr>
              <w:t>工程名称</w:t>
            </w:r>
          </w:p>
        </w:tc>
        <w:tc>
          <w:tcPr>
            <w:tcW w:w="4481" w:type="dxa"/>
            <w:gridSpan w:val="2"/>
            <w:vAlign w:val="center"/>
          </w:tcPr>
          <w:p>
            <w:pPr>
              <w:rPr>
                <w:rFonts w:ascii="宋体" w:hAnsi="宋体"/>
                <w:spacing w:val="20"/>
                <w:sz w:val="24"/>
              </w:rPr>
            </w:pPr>
          </w:p>
        </w:tc>
        <w:tc>
          <w:tcPr>
            <w:tcW w:w="1013" w:type="dxa"/>
            <w:gridSpan w:val="3"/>
            <w:vAlign w:val="center"/>
          </w:tcPr>
          <w:p>
            <w:pPr>
              <w:jc w:val="center"/>
              <w:rPr>
                <w:rFonts w:ascii="宋体" w:hAnsi="宋体"/>
                <w:spacing w:val="-10"/>
                <w:sz w:val="24"/>
              </w:rPr>
            </w:pPr>
            <w:r>
              <w:rPr>
                <w:rFonts w:hint="eastAsia" w:ascii="宋体" w:hAnsi="宋体"/>
                <w:spacing w:val="-10"/>
                <w:sz w:val="24"/>
              </w:rPr>
              <w:t>标段</w:t>
            </w:r>
          </w:p>
        </w:tc>
        <w:tc>
          <w:tcPr>
            <w:tcW w:w="1516" w:type="dxa"/>
            <w:vAlign w:val="center"/>
          </w:tcPr>
          <w:p>
            <w:pPr>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1875" w:type="dxa"/>
            <w:vAlign w:val="center"/>
          </w:tcPr>
          <w:p>
            <w:pPr>
              <w:jc w:val="center"/>
              <w:rPr>
                <w:rFonts w:ascii="宋体" w:hAnsi="宋体"/>
                <w:spacing w:val="10"/>
                <w:sz w:val="24"/>
              </w:rPr>
            </w:pPr>
            <w:r>
              <w:rPr>
                <w:rFonts w:hint="eastAsia" w:ascii="宋体" w:hAnsi="宋体"/>
                <w:spacing w:val="10"/>
                <w:sz w:val="24"/>
              </w:rPr>
              <w:t>中标内容</w:t>
            </w:r>
          </w:p>
        </w:tc>
        <w:tc>
          <w:tcPr>
            <w:tcW w:w="7010" w:type="dxa"/>
            <w:gridSpan w:val="6"/>
            <w:vAlign w:val="center"/>
          </w:tcPr>
          <w:p>
            <w:pPr>
              <w:jc w:val="left"/>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1875" w:type="dxa"/>
            <w:vAlign w:val="center"/>
          </w:tcPr>
          <w:p>
            <w:pPr>
              <w:jc w:val="center"/>
              <w:rPr>
                <w:rFonts w:ascii="宋体" w:hAnsi="宋体"/>
                <w:spacing w:val="10"/>
                <w:sz w:val="24"/>
              </w:rPr>
            </w:pPr>
            <w:r>
              <w:rPr>
                <w:rFonts w:hint="eastAsia" w:ascii="宋体" w:hAnsi="宋体"/>
                <w:spacing w:val="10"/>
                <w:sz w:val="24"/>
              </w:rPr>
              <w:t>工程规模</w:t>
            </w:r>
          </w:p>
        </w:tc>
        <w:tc>
          <w:tcPr>
            <w:tcW w:w="3606" w:type="dxa"/>
            <w:vAlign w:val="center"/>
          </w:tcPr>
          <w:p>
            <w:pPr>
              <w:jc w:val="left"/>
              <w:rPr>
                <w:spacing w:val="-10"/>
                <w:sz w:val="24"/>
              </w:rPr>
            </w:pPr>
          </w:p>
        </w:tc>
        <w:tc>
          <w:tcPr>
            <w:tcW w:w="1363" w:type="dxa"/>
            <w:gridSpan w:val="2"/>
            <w:vAlign w:val="center"/>
          </w:tcPr>
          <w:p>
            <w:pPr>
              <w:jc w:val="center"/>
              <w:rPr>
                <w:rFonts w:ascii="宋体" w:hAnsi="宋体"/>
                <w:spacing w:val="-10"/>
                <w:sz w:val="24"/>
              </w:rPr>
            </w:pPr>
            <w:r>
              <w:rPr>
                <w:rFonts w:hint="eastAsia" w:ascii="宋体" w:hAnsi="宋体"/>
                <w:spacing w:val="-10"/>
                <w:sz w:val="24"/>
              </w:rPr>
              <w:t>工程特征</w:t>
            </w:r>
          </w:p>
        </w:tc>
        <w:tc>
          <w:tcPr>
            <w:tcW w:w="2041" w:type="dxa"/>
            <w:gridSpan w:val="3"/>
            <w:vAlign w:val="center"/>
          </w:tcPr>
          <w:p>
            <w:pPr>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1875" w:type="dxa"/>
            <w:vAlign w:val="center"/>
          </w:tcPr>
          <w:p>
            <w:pPr>
              <w:jc w:val="center"/>
              <w:rPr>
                <w:spacing w:val="10"/>
                <w:sz w:val="24"/>
              </w:rPr>
            </w:pPr>
            <w:r>
              <w:rPr>
                <w:rFonts w:hint="eastAsia" w:ascii="宋体" w:hAnsi="宋体"/>
                <w:spacing w:val="10"/>
                <w:sz w:val="24"/>
              </w:rPr>
              <w:t>中标工期</w:t>
            </w:r>
          </w:p>
        </w:tc>
        <w:tc>
          <w:tcPr>
            <w:tcW w:w="3606" w:type="dxa"/>
            <w:vAlign w:val="center"/>
          </w:tcPr>
          <w:p>
            <w:pPr>
              <w:jc w:val="center"/>
              <w:rPr>
                <w:rFonts w:ascii="宋体" w:hAnsi="宋体"/>
                <w:spacing w:val="20"/>
                <w:sz w:val="24"/>
              </w:rPr>
            </w:pPr>
          </w:p>
        </w:tc>
        <w:tc>
          <w:tcPr>
            <w:tcW w:w="1363" w:type="dxa"/>
            <w:gridSpan w:val="2"/>
            <w:vAlign w:val="center"/>
          </w:tcPr>
          <w:p>
            <w:pPr>
              <w:jc w:val="center"/>
              <w:rPr>
                <w:rFonts w:ascii="宋体" w:hAnsi="宋体"/>
                <w:spacing w:val="-10"/>
                <w:sz w:val="24"/>
              </w:rPr>
            </w:pPr>
            <w:r>
              <w:rPr>
                <w:rFonts w:hint="eastAsia" w:ascii="宋体" w:hAnsi="宋体"/>
                <w:spacing w:val="-10"/>
                <w:sz w:val="24"/>
              </w:rPr>
              <w:t>质量目标</w:t>
            </w:r>
          </w:p>
        </w:tc>
        <w:tc>
          <w:tcPr>
            <w:tcW w:w="2041" w:type="dxa"/>
            <w:gridSpan w:val="3"/>
            <w:vAlign w:val="center"/>
          </w:tcPr>
          <w:p>
            <w:pP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875" w:type="dxa"/>
            <w:vAlign w:val="center"/>
          </w:tcPr>
          <w:p>
            <w:pPr>
              <w:jc w:val="center"/>
              <w:rPr>
                <w:spacing w:val="-10"/>
                <w:sz w:val="24"/>
              </w:rPr>
            </w:pPr>
            <w:r>
              <w:rPr>
                <w:rFonts w:hint="eastAsia"/>
                <w:spacing w:val="-10"/>
                <w:sz w:val="24"/>
              </w:rPr>
              <w:t>中标价（大写）</w:t>
            </w:r>
          </w:p>
        </w:tc>
        <w:tc>
          <w:tcPr>
            <w:tcW w:w="7010" w:type="dxa"/>
            <w:gridSpan w:val="6"/>
            <w:vAlign w:val="center"/>
          </w:tcPr>
          <w:p>
            <w:pP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875" w:type="dxa"/>
            <w:vAlign w:val="center"/>
          </w:tcPr>
          <w:p>
            <w:pPr>
              <w:jc w:val="center"/>
              <w:rPr>
                <w:spacing w:val="-10"/>
                <w:sz w:val="24"/>
              </w:rPr>
            </w:pPr>
            <w:r>
              <w:rPr>
                <w:rFonts w:hint="eastAsia" w:ascii="宋体" w:hAnsi="宋体"/>
                <w:spacing w:val="-10"/>
                <w:sz w:val="24"/>
              </w:rPr>
              <w:t>总监理工程师</w:t>
            </w:r>
          </w:p>
        </w:tc>
        <w:tc>
          <w:tcPr>
            <w:tcW w:w="3606" w:type="dxa"/>
            <w:vAlign w:val="center"/>
          </w:tcPr>
          <w:p>
            <w:pPr>
              <w:jc w:val="center"/>
              <w:rPr>
                <w:rFonts w:ascii="宋体" w:hAnsi="宋体"/>
                <w:spacing w:val="20"/>
                <w:sz w:val="24"/>
              </w:rPr>
            </w:pPr>
          </w:p>
          <w:p>
            <w:pPr>
              <w:jc w:val="center"/>
              <w:rPr>
                <w:rFonts w:ascii="宋体" w:hAnsi="宋体"/>
                <w:spacing w:val="20"/>
                <w:sz w:val="24"/>
              </w:rPr>
            </w:pPr>
          </w:p>
        </w:tc>
        <w:tc>
          <w:tcPr>
            <w:tcW w:w="1512" w:type="dxa"/>
            <w:gridSpan w:val="3"/>
            <w:vAlign w:val="center"/>
          </w:tcPr>
          <w:p>
            <w:pPr>
              <w:jc w:val="center"/>
              <w:rPr>
                <w:rFonts w:ascii="宋体" w:hAnsi="宋体"/>
                <w:spacing w:val="-10"/>
                <w:sz w:val="24"/>
              </w:rPr>
            </w:pPr>
            <w:r>
              <w:rPr>
                <w:rFonts w:hint="eastAsia" w:ascii="宋体" w:hAnsi="宋体"/>
                <w:spacing w:val="-10"/>
                <w:sz w:val="24"/>
              </w:rPr>
              <w:t>证书编号</w:t>
            </w:r>
          </w:p>
        </w:tc>
        <w:tc>
          <w:tcPr>
            <w:tcW w:w="1892" w:type="dxa"/>
            <w:gridSpan w:val="2"/>
            <w:vAlign w:val="center"/>
          </w:tcPr>
          <w:p>
            <w:pP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875" w:type="dxa"/>
            <w:vAlign w:val="center"/>
          </w:tcPr>
          <w:p>
            <w:pPr>
              <w:jc w:val="center"/>
              <w:rPr>
                <w:sz w:val="24"/>
              </w:rPr>
            </w:pPr>
            <w:r>
              <w:rPr>
                <w:rFonts w:hint="eastAsia" w:ascii="宋体" w:hAnsi="宋体"/>
                <w:sz w:val="24"/>
              </w:rPr>
              <w:t>招标代理机构</w:t>
            </w:r>
          </w:p>
        </w:tc>
        <w:tc>
          <w:tcPr>
            <w:tcW w:w="3606" w:type="dxa"/>
            <w:vAlign w:val="center"/>
          </w:tcPr>
          <w:p>
            <w:pPr>
              <w:jc w:val="center"/>
              <w:rPr>
                <w:rFonts w:ascii="宋体" w:hAnsi="宋体"/>
                <w:spacing w:val="20"/>
                <w:sz w:val="24"/>
              </w:rPr>
            </w:pPr>
          </w:p>
        </w:tc>
        <w:tc>
          <w:tcPr>
            <w:tcW w:w="1512" w:type="dxa"/>
            <w:gridSpan w:val="3"/>
            <w:vAlign w:val="center"/>
          </w:tcPr>
          <w:p>
            <w:pPr>
              <w:jc w:val="center"/>
              <w:rPr>
                <w:rFonts w:ascii="宋体" w:hAnsi="宋体"/>
                <w:spacing w:val="20"/>
                <w:sz w:val="24"/>
              </w:rPr>
            </w:pPr>
            <w:r>
              <w:rPr>
                <w:rFonts w:hint="eastAsia" w:ascii="宋体" w:hAnsi="宋体"/>
                <w:spacing w:val="20"/>
                <w:sz w:val="24"/>
              </w:rPr>
              <w:t>招标方式</w:t>
            </w:r>
          </w:p>
        </w:tc>
        <w:tc>
          <w:tcPr>
            <w:tcW w:w="1892" w:type="dxa"/>
            <w:gridSpan w:val="2"/>
            <w:vAlign w:val="center"/>
          </w:tcPr>
          <w:p>
            <w:pPr>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875" w:type="dxa"/>
            <w:vAlign w:val="center"/>
          </w:tcPr>
          <w:p>
            <w:pPr>
              <w:jc w:val="center"/>
              <w:rPr>
                <w:rFonts w:ascii="宋体" w:hAnsi="宋体"/>
                <w:spacing w:val="20"/>
                <w:sz w:val="24"/>
              </w:rPr>
            </w:pPr>
            <w:r>
              <w:rPr>
                <w:rFonts w:hint="eastAsia" w:ascii="宋体" w:hAnsi="宋体"/>
                <w:sz w:val="28"/>
                <w:szCs w:val="28"/>
              </w:rPr>
              <w:t>中标单位</w:t>
            </w:r>
          </w:p>
        </w:tc>
        <w:tc>
          <w:tcPr>
            <w:tcW w:w="7010" w:type="dxa"/>
            <w:gridSpan w:val="6"/>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0" w:hRule="atLeast"/>
          <w:jc w:val="center"/>
        </w:trPr>
        <w:tc>
          <w:tcPr>
            <w:tcW w:w="1875" w:type="dxa"/>
            <w:vAlign w:val="center"/>
          </w:tcPr>
          <w:p>
            <w:pPr>
              <w:jc w:val="center"/>
              <w:rPr>
                <w:rFonts w:ascii="宋体" w:hAnsi="宋体"/>
                <w:spacing w:val="20"/>
                <w:sz w:val="24"/>
              </w:rPr>
            </w:pPr>
            <w:r>
              <w:rPr>
                <w:rFonts w:hint="eastAsia" w:ascii="宋体" w:hAnsi="宋体"/>
                <w:spacing w:val="20"/>
                <w:sz w:val="24"/>
              </w:rPr>
              <w:t>招  标</w:t>
            </w:r>
          </w:p>
          <w:p>
            <w:pPr>
              <w:jc w:val="center"/>
              <w:rPr>
                <w:rFonts w:ascii="宋体" w:hAnsi="宋体"/>
                <w:spacing w:val="20"/>
                <w:sz w:val="24"/>
              </w:rPr>
            </w:pPr>
            <w:r>
              <w:rPr>
                <w:rFonts w:hint="eastAsia" w:ascii="宋体" w:hAnsi="宋体"/>
                <w:spacing w:val="20"/>
                <w:sz w:val="24"/>
              </w:rPr>
              <w:t>投  标</w:t>
            </w:r>
          </w:p>
          <w:p>
            <w:pPr>
              <w:jc w:val="center"/>
              <w:rPr>
                <w:rFonts w:ascii="宋体" w:hAnsi="宋体"/>
                <w:spacing w:val="20"/>
                <w:sz w:val="24"/>
              </w:rPr>
            </w:pPr>
            <w:r>
              <w:rPr>
                <w:rFonts w:hint="eastAsia" w:ascii="宋体" w:hAnsi="宋体"/>
                <w:spacing w:val="20"/>
                <w:sz w:val="24"/>
              </w:rPr>
              <w:t>监  管</w:t>
            </w:r>
          </w:p>
          <w:p>
            <w:pPr>
              <w:jc w:val="center"/>
              <w:rPr>
                <w:rFonts w:ascii="宋体" w:hAnsi="宋体"/>
                <w:spacing w:val="20"/>
                <w:sz w:val="24"/>
              </w:rPr>
            </w:pPr>
            <w:r>
              <w:rPr>
                <w:rFonts w:hint="eastAsia" w:ascii="宋体" w:hAnsi="宋体"/>
                <w:spacing w:val="20"/>
                <w:sz w:val="24"/>
              </w:rPr>
              <w:t>部  门</w:t>
            </w:r>
          </w:p>
          <w:p>
            <w:pPr>
              <w:jc w:val="center"/>
              <w:rPr>
                <w:rFonts w:ascii="宋体" w:hAnsi="宋体"/>
                <w:spacing w:val="20"/>
                <w:sz w:val="24"/>
              </w:rPr>
            </w:pPr>
            <w:r>
              <w:rPr>
                <w:rFonts w:hint="eastAsia" w:ascii="宋体" w:hAnsi="宋体"/>
                <w:spacing w:val="20"/>
                <w:sz w:val="24"/>
              </w:rPr>
              <w:t>意  见</w:t>
            </w:r>
          </w:p>
        </w:tc>
        <w:tc>
          <w:tcPr>
            <w:tcW w:w="7010" w:type="dxa"/>
            <w:gridSpan w:val="6"/>
          </w:tcPr>
          <w:p>
            <w:pPr>
              <w:ind w:firstLine="480" w:firstLineChars="200"/>
              <w:rPr>
                <w:rFonts w:ascii="宋体" w:hAnsi="宋体"/>
                <w:sz w:val="24"/>
              </w:rPr>
            </w:pPr>
            <w:r>
              <w:rPr>
                <w:rFonts w:hint="eastAsia" w:ascii="宋体" w:hAnsi="宋体"/>
                <w:sz w:val="24"/>
              </w:rPr>
              <w:t>经审查，该项招标活动符合法定的招标方式和程序，予以备案。</w:t>
            </w:r>
          </w:p>
          <w:p>
            <w:pPr>
              <w:ind w:firstLine="560" w:firstLineChars="200"/>
              <w:rPr>
                <w:rFonts w:ascii="宋体" w:hAnsi="宋体"/>
                <w:spacing w:val="20"/>
                <w:sz w:val="24"/>
              </w:rPr>
            </w:pPr>
          </w:p>
          <w:p>
            <w:pPr>
              <w:rPr>
                <w:rFonts w:ascii="宋体" w:hAnsi="宋体"/>
                <w:spacing w:val="20"/>
                <w:sz w:val="24"/>
              </w:rPr>
            </w:pPr>
            <w:r>
              <w:rPr>
                <w:rFonts w:hint="eastAsia" w:ascii="宋体" w:hAnsi="宋体"/>
                <w:spacing w:val="20"/>
                <w:sz w:val="24"/>
              </w:rPr>
              <w:t>监管单位：         （盖章）</w:t>
            </w:r>
          </w:p>
          <w:p>
            <w:pPr>
              <w:rPr>
                <w:rFonts w:ascii="宋体" w:hAnsi="宋体"/>
                <w:spacing w:val="20"/>
                <w:sz w:val="24"/>
              </w:rPr>
            </w:pPr>
          </w:p>
          <w:p>
            <w:pPr>
              <w:rPr>
                <w:rFonts w:ascii="宋体" w:hAnsi="宋体"/>
                <w:spacing w:val="20"/>
                <w:sz w:val="24"/>
              </w:rPr>
            </w:pPr>
            <w:r>
              <w:rPr>
                <w:rFonts w:hint="eastAsia" w:ascii="宋体" w:hAnsi="宋体"/>
                <w:spacing w:val="20"/>
                <w:sz w:val="24"/>
              </w:rPr>
              <w:t xml:space="preserve">经 办 人：         （签字）   </w:t>
            </w:r>
          </w:p>
          <w:p>
            <w:pPr>
              <w:ind w:firstLine="3500" w:firstLineChars="1250"/>
              <w:rPr>
                <w:rFonts w:ascii="宋体" w:hAnsi="宋体"/>
                <w:spacing w:val="20"/>
                <w:sz w:val="24"/>
              </w:rPr>
            </w:pPr>
            <w:r>
              <w:rPr>
                <w:rFonts w:hint="eastAsia" w:ascii="宋体" w:hAnsi="宋体"/>
                <w:spacing w:val="20"/>
                <w:sz w:val="24"/>
              </w:rPr>
              <w:t>年    月    日</w:t>
            </w:r>
          </w:p>
        </w:tc>
      </w:tr>
    </w:tbl>
    <w:p>
      <w:pPr>
        <w:pStyle w:val="9"/>
      </w:pPr>
    </w:p>
    <w:p>
      <w:pPr>
        <w:pStyle w:val="9"/>
      </w:pPr>
    </w:p>
    <w:p>
      <w:pPr>
        <w:pStyle w:val="9"/>
      </w:pPr>
    </w:p>
    <w:p>
      <w:pPr>
        <w:pStyle w:val="9"/>
      </w:pPr>
    </w:p>
    <w:p>
      <w:pPr>
        <w:pStyle w:val="9"/>
      </w:pPr>
    </w:p>
    <w:p>
      <w:pPr>
        <w:pStyle w:val="9"/>
      </w:pPr>
    </w:p>
    <w:p>
      <w:pPr>
        <w:pStyle w:val="9"/>
      </w:pPr>
    </w:p>
    <w:p>
      <w:pPr>
        <w:pStyle w:val="3"/>
        <w:numPr>
          <w:ilvl w:val="0"/>
          <w:numId w:val="1"/>
        </w:numPr>
      </w:pPr>
      <w:bookmarkStart w:id="707" w:name="_Toc15293"/>
      <w:bookmarkStart w:id="708" w:name="_Toc17923"/>
      <w:bookmarkStart w:id="709" w:name="_Toc308075820"/>
      <w:bookmarkStart w:id="710" w:name="_Toc498503003"/>
      <w:bookmarkStart w:id="711" w:name="_Toc309138730"/>
      <w:r>
        <w:t>评标办法（综合评估法）</w:t>
      </w:r>
      <w:bookmarkEnd w:id="707"/>
      <w:bookmarkEnd w:id="708"/>
      <w:bookmarkEnd w:id="709"/>
      <w:bookmarkEnd w:id="710"/>
    </w:p>
    <w:p>
      <w:pPr>
        <w:pStyle w:val="2"/>
        <w:jc w:val="center"/>
      </w:pPr>
      <w:bookmarkStart w:id="712" w:name="_Toc28248"/>
      <w:r>
        <w:rPr>
          <w:rFonts w:hint="eastAsia"/>
        </w:rPr>
        <w:t>评标办法前附表</w:t>
      </w:r>
      <w:bookmarkEnd w:id="712"/>
    </w:p>
    <w:tbl>
      <w:tblPr>
        <w:tblStyle w:val="28"/>
        <w:tblpPr w:leftFromText="180" w:rightFromText="180" w:vertAnchor="text" w:horzAnchor="margin" w:tblpX="-318" w:tblpY="682"/>
        <w:tblOverlap w:val="never"/>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2"/>
        <w:gridCol w:w="426"/>
        <w:gridCol w:w="458"/>
        <w:gridCol w:w="709"/>
        <w:gridCol w:w="850"/>
        <w:gridCol w:w="671"/>
        <w:gridCol w:w="321"/>
        <w:gridCol w:w="3479"/>
        <w:gridCol w:w="17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1526" w:type="dxa"/>
            <w:gridSpan w:val="3"/>
            <w:tcBorders>
              <w:top w:val="single" w:color="auto" w:sz="6" w:space="0"/>
              <w:left w:val="single" w:color="auto" w:sz="12" w:space="0"/>
              <w:bottom w:val="single" w:color="auto" w:sz="6" w:space="0"/>
              <w:right w:val="single" w:color="auto" w:sz="6" w:space="0"/>
            </w:tcBorders>
            <w:vAlign w:val="center"/>
          </w:tcPr>
          <w:p>
            <w:pPr>
              <w:adjustRightInd w:val="0"/>
              <w:spacing w:line="312" w:lineRule="auto"/>
              <w:jc w:val="center"/>
              <w:textAlignment w:val="baseline"/>
              <w:rPr>
                <w:rFonts w:asciiTheme="minorEastAsia" w:hAnsiTheme="minorEastAsia" w:eastAsiaTheme="minorEastAsia"/>
                <w:b/>
                <w:szCs w:val="21"/>
              </w:rPr>
            </w:pPr>
            <w:r>
              <w:rPr>
                <w:rFonts w:asciiTheme="minorEastAsia" w:hAnsiTheme="minorEastAsia" w:eastAsiaTheme="minorEastAsia"/>
                <w:b/>
                <w:szCs w:val="21"/>
              </w:rPr>
              <w:t>条款号</w:t>
            </w:r>
          </w:p>
        </w:tc>
        <w:tc>
          <w:tcPr>
            <w:tcW w:w="2551" w:type="dxa"/>
            <w:gridSpan w:val="4"/>
            <w:tcBorders>
              <w:top w:val="single" w:color="auto" w:sz="6" w:space="0"/>
              <w:left w:val="single" w:color="auto" w:sz="6" w:space="0"/>
              <w:bottom w:val="single" w:color="auto" w:sz="6" w:space="0"/>
              <w:right w:val="single" w:color="auto" w:sz="6" w:space="0"/>
            </w:tcBorders>
            <w:vAlign w:val="center"/>
          </w:tcPr>
          <w:p>
            <w:pPr>
              <w:adjustRightInd w:val="0"/>
              <w:spacing w:line="312" w:lineRule="auto"/>
              <w:jc w:val="center"/>
              <w:textAlignment w:val="baseline"/>
              <w:rPr>
                <w:rFonts w:asciiTheme="minorEastAsia" w:hAnsiTheme="minorEastAsia" w:eastAsiaTheme="minorEastAsia"/>
                <w:b/>
                <w:szCs w:val="21"/>
              </w:rPr>
            </w:pPr>
            <w:r>
              <w:rPr>
                <w:rFonts w:asciiTheme="minorEastAsia" w:hAnsiTheme="minorEastAsia" w:eastAsiaTheme="minorEastAsia"/>
                <w:b/>
                <w:szCs w:val="21"/>
              </w:rPr>
              <w:t>评审因素</w:t>
            </w:r>
          </w:p>
        </w:tc>
        <w:tc>
          <w:tcPr>
            <w:tcW w:w="5245" w:type="dxa"/>
            <w:gridSpan w:val="2"/>
            <w:tcBorders>
              <w:top w:val="single" w:color="auto" w:sz="6" w:space="0"/>
              <w:left w:val="single" w:color="auto" w:sz="6" w:space="0"/>
              <w:bottom w:val="single" w:color="auto" w:sz="6" w:space="0"/>
              <w:right w:val="single" w:color="auto" w:sz="12" w:space="0"/>
            </w:tcBorders>
            <w:vAlign w:val="center"/>
          </w:tcPr>
          <w:p>
            <w:pPr>
              <w:adjustRightInd w:val="0"/>
              <w:spacing w:line="312" w:lineRule="auto"/>
              <w:jc w:val="center"/>
              <w:textAlignment w:val="baseline"/>
              <w:rPr>
                <w:rFonts w:asciiTheme="minorEastAsia" w:hAnsiTheme="minorEastAsia" w:eastAsiaTheme="minorEastAsia"/>
                <w:b/>
                <w:szCs w:val="21"/>
              </w:rPr>
            </w:pPr>
            <w:r>
              <w:rPr>
                <w:rFonts w:asciiTheme="minorEastAsia" w:hAnsiTheme="minorEastAsia" w:eastAsiaTheme="minorEastAsia"/>
                <w:b/>
                <w:szCs w:val="21"/>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trPr>
        <w:tc>
          <w:tcPr>
            <w:tcW w:w="642" w:type="dxa"/>
            <w:vMerge w:val="restart"/>
            <w:vAlign w:val="center"/>
          </w:tcPr>
          <w:p>
            <w:pPr>
              <w:adjustRightInd w:val="0"/>
              <w:spacing w:line="312" w:lineRule="auto"/>
              <w:jc w:val="center"/>
              <w:textAlignment w:val="baseline"/>
              <w:rPr>
                <w:rFonts w:asciiTheme="minorEastAsia" w:hAnsiTheme="minorEastAsia" w:eastAsiaTheme="minorEastAsia"/>
                <w:szCs w:val="21"/>
              </w:rPr>
            </w:pPr>
            <w:r>
              <w:rPr>
                <w:rFonts w:asciiTheme="minorEastAsia" w:hAnsiTheme="minorEastAsia" w:eastAsiaTheme="minorEastAsia"/>
                <w:spacing w:val="1"/>
                <w:kern w:val="0"/>
                <w:szCs w:val="21"/>
              </w:rPr>
              <w:t>2</w:t>
            </w:r>
            <w:r>
              <w:rPr>
                <w:rFonts w:asciiTheme="minorEastAsia" w:hAnsiTheme="minorEastAsia" w:eastAsiaTheme="minorEastAsia"/>
                <w:kern w:val="0"/>
                <w:szCs w:val="21"/>
              </w:rPr>
              <w:t>.1.1</w:t>
            </w:r>
          </w:p>
        </w:tc>
        <w:tc>
          <w:tcPr>
            <w:tcW w:w="884" w:type="dxa"/>
            <w:gridSpan w:val="2"/>
            <w:vMerge w:val="restart"/>
            <w:vAlign w:val="center"/>
          </w:tcPr>
          <w:p>
            <w:pPr>
              <w:adjustRightInd w:val="0"/>
              <w:spacing w:line="312" w:lineRule="auto"/>
              <w:jc w:val="center"/>
              <w:textAlignment w:val="baseline"/>
              <w:rPr>
                <w:rFonts w:asciiTheme="minorEastAsia" w:hAnsiTheme="minorEastAsia" w:eastAsiaTheme="minorEastAsia"/>
                <w:szCs w:val="21"/>
              </w:rPr>
            </w:pPr>
            <w:r>
              <w:rPr>
                <w:rFonts w:asciiTheme="minorEastAsia" w:hAnsiTheme="minorEastAsia" w:eastAsiaTheme="minorEastAsia"/>
                <w:szCs w:val="21"/>
              </w:rPr>
              <w:t>形式评审标准</w:t>
            </w:r>
          </w:p>
        </w:tc>
        <w:tc>
          <w:tcPr>
            <w:tcW w:w="2551" w:type="dxa"/>
            <w:gridSpan w:val="4"/>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投标人名称</w:t>
            </w:r>
          </w:p>
        </w:tc>
        <w:tc>
          <w:tcPr>
            <w:tcW w:w="5245" w:type="dxa"/>
            <w:gridSpan w:val="2"/>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与营业执照、资质证书一致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642" w:type="dxa"/>
            <w:vMerge w:val="continue"/>
          </w:tcPr>
          <w:p>
            <w:pPr>
              <w:spacing w:line="312" w:lineRule="auto"/>
              <w:ind w:firstLine="420"/>
              <w:rPr>
                <w:rFonts w:asciiTheme="minorEastAsia" w:hAnsiTheme="minorEastAsia" w:eastAsiaTheme="minorEastAsia"/>
                <w:szCs w:val="21"/>
              </w:rPr>
            </w:pPr>
          </w:p>
        </w:tc>
        <w:tc>
          <w:tcPr>
            <w:tcW w:w="884" w:type="dxa"/>
            <w:gridSpan w:val="2"/>
            <w:vMerge w:val="continue"/>
          </w:tcPr>
          <w:p>
            <w:pPr>
              <w:spacing w:line="312" w:lineRule="auto"/>
              <w:ind w:firstLine="420"/>
              <w:rPr>
                <w:rFonts w:asciiTheme="minorEastAsia" w:hAnsiTheme="minorEastAsia" w:eastAsiaTheme="minorEastAsia"/>
                <w:szCs w:val="21"/>
              </w:rPr>
            </w:pPr>
          </w:p>
        </w:tc>
        <w:tc>
          <w:tcPr>
            <w:tcW w:w="2551" w:type="dxa"/>
            <w:gridSpan w:val="4"/>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投标文件签字盖章</w:t>
            </w:r>
          </w:p>
        </w:tc>
        <w:tc>
          <w:tcPr>
            <w:tcW w:w="5245" w:type="dxa"/>
            <w:gridSpan w:val="2"/>
            <w:vAlign w:val="center"/>
          </w:tcPr>
          <w:p>
            <w:pPr>
              <w:adjustRightInd w:val="0"/>
              <w:spacing w:line="312" w:lineRule="auto"/>
              <w:textAlignment w:val="baseline"/>
              <w:rPr>
                <w:rFonts w:asciiTheme="minorEastAsia" w:hAnsiTheme="minorEastAsia" w:eastAsiaTheme="minorEastAsia"/>
                <w:szCs w:val="21"/>
              </w:rPr>
            </w:pPr>
            <w:r>
              <w:rPr>
                <w:rFonts w:hint="eastAsia" w:asciiTheme="minorEastAsia" w:hAnsiTheme="minorEastAsia" w:eastAsiaTheme="minorEastAsia"/>
                <w:bCs/>
                <w:szCs w:val="21"/>
              </w:rPr>
              <w:t>符合招标文件第六章“投标文件格式”签字盖章的要求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trPr>
        <w:tc>
          <w:tcPr>
            <w:tcW w:w="642" w:type="dxa"/>
            <w:vMerge w:val="continue"/>
          </w:tcPr>
          <w:p>
            <w:pPr>
              <w:spacing w:line="312" w:lineRule="auto"/>
              <w:ind w:firstLine="420"/>
              <w:rPr>
                <w:rFonts w:asciiTheme="minorEastAsia" w:hAnsiTheme="minorEastAsia" w:eastAsiaTheme="minorEastAsia"/>
                <w:szCs w:val="21"/>
              </w:rPr>
            </w:pPr>
          </w:p>
        </w:tc>
        <w:tc>
          <w:tcPr>
            <w:tcW w:w="884" w:type="dxa"/>
            <w:gridSpan w:val="2"/>
            <w:vMerge w:val="continue"/>
          </w:tcPr>
          <w:p>
            <w:pPr>
              <w:spacing w:line="312" w:lineRule="auto"/>
              <w:ind w:firstLine="420"/>
              <w:rPr>
                <w:rFonts w:asciiTheme="minorEastAsia" w:hAnsiTheme="minorEastAsia" w:eastAsiaTheme="minorEastAsia"/>
                <w:szCs w:val="21"/>
              </w:rPr>
            </w:pPr>
          </w:p>
        </w:tc>
        <w:tc>
          <w:tcPr>
            <w:tcW w:w="2551" w:type="dxa"/>
            <w:gridSpan w:val="4"/>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投标文件格式</w:t>
            </w:r>
          </w:p>
        </w:tc>
        <w:tc>
          <w:tcPr>
            <w:tcW w:w="5245" w:type="dxa"/>
            <w:gridSpan w:val="2"/>
            <w:vAlign w:val="center"/>
          </w:tcPr>
          <w:p>
            <w:pPr>
              <w:adjustRightInd w:val="0"/>
              <w:spacing w:line="312" w:lineRule="auto"/>
              <w:textAlignment w:val="baseline"/>
              <w:rPr>
                <w:rFonts w:asciiTheme="minorEastAsia" w:hAnsiTheme="minorEastAsia" w:eastAsiaTheme="minorEastAsia"/>
                <w:szCs w:val="21"/>
              </w:rPr>
            </w:pPr>
            <w:r>
              <w:rPr>
                <w:rFonts w:hint="eastAsia" w:asciiTheme="minorEastAsia" w:hAnsiTheme="minorEastAsia" w:eastAsiaTheme="minorEastAsia"/>
                <w:bCs/>
                <w:szCs w:val="21"/>
              </w:rPr>
              <w:t>符合招标文件第六章“投标文件格式”格式的要求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642" w:type="dxa"/>
            <w:vMerge w:val="continue"/>
          </w:tcPr>
          <w:p>
            <w:pPr>
              <w:spacing w:line="312" w:lineRule="auto"/>
              <w:ind w:firstLine="420"/>
              <w:rPr>
                <w:rFonts w:asciiTheme="minorEastAsia" w:hAnsiTheme="minorEastAsia" w:eastAsiaTheme="minorEastAsia"/>
                <w:szCs w:val="21"/>
              </w:rPr>
            </w:pPr>
          </w:p>
        </w:tc>
        <w:tc>
          <w:tcPr>
            <w:tcW w:w="884" w:type="dxa"/>
            <w:gridSpan w:val="2"/>
            <w:vMerge w:val="continue"/>
          </w:tcPr>
          <w:p>
            <w:pPr>
              <w:spacing w:line="312" w:lineRule="auto"/>
              <w:ind w:firstLine="420"/>
              <w:rPr>
                <w:rFonts w:asciiTheme="minorEastAsia" w:hAnsiTheme="minorEastAsia" w:eastAsiaTheme="minorEastAsia"/>
                <w:szCs w:val="21"/>
              </w:rPr>
            </w:pPr>
          </w:p>
        </w:tc>
        <w:tc>
          <w:tcPr>
            <w:tcW w:w="2551" w:type="dxa"/>
            <w:gridSpan w:val="4"/>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报价唯一</w:t>
            </w:r>
          </w:p>
        </w:tc>
        <w:tc>
          <w:tcPr>
            <w:tcW w:w="5245" w:type="dxa"/>
            <w:gridSpan w:val="2"/>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只能有一个有效报价</w:t>
            </w:r>
            <w:r>
              <w:rPr>
                <w:rFonts w:hint="eastAsia" w:asciiTheme="minorEastAsia" w:hAnsiTheme="minorEastAsia"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42" w:type="dxa"/>
            <w:vMerge w:val="restart"/>
            <w:vAlign w:val="center"/>
          </w:tcPr>
          <w:p>
            <w:pPr>
              <w:adjustRightInd w:val="0"/>
              <w:spacing w:line="312" w:lineRule="auto"/>
              <w:jc w:val="center"/>
              <w:textAlignment w:val="baseline"/>
              <w:rPr>
                <w:rFonts w:asciiTheme="minorEastAsia" w:hAnsiTheme="minorEastAsia" w:eastAsiaTheme="minorEastAsia"/>
                <w:szCs w:val="21"/>
              </w:rPr>
            </w:pPr>
            <w:r>
              <w:rPr>
                <w:rFonts w:asciiTheme="minorEastAsia" w:hAnsiTheme="minorEastAsia" w:eastAsiaTheme="minorEastAsia"/>
                <w:spacing w:val="1"/>
                <w:kern w:val="0"/>
                <w:szCs w:val="21"/>
              </w:rPr>
              <w:t>2.1.2</w:t>
            </w:r>
          </w:p>
        </w:tc>
        <w:tc>
          <w:tcPr>
            <w:tcW w:w="884" w:type="dxa"/>
            <w:gridSpan w:val="2"/>
            <w:vMerge w:val="restart"/>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资格评审标准</w:t>
            </w:r>
          </w:p>
        </w:tc>
        <w:tc>
          <w:tcPr>
            <w:tcW w:w="2551" w:type="dxa"/>
            <w:gridSpan w:val="4"/>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营业执照</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42" w:type="dxa"/>
            <w:vMerge w:val="continue"/>
            <w:vAlign w:val="center"/>
          </w:tcPr>
          <w:p>
            <w:pPr>
              <w:spacing w:line="312" w:lineRule="auto"/>
              <w:ind w:firstLine="420"/>
              <w:rPr>
                <w:rFonts w:asciiTheme="minorEastAsia" w:hAnsiTheme="minorEastAsia" w:eastAsiaTheme="minorEastAsia"/>
                <w:szCs w:val="21"/>
              </w:rPr>
            </w:pPr>
          </w:p>
        </w:tc>
        <w:tc>
          <w:tcPr>
            <w:tcW w:w="884" w:type="dxa"/>
            <w:gridSpan w:val="2"/>
            <w:vMerge w:val="continue"/>
            <w:vAlign w:val="center"/>
          </w:tcPr>
          <w:p>
            <w:pPr>
              <w:spacing w:line="312" w:lineRule="auto"/>
              <w:ind w:firstLine="420"/>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资质</w:t>
            </w:r>
            <w:r>
              <w:rPr>
                <w:rFonts w:hint="eastAsia" w:asciiTheme="minorEastAsia" w:hAnsiTheme="minorEastAsia" w:eastAsiaTheme="minorEastAsia"/>
                <w:szCs w:val="21"/>
              </w:rPr>
              <w:t>条件</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42" w:type="dxa"/>
            <w:vMerge w:val="continue"/>
            <w:vAlign w:val="center"/>
          </w:tcPr>
          <w:p>
            <w:pPr>
              <w:spacing w:line="312" w:lineRule="auto"/>
              <w:ind w:firstLine="420"/>
              <w:rPr>
                <w:rFonts w:asciiTheme="minorEastAsia" w:hAnsiTheme="minorEastAsia" w:eastAsiaTheme="minorEastAsia"/>
                <w:szCs w:val="21"/>
              </w:rPr>
            </w:pPr>
          </w:p>
        </w:tc>
        <w:tc>
          <w:tcPr>
            <w:tcW w:w="884" w:type="dxa"/>
            <w:gridSpan w:val="2"/>
            <w:vMerge w:val="continue"/>
            <w:vAlign w:val="center"/>
          </w:tcPr>
          <w:p>
            <w:pPr>
              <w:spacing w:line="312" w:lineRule="auto"/>
              <w:ind w:firstLine="420"/>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总监理工程师</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42" w:type="dxa"/>
            <w:vMerge w:val="continue"/>
            <w:vAlign w:val="center"/>
          </w:tcPr>
          <w:p>
            <w:pPr>
              <w:spacing w:line="312" w:lineRule="auto"/>
              <w:ind w:firstLine="420"/>
              <w:rPr>
                <w:rFonts w:asciiTheme="minorEastAsia" w:hAnsiTheme="minorEastAsia" w:eastAsiaTheme="minorEastAsia"/>
                <w:szCs w:val="21"/>
              </w:rPr>
            </w:pPr>
          </w:p>
        </w:tc>
        <w:tc>
          <w:tcPr>
            <w:tcW w:w="884" w:type="dxa"/>
            <w:gridSpan w:val="2"/>
            <w:vMerge w:val="continue"/>
            <w:vAlign w:val="center"/>
          </w:tcPr>
          <w:p>
            <w:pPr>
              <w:spacing w:line="312" w:lineRule="auto"/>
              <w:ind w:firstLine="420"/>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业绩</w:t>
            </w:r>
            <w:r>
              <w:rPr>
                <w:rFonts w:hint="eastAsia" w:asciiTheme="minorEastAsia" w:hAnsiTheme="minorEastAsia" w:eastAsiaTheme="minorEastAsia"/>
                <w:szCs w:val="21"/>
              </w:rPr>
              <w:t>要求</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42" w:type="dxa"/>
            <w:vMerge w:val="continue"/>
            <w:vAlign w:val="center"/>
          </w:tcPr>
          <w:p>
            <w:pPr>
              <w:spacing w:line="312" w:lineRule="auto"/>
              <w:ind w:firstLine="420"/>
              <w:rPr>
                <w:rFonts w:asciiTheme="minorEastAsia" w:hAnsiTheme="minorEastAsia" w:eastAsiaTheme="minorEastAsia"/>
                <w:szCs w:val="21"/>
              </w:rPr>
            </w:pPr>
          </w:p>
        </w:tc>
        <w:tc>
          <w:tcPr>
            <w:tcW w:w="884" w:type="dxa"/>
            <w:gridSpan w:val="2"/>
            <w:vMerge w:val="continue"/>
            <w:vAlign w:val="center"/>
          </w:tcPr>
          <w:p>
            <w:pPr>
              <w:spacing w:line="312" w:lineRule="auto"/>
              <w:ind w:firstLine="420"/>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hint="eastAsia" w:asciiTheme="minorEastAsia" w:hAnsiTheme="minorEastAsia" w:eastAsiaTheme="minorEastAsia"/>
                <w:szCs w:val="21"/>
              </w:rPr>
              <w:t>单位负责人为同一人或者存在控股、管理关系的</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42" w:type="dxa"/>
            <w:vMerge w:val="continue"/>
            <w:vAlign w:val="center"/>
          </w:tcPr>
          <w:p>
            <w:pPr>
              <w:spacing w:line="312" w:lineRule="auto"/>
              <w:ind w:firstLine="420"/>
              <w:rPr>
                <w:rFonts w:asciiTheme="minorEastAsia" w:hAnsiTheme="minorEastAsia" w:eastAsiaTheme="minorEastAsia"/>
                <w:szCs w:val="21"/>
              </w:rPr>
            </w:pPr>
          </w:p>
        </w:tc>
        <w:tc>
          <w:tcPr>
            <w:tcW w:w="884" w:type="dxa"/>
            <w:gridSpan w:val="2"/>
            <w:vMerge w:val="continue"/>
            <w:vAlign w:val="center"/>
          </w:tcPr>
          <w:p>
            <w:pPr>
              <w:spacing w:line="312" w:lineRule="auto"/>
              <w:ind w:firstLine="420"/>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hint="eastAsia" w:asciiTheme="minorEastAsia" w:hAnsiTheme="minorEastAsia" w:eastAsiaTheme="minorEastAsia"/>
                <w:szCs w:val="21"/>
              </w:rPr>
              <w:t>信誉要求</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42" w:type="dxa"/>
            <w:vMerge w:val="continue"/>
            <w:vAlign w:val="center"/>
          </w:tcPr>
          <w:p>
            <w:pPr>
              <w:spacing w:line="312" w:lineRule="auto"/>
              <w:ind w:firstLine="420"/>
              <w:rPr>
                <w:rFonts w:asciiTheme="minorEastAsia" w:hAnsiTheme="minorEastAsia" w:eastAsiaTheme="minorEastAsia"/>
                <w:szCs w:val="21"/>
              </w:rPr>
            </w:pPr>
          </w:p>
        </w:tc>
        <w:tc>
          <w:tcPr>
            <w:tcW w:w="884" w:type="dxa"/>
            <w:gridSpan w:val="2"/>
            <w:vMerge w:val="continue"/>
            <w:vAlign w:val="center"/>
          </w:tcPr>
          <w:p>
            <w:pPr>
              <w:spacing w:line="312" w:lineRule="auto"/>
              <w:ind w:firstLine="420"/>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hint="eastAsia" w:asciiTheme="minorEastAsia" w:hAnsiTheme="minorEastAsia" w:eastAsiaTheme="minorEastAsia"/>
                <w:szCs w:val="21"/>
              </w:rPr>
              <w:t>信用要求</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42" w:type="dxa"/>
            <w:vMerge w:val="continue"/>
            <w:vAlign w:val="center"/>
          </w:tcPr>
          <w:p>
            <w:pPr>
              <w:spacing w:line="312" w:lineRule="auto"/>
              <w:ind w:firstLine="420"/>
              <w:rPr>
                <w:rFonts w:asciiTheme="minorEastAsia" w:hAnsiTheme="minorEastAsia" w:eastAsiaTheme="minorEastAsia"/>
                <w:szCs w:val="21"/>
              </w:rPr>
            </w:pPr>
          </w:p>
        </w:tc>
        <w:tc>
          <w:tcPr>
            <w:tcW w:w="884" w:type="dxa"/>
            <w:gridSpan w:val="2"/>
            <w:vMerge w:val="continue"/>
            <w:vAlign w:val="center"/>
          </w:tcPr>
          <w:p>
            <w:pPr>
              <w:spacing w:line="312" w:lineRule="auto"/>
              <w:ind w:firstLine="420"/>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财务</w:t>
            </w:r>
            <w:r>
              <w:rPr>
                <w:rFonts w:hint="eastAsia" w:asciiTheme="minorEastAsia" w:hAnsiTheme="minorEastAsia" w:eastAsiaTheme="minorEastAsia"/>
                <w:szCs w:val="21"/>
              </w:rPr>
              <w:t>要求</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9322" w:type="dxa"/>
            <w:gridSpan w:val="9"/>
            <w:vAlign w:val="center"/>
          </w:tcPr>
          <w:p>
            <w:pPr>
              <w:widowControl/>
              <w:spacing w:line="312" w:lineRule="auto"/>
              <w:jc w:val="center"/>
              <w:rPr>
                <w:rFonts w:asciiTheme="minorEastAsia" w:hAnsiTheme="minorEastAsia" w:eastAsiaTheme="minorEastAsia"/>
                <w:szCs w:val="21"/>
              </w:rPr>
            </w:pPr>
            <w:r>
              <w:rPr>
                <w:rFonts w:hint="eastAsia" w:asciiTheme="minorEastAsia" w:hAnsiTheme="minorEastAsia" w:eastAsiaTheme="minorEastAsia"/>
                <w:b/>
                <w:bCs/>
                <w:szCs w:val="21"/>
              </w:rPr>
              <w:t>提供相关原件进行资格审查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6" w:hRule="atLeast"/>
        </w:trPr>
        <w:tc>
          <w:tcPr>
            <w:tcW w:w="642" w:type="dxa"/>
            <w:vMerge w:val="restart"/>
            <w:vAlign w:val="center"/>
          </w:tcPr>
          <w:p>
            <w:pPr>
              <w:adjustRightInd w:val="0"/>
              <w:spacing w:line="312" w:lineRule="auto"/>
              <w:jc w:val="center"/>
              <w:textAlignment w:val="baseline"/>
              <w:rPr>
                <w:rFonts w:asciiTheme="minorEastAsia" w:hAnsiTheme="minorEastAsia" w:eastAsiaTheme="minorEastAsia"/>
                <w:szCs w:val="21"/>
              </w:rPr>
            </w:pPr>
            <w:r>
              <w:rPr>
                <w:rFonts w:asciiTheme="minorEastAsia" w:hAnsiTheme="minorEastAsia" w:eastAsiaTheme="minorEastAsia"/>
                <w:spacing w:val="1"/>
                <w:kern w:val="0"/>
                <w:szCs w:val="21"/>
              </w:rPr>
              <w:t>2.1.3</w:t>
            </w:r>
          </w:p>
        </w:tc>
        <w:tc>
          <w:tcPr>
            <w:tcW w:w="884" w:type="dxa"/>
            <w:gridSpan w:val="2"/>
            <w:vMerge w:val="restart"/>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响应性评审标准</w:t>
            </w:r>
          </w:p>
        </w:tc>
        <w:tc>
          <w:tcPr>
            <w:tcW w:w="2551" w:type="dxa"/>
            <w:gridSpan w:val="4"/>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投标内容</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第1.3.</w:t>
            </w:r>
            <w:r>
              <w:rPr>
                <w:rFonts w:hint="eastAsia" w:asciiTheme="minorEastAsia" w:hAnsiTheme="minorEastAsia" w:eastAsiaTheme="minorEastAsia"/>
                <w:szCs w:val="21"/>
              </w:rPr>
              <w:t>1</w:t>
            </w:r>
            <w:r>
              <w:rPr>
                <w:rFonts w:asciiTheme="minorEastAsia" w:hAnsiTheme="minorEastAsia" w:eastAsiaTheme="minorEastAsia"/>
                <w:szCs w:val="21"/>
              </w:rPr>
              <w:t>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6" w:hRule="atLeast"/>
        </w:trPr>
        <w:tc>
          <w:tcPr>
            <w:tcW w:w="642" w:type="dxa"/>
            <w:vMerge w:val="continue"/>
            <w:vAlign w:val="center"/>
          </w:tcPr>
          <w:p>
            <w:pPr>
              <w:spacing w:line="312" w:lineRule="auto"/>
              <w:rPr>
                <w:rFonts w:asciiTheme="minorEastAsia" w:hAnsiTheme="minorEastAsia" w:eastAsiaTheme="minorEastAsia"/>
                <w:szCs w:val="21"/>
              </w:rPr>
            </w:pPr>
          </w:p>
        </w:tc>
        <w:tc>
          <w:tcPr>
            <w:tcW w:w="884" w:type="dxa"/>
            <w:gridSpan w:val="2"/>
            <w:vMerge w:val="continue"/>
            <w:vAlign w:val="center"/>
          </w:tcPr>
          <w:p>
            <w:pPr>
              <w:spacing w:line="312" w:lineRule="auto"/>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hint="eastAsia" w:asciiTheme="minorEastAsia" w:hAnsiTheme="minorEastAsia" w:eastAsiaTheme="minorEastAsia"/>
                <w:szCs w:val="21"/>
              </w:rPr>
              <w:t>监理服务期限</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第1.3.</w:t>
            </w:r>
            <w:r>
              <w:rPr>
                <w:rFonts w:hint="eastAsia" w:asciiTheme="minorEastAsia" w:hAnsiTheme="minorEastAsia" w:eastAsiaTheme="minorEastAsia"/>
                <w:szCs w:val="21"/>
              </w:rPr>
              <w:t>2</w:t>
            </w:r>
            <w:r>
              <w:rPr>
                <w:rFonts w:asciiTheme="minorEastAsia" w:hAnsiTheme="minorEastAsia" w:eastAsiaTheme="minorEastAsia"/>
                <w:szCs w:val="21"/>
              </w:rPr>
              <w:t>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5" w:hRule="atLeast"/>
        </w:trPr>
        <w:tc>
          <w:tcPr>
            <w:tcW w:w="642" w:type="dxa"/>
            <w:vMerge w:val="continue"/>
            <w:vAlign w:val="center"/>
          </w:tcPr>
          <w:p>
            <w:pPr>
              <w:spacing w:line="312" w:lineRule="auto"/>
              <w:rPr>
                <w:rFonts w:asciiTheme="minorEastAsia" w:hAnsiTheme="minorEastAsia" w:eastAsiaTheme="minorEastAsia"/>
                <w:szCs w:val="21"/>
              </w:rPr>
            </w:pPr>
          </w:p>
        </w:tc>
        <w:tc>
          <w:tcPr>
            <w:tcW w:w="884" w:type="dxa"/>
            <w:gridSpan w:val="2"/>
            <w:vMerge w:val="continue"/>
            <w:vAlign w:val="center"/>
          </w:tcPr>
          <w:p>
            <w:pPr>
              <w:spacing w:line="312" w:lineRule="auto"/>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质量要求</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第1.3.</w:t>
            </w:r>
            <w:r>
              <w:rPr>
                <w:rFonts w:hint="eastAsia" w:asciiTheme="minorEastAsia" w:hAnsiTheme="minorEastAsia" w:eastAsiaTheme="minorEastAsia"/>
                <w:szCs w:val="21"/>
              </w:rPr>
              <w:t>3</w:t>
            </w:r>
            <w:r>
              <w:rPr>
                <w:rFonts w:asciiTheme="minorEastAsia" w:hAnsiTheme="minorEastAsia" w:eastAsiaTheme="minorEastAsia"/>
                <w:szCs w:val="21"/>
              </w:rPr>
              <w:t>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42" w:type="dxa"/>
            <w:vMerge w:val="continue"/>
            <w:vAlign w:val="center"/>
          </w:tcPr>
          <w:p>
            <w:pPr>
              <w:spacing w:line="312" w:lineRule="auto"/>
              <w:rPr>
                <w:rFonts w:asciiTheme="minorEastAsia" w:hAnsiTheme="minorEastAsia" w:eastAsiaTheme="minorEastAsia"/>
                <w:szCs w:val="21"/>
              </w:rPr>
            </w:pPr>
          </w:p>
        </w:tc>
        <w:tc>
          <w:tcPr>
            <w:tcW w:w="884" w:type="dxa"/>
            <w:gridSpan w:val="2"/>
            <w:vMerge w:val="continue"/>
            <w:vAlign w:val="center"/>
          </w:tcPr>
          <w:p>
            <w:pPr>
              <w:spacing w:line="312" w:lineRule="auto"/>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投标有效期</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第3.3.1项规定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42" w:type="dxa"/>
            <w:vMerge w:val="continue"/>
            <w:vAlign w:val="center"/>
          </w:tcPr>
          <w:p>
            <w:pPr>
              <w:spacing w:line="312" w:lineRule="auto"/>
              <w:rPr>
                <w:rFonts w:asciiTheme="minorEastAsia" w:hAnsiTheme="minorEastAsia" w:eastAsiaTheme="minorEastAsia"/>
                <w:szCs w:val="21"/>
              </w:rPr>
            </w:pPr>
          </w:p>
        </w:tc>
        <w:tc>
          <w:tcPr>
            <w:tcW w:w="884" w:type="dxa"/>
            <w:gridSpan w:val="2"/>
            <w:vMerge w:val="continue"/>
            <w:vAlign w:val="center"/>
          </w:tcPr>
          <w:p>
            <w:pPr>
              <w:spacing w:line="312" w:lineRule="auto"/>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投标保证金</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第3.4.</w:t>
            </w:r>
            <w:r>
              <w:rPr>
                <w:rFonts w:hint="eastAsia" w:asciiTheme="minorEastAsia" w:hAnsiTheme="minorEastAsia" w:eastAsiaTheme="minorEastAsia"/>
                <w:szCs w:val="21"/>
              </w:rPr>
              <w:t>1</w:t>
            </w:r>
            <w:r>
              <w:rPr>
                <w:rFonts w:asciiTheme="minorEastAsia" w:hAnsiTheme="minorEastAsia" w:eastAsiaTheme="minorEastAsia"/>
                <w:szCs w:val="21"/>
              </w:rPr>
              <w:t>项</w:t>
            </w:r>
            <w:r>
              <w:rPr>
                <w:rFonts w:hint="eastAsia" w:asciiTheme="minorEastAsia" w:hAnsiTheme="minorEastAsia" w:eastAsiaTheme="minorEastAsia"/>
                <w:szCs w:val="21"/>
              </w:rPr>
              <w:t>中投标保证金金额、投标保证金形式</w:t>
            </w:r>
            <w:r>
              <w:rPr>
                <w:rFonts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5" w:hRule="atLeast"/>
        </w:trPr>
        <w:tc>
          <w:tcPr>
            <w:tcW w:w="642" w:type="dxa"/>
            <w:vMerge w:val="continue"/>
            <w:vAlign w:val="center"/>
          </w:tcPr>
          <w:p>
            <w:pPr>
              <w:spacing w:line="312" w:lineRule="auto"/>
              <w:rPr>
                <w:rFonts w:asciiTheme="minorEastAsia" w:hAnsiTheme="minorEastAsia" w:eastAsiaTheme="minorEastAsia"/>
                <w:szCs w:val="21"/>
              </w:rPr>
            </w:pPr>
          </w:p>
        </w:tc>
        <w:tc>
          <w:tcPr>
            <w:tcW w:w="884" w:type="dxa"/>
            <w:gridSpan w:val="2"/>
            <w:vMerge w:val="continue"/>
            <w:vAlign w:val="center"/>
          </w:tcPr>
          <w:p>
            <w:pPr>
              <w:spacing w:line="312" w:lineRule="auto"/>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权利义务</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投标函附录中的相关承诺符合第四章</w:t>
            </w:r>
            <w:r>
              <w:rPr>
                <w:rFonts w:hint="eastAsia" w:asciiTheme="minorEastAsia" w:hAnsiTheme="minorEastAsia" w:eastAsiaTheme="minorEastAsia"/>
                <w:szCs w:val="21"/>
              </w:rPr>
              <w:t>“</w:t>
            </w:r>
            <w:r>
              <w:rPr>
                <w:rFonts w:asciiTheme="minorEastAsia" w:hAnsiTheme="minorEastAsia" w:eastAsiaTheme="minorEastAsia"/>
                <w:szCs w:val="21"/>
              </w:rPr>
              <w:t>合同条款及格式</w:t>
            </w:r>
            <w:r>
              <w:rPr>
                <w:rFonts w:hint="eastAsia" w:asciiTheme="minorEastAsia" w:hAnsiTheme="minorEastAsia" w:eastAsiaTheme="minorEastAsia"/>
                <w:szCs w:val="21"/>
              </w:rPr>
              <w:t>”</w:t>
            </w:r>
            <w:r>
              <w:rPr>
                <w:rFonts w:asciiTheme="minorEastAsia" w:hAnsiTheme="minorEastAsia" w:eastAsiaTheme="minorEastAsia"/>
                <w:szCs w:val="21"/>
              </w:rPr>
              <w:t>的相关规定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trPr>
        <w:tc>
          <w:tcPr>
            <w:tcW w:w="642" w:type="dxa"/>
            <w:vMerge w:val="continue"/>
            <w:vAlign w:val="center"/>
          </w:tcPr>
          <w:p>
            <w:pPr>
              <w:spacing w:line="312" w:lineRule="auto"/>
              <w:rPr>
                <w:rFonts w:asciiTheme="minorEastAsia" w:hAnsiTheme="minorEastAsia" w:eastAsiaTheme="minorEastAsia"/>
                <w:szCs w:val="21"/>
              </w:rPr>
            </w:pPr>
          </w:p>
        </w:tc>
        <w:tc>
          <w:tcPr>
            <w:tcW w:w="884" w:type="dxa"/>
            <w:gridSpan w:val="2"/>
            <w:vMerge w:val="continue"/>
            <w:vAlign w:val="center"/>
          </w:tcPr>
          <w:p>
            <w:pPr>
              <w:spacing w:line="312" w:lineRule="auto"/>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技术标准与要求</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符合第五章</w:t>
            </w:r>
            <w:r>
              <w:rPr>
                <w:rFonts w:hint="eastAsia" w:asciiTheme="minorEastAsia" w:hAnsiTheme="minorEastAsia" w:eastAsiaTheme="minorEastAsia"/>
                <w:szCs w:val="21"/>
              </w:rPr>
              <w:t>“监理服务内容、</w:t>
            </w:r>
            <w:r>
              <w:rPr>
                <w:rFonts w:asciiTheme="minorEastAsia" w:hAnsiTheme="minorEastAsia" w:eastAsiaTheme="minorEastAsia"/>
                <w:szCs w:val="21"/>
              </w:rPr>
              <w:t>技术标准与要求</w:t>
            </w:r>
            <w:r>
              <w:rPr>
                <w:rFonts w:hint="eastAsia" w:asciiTheme="minorEastAsia" w:hAnsiTheme="minorEastAsia" w:eastAsiaTheme="minorEastAsia"/>
                <w:szCs w:val="21"/>
              </w:rPr>
              <w:t>”</w:t>
            </w:r>
            <w:r>
              <w:rPr>
                <w:rFonts w:asciiTheme="minorEastAsia" w:hAnsiTheme="minorEastAsia" w:eastAsiaTheme="minorEastAsia"/>
                <w:szCs w:val="21"/>
              </w:rPr>
              <w:t>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7" w:hRule="atLeast"/>
        </w:trPr>
        <w:tc>
          <w:tcPr>
            <w:tcW w:w="642" w:type="dxa"/>
            <w:vMerge w:val="continue"/>
            <w:vAlign w:val="center"/>
          </w:tcPr>
          <w:p>
            <w:pPr>
              <w:spacing w:line="312" w:lineRule="auto"/>
              <w:rPr>
                <w:rFonts w:asciiTheme="minorEastAsia" w:hAnsiTheme="minorEastAsia" w:eastAsiaTheme="minorEastAsia"/>
                <w:szCs w:val="21"/>
              </w:rPr>
            </w:pPr>
          </w:p>
        </w:tc>
        <w:tc>
          <w:tcPr>
            <w:tcW w:w="884" w:type="dxa"/>
            <w:gridSpan w:val="2"/>
            <w:vMerge w:val="continue"/>
            <w:vAlign w:val="center"/>
          </w:tcPr>
          <w:p>
            <w:pPr>
              <w:spacing w:line="312" w:lineRule="auto"/>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hint="eastAsia" w:asciiTheme="minorEastAsia" w:hAnsiTheme="minorEastAsia" w:eastAsiaTheme="minorEastAsia"/>
                <w:szCs w:val="21"/>
              </w:rPr>
              <w:t>投标报价</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低于（含等于）</w:t>
            </w:r>
            <w:r>
              <w:rPr>
                <w:rFonts w:hint="eastAsia" w:asciiTheme="minorEastAsia" w:hAnsiTheme="minorEastAsia" w:eastAsiaTheme="minorEastAsia"/>
                <w:szCs w:val="21"/>
              </w:rPr>
              <w:t>本项目</w:t>
            </w:r>
            <w:r>
              <w:rPr>
                <w:rFonts w:asciiTheme="minorEastAsia" w:hAnsiTheme="minorEastAsia" w:eastAsiaTheme="minorEastAsia"/>
                <w:szCs w:val="21"/>
              </w:rPr>
              <w:t>的招标控制价</w:t>
            </w:r>
            <w:r>
              <w:rPr>
                <w:rFonts w:hint="eastAsia" w:asciiTheme="minorEastAsia" w:hAnsiTheme="minorEastAsia" w:eastAsiaTheme="minorEastAsia"/>
                <w:szCs w:val="21"/>
              </w:rPr>
              <w:t>，</w:t>
            </w:r>
            <w:r>
              <w:rPr>
                <w:rFonts w:asciiTheme="minorEastAsia" w:hAnsiTheme="minorEastAsia" w:eastAsiaTheme="minorEastAsia"/>
                <w:bCs/>
                <w:szCs w:val="21"/>
              </w:rPr>
              <w:t>经评标委员会认定不低于成本竞价</w:t>
            </w:r>
            <w:r>
              <w:rPr>
                <w:rFonts w:hint="eastAsia" w:asciiTheme="minorEastAsia" w:hAnsiTheme="minorEastAsia" w:eastAsiaTheme="minor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1526" w:type="dxa"/>
            <w:gridSpan w:val="3"/>
            <w:vAlign w:val="center"/>
          </w:tcPr>
          <w:p>
            <w:pPr>
              <w:spacing w:line="312" w:lineRule="auto"/>
              <w:jc w:val="center"/>
              <w:rPr>
                <w:rFonts w:asciiTheme="minorEastAsia" w:hAnsiTheme="minorEastAsia" w:eastAsiaTheme="minorEastAsia"/>
                <w:b/>
                <w:szCs w:val="21"/>
              </w:rPr>
            </w:pPr>
            <w:r>
              <w:rPr>
                <w:rFonts w:asciiTheme="minorEastAsia" w:hAnsiTheme="minorEastAsia" w:eastAsiaTheme="minorEastAsia"/>
                <w:b/>
                <w:szCs w:val="21"/>
              </w:rPr>
              <w:t>条款号</w:t>
            </w:r>
          </w:p>
        </w:tc>
        <w:tc>
          <w:tcPr>
            <w:tcW w:w="2551" w:type="dxa"/>
            <w:gridSpan w:val="4"/>
            <w:vAlign w:val="center"/>
          </w:tcPr>
          <w:p>
            <w:pPr>
              <w:spacing w:line="312" w:lineRule="auto"/>
              <w:jc w:val="center"/>
              <w:rPr>
                <w:rFonts w:asciiTheme="minorEastAsia" w:hAnsiTheme="minorEastAsia" w:eastAsiaTheme="minorEastAsia"/>
                <w:b/>
                <w:szCs w:val="21"/>
              </w:rPr>
            </w:pPr>
            <w:r>
              <w:rPr>
                <w:rFonts w:asciiTheme="minorEastAsia" w:hAnsiTheme="minorEastAsia" w:eastAsiaTheme="minorEastAsia"/>
                <w:b/>
                <w:szCs w:val="21"/>
              </w:rPr>
              <w:t>条款内容</w:t>
            </w:r>
          </w:p>
        </w:tc>
        <w:tc>
          <w:tcPr>
            <w:tcW w:w="5245" w:type="dxa"/>
            <w:gridSpan w:val="2"/>
            <w:vAlign w:val="center"/>
          </w:tcPr>
          <w:p>
            <w:pPr>
              <w:spacing w:line="312" w:lineRule="auto"/>
              <w:jc w:val="center"/>
              <w:rPr>
                <w:rFonts w:asciiTheme="minorEastAsia" w:hAnsiTheme="minorEastAsia" w:eastAsiaTheme="minorEastAsia"/>
                <w:b/>
                <w:szCs w:val="21"/>
              </w:rPr>
            </w:pPr>
            <w:r>
              <w:rPr>
                <w:rFonts w:asciiTheme="minorEastAsia" w:hAnsiTheme="minorEastAsia" w:eastAsiaTheme="minorEastAsia"/>
                <w:b/>
                <w:szCs w:val="21"/>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2" w:hRule="atLeast"/>
        </w:trPr>
        <w:tc>
          <w:tcPr>
            <w:tcW w:w="1526" w:type="dxa"/>
            <w:gridSpan w:val="3"/>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2.2.1</w:t>
            </w:r>
          </w:p>
        </w:tc>
        <w:tc>
          <w:tcPr>
            <w:tcW w:w="2551" w:type="dxa"/>
            <w:gridSpan w:val="4"/>
            <w:vAlign w:val="center"/>
          </w:tcPr>
          <w:p>
            <w:pPr>
              <w:spacing w:line="312" w:lineRule="auto"/>
              <w:rPr>
                <w:rFonts w:asciiTheme="minorEastAsia" w:hAnsiTheme="minorEastAsia" w:eastAsiaTheme="minorEastAsia"/>
                <w:szCs w:val="21"/>
              </w:rPr>
            </w:pPr>
            <w:r>
              <w:rPr>
                <w:rFonts w:asciiTheme="minorEastAsia" w:hAnsiTheme="minorEastAsia" w:eastAsiaTheme="minorEastAsia"/>
                <w:szCs w:val="21"/>
              </w:rPr>
              <w:t>分值构成（总分100分）</w:t>
            </w:r>
          </w:p>
        </w:tc>
        <w:tc>
          <w:tcPr>
            <w:tcW w:w="5245" w:type="dxa"/>
            <w:gridSpan w:val="2"/>
            <w:vAlign w:val="center"/>
          </w:tcPr>
          <w:p>
            <w:pPr>
              <w:spacing w:line="312" w:lineRule="auto"/>
              <w:rPr>
                <w:rFonts w:asciiTheme="minorEastAsia" w:hAnsiTheme="minorEastAsia" w:eastAsiaTheme="minorEastAsia"/>
                <w:szCs w:val="21"/>
              </w:rPr>
            </w:pPr>
            <w:r>
              <w:rPr>
                <w:rFonts w:asciiTheme="minorEastAsia" w:hAnsiTheme="minorEastAsia" w:eastAsiaTheme="minorEastAsia"/>
                <w:szCs w:val="21"/>
              </w:rPr>
              <w:t>监理大纲：</w:t>
            </w:r>
            <w:r>
              <w:rPr>
                <w:rFonts w:hint="eastAsia" w:asciiTheme="minorEastAsia" w:hAnsiTheme="minorEastAsia" w:eastAsiaTheme="minorEastAsia"/>
                <w:szCs w:val="21"/>
              </w:rPr>
              <w:t>2</w:t>
            </w:r>
            <w:r>
              <w:rPr>
                <w:rFonts w:asciiTheme="minorEastAsia" w:hAnsiTheme="minorEastAsia" w:eastAsiaTheme="minorEastAsia"/>
                <w:szCs w:val="21"/>
              </w:rPr>
              <w:t>0分</w:t>
            </w:r>
          </w:p>
          <w:p>
            <w:pPr>
              <w:spacing w:line="312" w:lineRule="auto"/>
              <w:rPr>
                <w:rFonts w:asciiTheme="minorEastAsia" w:hAnsiTheme="minorEastAsia" w:eastAsiaTheme="minorEastAsia"/>
                <w:szCs w:val="21"/>
              </w:rPr>
            </w:pPr>
            <w:r>
              <w:rPr>
                <w:rFonts w:asciiTheme="minorEastAsia" w:hAnsiTheme="minorEastAsia" w:eastAsiaTheme="minorEastAsia"/>
                <w:szCs w:val="21"/>
              </w:rPr>
              <w:t>商务</w:t>
            </w:r>
            <w:r>
              <w:rPr>
                <w:rFonts w:hint="eastAsia" w:asciiTheme="minorEastAsia" w:hAnsiTheme="minorEastAsia" w:eastAsiaTheme="minorEastAsia"/>
                <w:szCs w:val="21"/>
              </w:rPr>
              <w:t>部分</w:t>
            </w:r>
            <w:r>
              <w:rPr>
                <w:rFonts w:asciiTheme="minorEastAsia" w:hAnsiTheme="minorEastAsia" w:eastAsiaTheme="minorEastAsia"/>
                <w:szCs w:val="21"/>
              </w:rPr>
              <w:t>：</w:t>
            </w:r>
            <w:r>
              <w:rPr>
                <w:rFonts w:hint="eastAsia" w:asciiTheme="minorEastAsia" w:hAnsiTheme="minorEastAsia" w:eastAsiaTheme="minorEastAsia"/>
                <w:szCs w:val="21"/>
              </w:rPr>
              <w:t>5</w:t>
            </w:r>
            <w:r>
              <w:rPr>
                <w:rFonts w:asciiTheme="minorEastAsia" w:hAnsiTheme="minorEastAsia" w:eastAsiaTheme="minorEastAsia"/>
                <w:szCs w:val="21"/>
              </w:rPr>
              <w:t>0分</w:t>
            </w:r>
          </w:p>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投标报价：30分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9322" w:type="dxa"/>
            <w:gridSpan w:val="9"/>
            <w:vAlign w:val="center"/>
          </w:tcPr>
          <w:p>
            <w:pPr>
              <w:spacing w:line="312" w:lineRule="auto"/>
              <w:jc w:val="center"/>
              <w:rPr>
                <w:rFonts w:asciiTheme="minorEastAsia" w:hAnsiTheme="minorEastAsia" w:eastAsiaTheme="minorEastAsia"/>
                <w:b/>
                <w:szCs w:val="21"/>
              </w:rPr>
            </w:pPr>
            <w:r>
              <w:rPr>
                <w:rFonts w:hint="eastAsia" w:asciiTheme="minorEastAsia" w:hAnsiTheme="minorEastAsia" w:eastAsiaTheme="minorEastAsia"/>
                <w:b/>
                <w:bCs/>
                <w:szCs w:val="21"/>
              </w:rPr>
              <w:t>监理大纲评分表（满分20分，打分保留1位小数）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Align w:val="center"/>
          </w:tcPr>
          <w:p>
            <w:pPr>
              <w:spacing w:line="312" w:lineRule="auto"/>
              <w:jc w:val="center"/>
              <w:rPr>
                <w:rFonts w:asciiTheme="minorEastAsia" w:hAnsiTheme="minorEastAsia" w:eastAsiaTheme="minorEastAsia"/>
                <w:b/>
                <w:szCs w:val="21"/>
              </w:rPr>
            </w:pPr>
            <w:r>
              <w:rPr>
                <w:rFonts w:asciiTheme="minorEastAsia" w:hAnsiTheme="minorEastAsia" w:eastAsiaTheme="minorEastAsia"/>
                <w:b/>
                <w:szCs w:val="21"/>
              </w:rPr>
              <w:t>项目</w:t>
            </w:r>
          </w:p>
        </w:tc>
        <w:tc>
          <w:tcPr>
            <w:tcW w:w="850" w:type="dxa"/>
            <w:vAlign w:val="center"/>
          </w:tcPr>
          <w:p>
            <w:pPr>
              <w:spacing w:line="312" w:lineRule="auto"/>
              <w:jc w:val="center"/>
              <w:rPr>
                <w:rFonts w:asciiTheme="minorEastAsia" w:hAnsiTheme="minorEastAsia" w:eastAsiaTheme="minorEastAsia"/>
                <w:b/>
                <w:szCs w:val="21"/>
              </w:rPr>
            </w:pPr>
            <w:r>
              <w:rPr>
                <w:rFonts w:asciiTheme="minorEastAsia" w:hAnsiTheme="minorEastAsia" w:eastAsiaTheme="minorEastAsia"/>
                <w:b/>
                <w:szCs w:val="21"/>
              </w:rPr>
              <w:t>标准分</w:t>
            </w:r>
          </w:p>
        </w:tc>
        <w:tc>
          <w:tcPr>
            <w:tcW w:w="4471" w:type="dxa"/>
            <w:gridSpan w:val="3"/>
            <w:vAlign w:val="center"/>
          </w:tcPr>
          <w:p>
            <w:pPr>
              <w:spacing w:line="312" w:lineRule="auto"/>
              <w:jc w:val="center"/>
              <w:rPr>
                <w:rFonts w:asciiTheme="minorEastAsia" w:hAnsiTheme="minorEastAsia" w:eastAsiaTheme="minorEastAsia"/>
                <w:b/>
                <w:szCs w:val="21"/>
              </w:rPr>
            </w:pPr>
            <w:r>
              <w:rPr>
                <w:rFonts w:asciiTheme="minorEastAsia" w:hAnsiTheme="minorEastAsia" w:eastAsiaTheme="minorEastAsia"/>
                <w:b/>
                <w:szCs w:val="21"/>
              </w:rPr>
              <w:t>评分标准</w:t>
            </w:r>
          </w:p>
        </w:tc>
        <w:tc>
          <w:tcPr>
            <w:tcW w:w="1766" w:type="dxa"/>
            <w:vAlign w:val="center"/>
          </w:tcPr>
          <w:p>
            <w:pPr>
              <w:spacing w:line="312" w:lineRule="auto"/>
              <w:jc w:val="center"/>
              <w:rPr>
                <w:rFonts w:asciiTheme="minorEastAsia" w:hAnsiTheme="minorEastAsia" w:eastAsiaTheme="minorEastAsia"/>
                <w:b/>
                <w:szCs w:val="21"/>
              </w:rPr>
            </w:pPr>
            <w:r>
              <w:rPr>
                <w:rFonts w:asciiTheme="minorEastAsia" w:hAnsiTheme="minorEastAsia" w:eastAsiaTheme="minorEastAsia"/>
                <w:b/>
                <w:szCs w:val="21"/>
              </w:rPr>
              <w:t>分值</w:t>
            </w:r>
            <w:r>
              <w:rPr>
                <w:rFonts w:hint="eastAsia" w:asciiTheme="minorEastAsia" w:hAnsiTheme="minorEastAsia" w:eastAsiaTheme="minorEastAsia"/>
                <w:b/>
                <w:szCs w:val="21"/>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机构设置与岗位职责</w:t>
            </w:r>
          </w:p>
        </w:tc>
        <w:tc>
          <w:tcPr>
            <w:tcW w:w="850" w:type="dxa"/>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机构设置科学、合理，岗位职责切实可行</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1.8≤</w:t>
            </w:r>
            <w:r>
              <w:rPr>
                <w:rFonts w:asciiTheme="minorEastAsia" w:hAnsiTheme="minorEastAsia" w:eastAsiaTheme="minorEastAsia"/>
                <w:szCs w:val="21"/>
              </w:rPr>
              <w:t>m</w:t>
            </w:r>
            <w:r>
              <w:rPr>
                <w:rFonts w:hint="eastAsia" w:asciiTheme="minorEastAsia" w:hAnsiTheme="minorEastAsia" w:eastAsiaTheme="minorEastAsia"/>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机构设置较好，岗位职责较符合实际</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1.4≤</w:t>
            </w:r>
            <w:r>
              <w:rPr>
                <w:rFonts w:asciiTheme="minorEastAsia" w:hAnsiTheme="minorEastAsia" w:eastAsiaTheme="minorEastAsia"/>
                <w:szCs w:val="21"/>
              </w:rPr>
              <w:t>m&lt;</w:t>
            </w:r>
            <w:r>
              <w:rPr>
                <w:rFonts w:hint="eastAsia" w:asciiTheme="minorEastAsia" w:hAnsiTheme="minorEastAsia" w:eastAsiaTheme="minorEastAsia"/>
                <w:szCs w:val="21"/>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机构设置不合理，岗位职责一般符合实际</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m&lt;</w:t>
            </w:r>
            <w:r>
              <w:rPr>
                <w:rFonts w:hint="eastAsia" w:asciiTheme="minorEastAsia" w:hAnsiTheme="minorEastAsia" w:eastAsiaTheme="minorEastAsia"/>
                <w:szCs w:val="21"/>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restart"/>
            <w:vAlign w:val="center"/>
          </w:tcPr>
          <w:p>
            <w:pPr>
              <w:spacing w:line="276" w:lineRule="auto"/>
              <w:jc w:val="center"/>
              <w:rPr>
                <w:rFonts w:asciiTheme="minorEastAsia" w:hAnsiTheme="minorEastAsia" w:eastAsiaTheme="minorEastAsia"/>
                <w:szCs w:val="21"/>
              </w:rPr>
            </w:pPr>
            <w:r>
              <w:rPr>
                <w:rFonts w:hint="eastAsia"/>
                <w:szCs w:val="21"/>
              </w:rPr>
              <w:t>供电系统专题方案</w:t>
            </w:r>
          </w:p>
        </w:tc>
        <w:tc>
          <w:tcPr>
            <w:tcW w:w="850" w:type="dxa"/>
            <w:vMerge w:val="restart"/>
            <w:vAlign w:val="center"/>
          </w:tcPr>
          <w:p>
            <w:pPr>
              <w:spacing w:line="276" w:lineRule="auto"/>
              <w:jc w:val="center"/>
              <w:rPr>
                <w:rFonts w:asciiTheme="minorEastAsia" w:hAnsiTheme="minorEastAsia" w:eastAsiaTheme="minorEastAsia"/>
                <w:szCs w:val="21"/>
              </w:rPr>
            </w:pPr>
            <w:r>
              <w:rPr>
                <w:rFonts w:hint="eastAsia" w:eastAsiaTheme="minorEastAsia"/>
                <w:szCs w:val="21"/>
              </w:rPr>
              <w:t>2</w:t>
            </w:r>
          </w:p>
        </w:tc>
        <w:tc>
          <w:tcPr>
            <w:tcW w:w="4471" w:type="dxa"/>
            <w:gridSpan w:val="3"/>
            <w:vAlign w:val="center"/>
          </w:tcPr>
          <w:p>
            <w:pPr>
              <w:spacing w:line="276" w:lineRule="auto"/>
              <w:jc w:val="left"/>
              <w:rPr>
                <w:rFonts w:cs="宋体" w:asciiTheme="minorEastAsia" w:hAnsiTheme="minorEastAsia" w:eastAsiaTheme="minorEastAsia"/>
                <w:szCs w:val="21"/>
              </w:rPr>
            </w:pPr>
            <w:r>
              <w:rPr>
                <w:rFonts w:hint="eastAsia"/>
                <w:szCs w:val="21"/>
              </w:rPr>
              <w:t>方案科学、合理，重点突出，措施有力，针对性强</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1.8≤</w:t>
            </w:r>
            <w:r>
              <w:rPr>
                <w:rFonts w:asciiTheme="minorEastAsia" w:hAnsiTheme="minorEastAsia" w:eastAsiaTheme="minorEastAsia"/>
                <w:szCs w:val="21"/>
              </w:rPr>
              <w:t>m</w:t>
            </w:r>
            <w:r>
              <w:rPr>
                <w:rFonts w:hint="eastAsia" w:asciiTheme="minorEastAsia" w:hAnsiTheme="minorEastAsia" w:eastAsiaTheme="minorEastAsia"/>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276" w:lineRule="auto"/>
              <w:jc w:val="left"/>
              <w:rPr>
                <w:rFonts w:cs="宋体" w:asciiTheme="minorEastAsia" w:hAnsiTheme="minorEastAsia" w:eastAsiaTheme="minorEastAsia"/>
                <w:szCs w:val="21"/>
              </w:rPr>
            </w:pPr>
            <w:r>
              <w:rPr>
                <w:rFonts w:hint="eastAsia"/>
                <w:szCs w:val="21"/>
              </w:rPr>
              <w:t>方案可行、措施较好</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1.4≤</w:t>
            </w:r>
            <w:r>
              <w:rPr>
                <w:rFonts w:asciiTheme="minorEastAsia" w:hAnsiTheme="minorEastAsia" w:eastAsiaTheme="minorEastAsia"/>
                <w:szCs w:val="21"/>
              </w:rPr>
              <w:t>m&lt;</w:t>
            </w:r>
            <w:r>
              <w:rPr>
                <w:rFonts w:hint="eastAsia" w:asciiTheme="minorEastAsia" w:hAnsiTheme="minorEastAsia" w:eastAsiaTheme="minorEastAsia"/>
                <w:szCs w:val="21"/>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276" w:lineRule="auto"/>
              <w:jc w:val="left"/>
              <w:rPr>
                <w:rFonts w:cs="宋体" w:asciiTheme="minorEastAsia" w:hAnsiTheme="minorEastAsia" w:eastAsiaTheme="minorEastAsia"/>
                <w:szCs w:val="21"/>
              </w:rPr>
            </w:pPr>
            <w:r>
              <w:rPr>
                <w:rFonts w:hint="eastAsia"/>
                <w:szCs w:val="21"/>
              </w:rPr>
              <w:t>方案有缺陷、措施一般合理</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m&lt;</w:t>
            </w:r>
            <w:r>
              <w:rPr>
                <w:rFonts w:hint="eastAsia" w:asciiTheme="minorEastAsia" w:hAnsiTheme="minorEastAsia" w:eastAsiaTheme="minorEastAsia"/>
                <w:szCs w:val="21"/>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restart"/>
            <w:vAlign w:val="center"/>
          </w:tcPr>
          <w:p>
            <w:pPr>
              <w:spacing w:line="276" w:lineRule="auto"/>
              <w:jc w:val="center"/>
              <w:rPr>
                <w:rFonts w:asciiTheme="minorEastAsia" w:hAnsiTheme="minorEastAsia" w:eastAsiaTheme="minorEastAsia"/>
                <w:szCs w:val="21"/>
              </w:rPr>
            </w:pPr>
            <w:r>
              <w:rPr>
                <w:rFonts w:hint="eastAsia"/>
                <w:szCs w:val="21"/>
              </w:rPr>
              <w:t>通信系统专题方案</w:t>
            </w:r>
          </w:p>
        </w:tc>
        <w:tc>
          <w:tcPr>
            <w:tcW w:w="850" w:type="dxa"/>
            <w:vMerge w:val="restart"/>
            <w:vAlign w:val="center"/>
          </w:tcPr>
          <w:p>
            <w:pPr>
              <w:spacing w:line="276" w:lineRule="auto"/>
              <w:jc w:val="center"/>
              <w:rPr>
                <w:rFonts w:asciiTheme="minorEastAsia" w:hAnsiTheme="minorEastAsia" w:eastAsiaTheme="minorEastAsia"/>
                <w:szCs w:val="21"/>
              </w:rPr>
            </w:pPr>
            <w:r>
              <w:rPr>
                <w:rFonts w:hint="eastAsia" w:eastAsiaTheme="minorEastAsia"/>
                <w:szCs w:val="21"/>
              </w:rPr>
              <w:t>2</w:t>
            </w:r>
          </w:p>
        </w:tc>
        <w:tc>
          <w:tcPr>
            <w:tcW w:w="4471" w:type="dxa"/>
            <w:gridSpan w:val="3"/>
            <w:vAlign w:val="center"/>
          </w:tcPr>
          <w:p>
            <w:pPr>
              <w:spacing w:line="276" w:lineRule="auto"/>
              <w:jc w:val="left"/>
              <w:rPr>
                <w:rFonts w:cs="宋体" w:asciiTheme="minorEastAsia" w:hAnsiTheme="minorEastAsia" w:eastAsiaTheme="minorEastAsia"/>
                <w:szCs w:val="21"/>
              </w:rPr>
            </w:pPr>
            <w:r>
              <w:rPr>
                <w:rFonts w:hint="eastAsia"/>
                <w:szCs w:val="21"/>
              </w:rPr>
              <w:t>方案科学、合理，重点突出，措施有力，针对性强</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1.8≤</w:t>
            </w:r>
            <w:r>
              <w:rPr>
                <w:rFonts w:asciiTheme="minorEastAsia" w:hAnsiTheme="minorEastAsia" w:eastAsiaTheme="minorEastAsia"/>
                <w:szCs w:val="21"/>
              </w:rPr>
              <w:t>m</w:t>
            </w:r>
            <w:r>
              <w:rPr>
                <w:rFonts w:hint="eastAsia" w:asciiTheme="minorEastAsia" w:hAnsiTheme="minorEastAsia" w:eastAsiaTheme="minorEastAsia"/>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276" w:lineRule="auto"/>
              <w:jc w:val="left"/>
              <w:rPr>
                <w:rFonts w:cs="宋体" w:asciiTheme="minorEastAsia" w:hAnsiTheme="minorEastAsia" w:eastAsiaTheme="minorEastAsia"/>
                <w:szCs w:val="21"/>
              </w:rPr>
            </w:pPr>
            <w:r>
              <w:rPr>
                <w:rFonts w:hint="eastAsia"/>
                <w:szCs w:val="21"/>
              </w:rPr>
              <w:t>方案可行、措施较好</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1.4≤</w:t>
            </w:r>
            <w:r>
              <w:rPr>
                <w:rFonts w:asciiTheme="minorEastAsia" w:hAnsiTheme="minorEastAsia" w:eastAsiaTheme="minorEastAsia"/>
                <w:szCs w:val="21"/>
              </w:rPr>
              <w:t>m&lt;</w:t>
            </w:r>
            <w:r>
              <w:rPr>
                <w:rFonts w:hint="eastAsia" w:asciiTheme="minorEastAsia" w:hAnsiTheme="minorEastAsia" w:eastAsiaTheme="minorEastAsia"/>
                <w:szCs w:val="21"/>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276" w:lineRule="auto"/>
              <w:jc w:val="left"/>
              <w:rPr>
                <w:rFonts w:cs="宋体" w:asciiTheme="minorEastAsia" w:hAnsiTheme="minorEastAsia" w:eastAsiaTheme="minorEastAsia"/>
                <w:szCs w:val="21"/>
              </w:rPr>
            </w:pPr>
            <w:r>
              <w:rPr>
                <w:rFonts w:hint="eastAsia"/>
                <w:szCs w:val="21"/>
              </w:rPr>
              <w:t>方案有缺陷、措施一般合理</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m&lt;</w:t>
            </w:r>
            <w:r>
              <w:rPr>
                <w:rFonts w:hint="eastAsia" w:asciiTheme="minorEastAsia" w:hAnsiTheme="minorEastAsia" w:eastAsiaTheme="minorEastAsia"/>
                <w:szCs w:val="21"/>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restart"/>
            <w:vAlign w:val="center"/>
          </w:tcPr>
          <w:p>
            <w:pPr>
              <w:spacing w:line="276" w:lineRule="auto"/>
              <w:jc w:val="center"/>
              <w:rPr>
                <w:rFonts w:asciiTheme="minorEastAsia" w:hAnsiTheme="minorEastAsia" w:eastAsiaTheme="minorEastAsia"/>
                <w:szCs w:val="21"/>
              </w:rPr>
            </w:pPr>
            <w:r>
              <w:rPr>
                <w:rFonts w:hint="eastAsia"/>
                <w:szCs w:val="21"/>
              </w:rPr>
              <w:t>信号系统专题方案</w:t>
            </w:r>
          </w:p>
        </w:tc>
        <w:tc>
          <w:tcPr>
            <w:tcW w:w="850" w:type="dxa"/>
            <w:vMerge w:val="restart"/>
            <w:vAlign w:val="center"/>
          </w:tcPr>
          <w:p>
            <w:pPr>
              <w:spacing w:line="276" w:lineRule="auto"/>
              <w:jc w:val="center"/>
              <w:rPr>
                <w:rFonts w:asciiTheme="minorEastAsia" w:hAnsiTheme="minorEastAsia" w:eastAsiaTheme="minorEastAsia"/>
                <w:szCs w:val="21"/>
              </w:rPr>
            </w:pPr>
            <w:r>
              <w:rPr>
                <w:rFonts w:hint="eastAsia" w:eastAsiaTheme="minorEastAsia"/>
                <w:szCs w:val="21"/>
              </w:rPr>
              <w:t>2</w:t>
            </w:r>
          </w:p>
        </w:tc>
        <w:tc>
          <w:tcPr>
            <w:tcW w:w="4471" w:type="dxa"/>
            <w:gridSpan w:val="3"/>
            <w:vAlign w:val="center"/>
          </w:tcPr>
          <w:p>
            <w:pPr>
              <w:spacing w:line="276" w:lineRule="auto"/>
              <w:jc w:val="left"/>
              <w:rPr>
                <w:rFonts w:cs="宋体" w:asciiTheme="minorEastAsia" w:hAnsiTheme="minorEastAsia" w:eastAsiaTheme="minorEastAsia"/>
                <w:szCs w:val="21"/>
              </w:rPr>
            </w:pPr>
            <w:r>
              <w:rPr>
                <w:rFonts w:hint="eastAsia"/>
                <w:szCs w:val="21"/>
              </w:rPr>
              <w:t>方案科学、合理，重点突出，措施有力，针对性强</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1.8≤</w:t>
            </w:r>
            <w:r>
              <w:rPr>
                <w:rFonts w:asciiTheme="minorEastAsia" w:hAnsiTheme="minorEastAsia" w:eastAsiaTheme="minorEastAsia"/>
                <w:szCs w:val="21"/>
              </w:rPr>
              <w:t>m</w:t>
            </w:r>
            <w:r>
              <w:rPr>
                <w:rFonts w:hint="eastAsia" w:asciiTheme="minorEastAsia" w:hAnsiTheme="minorEastAsia" w:eastAsiaTheme="minorEastAsia"/>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cs="宋体" w:asciiTheme="minorEastAsia" w:hAnsiTheme="minorEastAsia" w:eastAsiaTheme="minorEastAsia"/>
                <w:szCs w:val="21"/>
              </w:rPr>
            </w:pPr>
            <w:r>
              <w:rPr>
                <w:rFonts w:hint="eastAsia"/>
                <w:szCs w:val="21"/>
              </w:rPr>
              <w:t>方案可行、措施较好</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1.4≤</w:t>
            </w:r>
            <w:r>
              <w:rPr>
                <w:rFonts w:asciiTheme="minorEastAsia" w:hAnsiTheme="minorEastAsia" w:eastAsiaTheme="minorEastAsia"/>
                <w:szCs w:val="21"/>
              </w:rPr>
              <w:t>m&lt;</w:t>
            </w:r>
            <w:r>
              <w:rPr>
                <w:rFonts w:hint="eastAsia" w:asciiTheme="minorEastAsia" w:hAnsiTheme="minorEastAsia" w:eastAsiaTheme="minorEastAsia"/>
                <w:szCs w:val="21"/>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cs="宋体" w:asciiTheme="minorEastAsia" w:hAnsiTheme="minorEastAsia" w:eastAsiaTheme="minorEastAsia"/>
                <w:szCs w:val="21"/>
              </w:rPr>
            </w:pPr>
            <w:r>
              <w:rPr>
                <w:rFonts w:hint="eastAsia"/>
                <w:szCs w:val="21"/>
              </w:rPr>
              <w:t>方案有缺陷、措施一般合理</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m&lt;</w:t>
            </w:r>
            <w:r>
              <w:rPr>
                <w:rFonts w:hint="eastAsia" w:asciiTheme="minorEastAsia" w:hAnsiTheme="minorEastAsia" w:eastAsiaTheme="minorEastAsia"/>
                <w:szCs w:val="21"/>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质量控制的措施和方法</w:t>
            </w:r>
          </w:p>
        </w:tc>
        <w:tc>
          <w:tcPr>
            <w:tcW w:w="850" w:type="dxa"/>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对质量的控制方法科学、合理，具有先进性，措施有力，有针对性</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1.8≤</w:t>
            </w:r>
            <w:r>
              <w:rPr>
                <w:rFonts w:asciiTheme="minorEastAsia" w:hAnsiTheme="minorEastAsia" w:eastAsiaTheme="minorEastAsia"/>
                <w:szCs w:val="21"/>
              </w:rPr>
              <w:t>m</w:t>
            </w:r>
            <w:r>
              <w:rPr>
                <w:rFonts w:hint="eastAsia" w:asciiTheme="minorEastAsia" w:hAnsiTheme="minorEastAsia" w:eastAsiaTheme="minorEastAsia"/>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方法可行、措施较好</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1.4≤</w:t>
            </w:r>
            <w:r>
              <w:rPr>
                <w:rFonts w:asciiTheme="minorEastAsia" w:hAnsiTheme="minorEastAsia" w:eastAsiaTheme="minorEastAsia"/>
                <w:szCs w:val="21"/>
              </w:rPr>
              <w:t>m&lt;</w:t>
            </w:r>
            <w:r>
              <w:rPr>
                <w:rFonts w:hint="eastAsia" w:asciiTheme="minorEastAsia" w:hAnsiTheme="minorEastAsia" w:eastAsiaTheme="minorEastAsia"/>
                <w:szCs w:val="21"/>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措施不力、方法一般合理</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m&lt;</w:t>
            </w:r>
            <w:r>
              <w:rPr>
                <w:rFonts w:hint="eastAsia" w:asciiTheme="minorEastAsia" w:hAnsiTheme="minorEastAsia" w:eastAsiaTheme="minorEastAsia"/>
                <w:szCs w:val="21"/>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工期控制的措施和方法</w:t>
            </w:r>
          </w:p>
        </w:tc>
        <w:tc>
          <w:tcPr>
            <w:tcW w:w="850" w:type="dxa"/>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对工期的控制方法科学、合理，具有先进性，措施有力，有针对性</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0.8≤</w:t>
            </w:r>
            <w:r>
              <w:rPr>
                <w:rFonts w:asciiTheme="minorEastAsia" w:hAnsiTheme="minorEastAsia" w:eastAsiaTheme="minorEastAsia"/>
                <w:szCs w:val="21"/>
              </w:rPr>
              <w:t>m</w:t>
            </w:r>
            <w:r>
              <w:rPr>
                <w:rFonts w:hint="eastAsia" w:asciiTheme="minorEastAsia" w:hAnsiTheme="minorEastAsia" w:eastAsiaTheme="minorEastAsia"/>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措施、方法一般合理</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0.5≤</w:t>
            </w:r>
            <w:r>
              <w:rPr>
                <w:rFonts w:asciiTheme="minorEastAsia" w:hAnsiTheme="minorEastAsia" w:eastAsiaTheme="minorEastAsia"/>
                <w:szCs w:val="21"/>
              </w:rPr>
              <w:t>m&lt;</w:t>
            </w:r>
            <w:r>
              <w:rPr>
                <w:rFonts w:hint="eastAsia" w:asciiTheme="minorEastAsia" w:hAnsiTheme="minorEastAsia" w:eastAsiaTheme="minorEastAsia"/>
                <w:szCs w:val="21"/>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费用控制的措施和方法</w:t>
            </w:r>
          </w:p>
        </w:tc>
        <w:tc>
          <w:tcPr>
            <w:tcW w:w="850" w:type="dxa"/>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对费用的控制方法科学、合理，具有先进性，措施有力，有针对性</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0.8≤</w:t>
            </w:r>
            <w:r>
              <w:rPr>
                <w:rFonts w:asciiTheme="minorEastAsia" w:hAnsiTheme="minorEastAsia" w:eastAsiaTheme="minorEastAsia"/>
                <w:szCs w:val="21"/>
              </w:rPr>
              <w:t>m</w:t>
            </w:r>
            <w:r>
              <w:rPr>
                <w:rFonts w:hint="eastAsia" w:asciiTheme="minorEastAsia" w:hAnsiTheme="minorEastAsia" w:eastAsiaTheme="minorEastAsia"/>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措施、方法一般合理</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0.5≤</w:t>
            </w:r>
            <w:r>
              <w:rPr>
                <w:rFonts w:asciiTheme="minorEastAsia" w:hAnsiTheme="minorEastAsia" w:eastAsiaTheme="minorEastAsia"/>
                <w:szCs w:val="21"/>
              </w:rPr>
              <w:t>m&lt;</w:t>
            </w:r>
            <w:r>
              <w:rPr>
                <w:rFonts w:hint="eastAsia" w:asciiTheme="minorEastAsia" w:hAnsiTheme="minorEastAsia" w:eastAsiaTheme="minorEastAsia"/>
                <w:szCs w:val="21"/>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合同、信息管理</w:t>
            </w:r>
          </w:p>
        </w:tc>
        <w:tc>
          <w:tcPr>
            <w:tcW w:w="850" w:type="dxa"/>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4471" w:type="dxa"/>
            <w:gridSpan w:val="3"/>
            <w:vAlign w:val="center"/>
          </w:tcPr>
          <w:p>
            <w:pPr>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对合同、信息管理的控制方法科学、合理，措施有力，有针对性</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0.8≤</w:t>
            </w:r>
            <w:r>
              <w:rPr>
                <w:rFonts w:asciiTheme="minorEastAsia" w:hAnsiTheme="minorEastAsia" w:eastAsiaTheme="minorEastAsia"/>
                <w:szCs w:val="21"/>
              </w:rPr>
              <w:t>m</w:t>
            </w:r>
            <w:r>
              <w:rPr>
                <w:rFonts w:hint="eastAsia" w:asciiTheme="minorEastAsia" w:hAnsiTheme="minorEastAsia" w:eastAsiaTheme="minorEastAsia"/>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措施、方法一般合理</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0.5≤</w:t>
            </w:r>
            <w:r>
              <w:rPr>
                <w:rFonts w:asciiTheme="minorEastAsia" w:hAnsiTheme="minorEastAsia" w:eastAsiaTheme="minorEastAsia"/>
                <w:szCs w:val="21"/>
              </w:rPr>
              <w:t>m&lt;</w:t>
            </w:r>
            <w:r>
              <w:rPr>
                <w:rFonts w:hint="eastAsia" w:asciiTheme="minorEastAsia" w:hAnsiTheme="minorEastAsia" w:eastAsiaTheme="minorEastAsia"/>
                <w:szCs w:val="21"/>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restart"/>
            <w:vAlign w:val="center"/>
          </w:tcPr>
          <w:p>
            <w:pPr>
              <w:spacing w:line="276" w:lineRule="auto"/>
              <w:jc w:val="center"/>
              <w:rPr>
                <w:rFonts w:asciiTheme="minorEastAsia" w:hAnsiTheme="minorEastAsia" w:eastAsiaTheme="minorEastAsia"/>
                <w:szCs w:val="21"/>
              </w:rPr>
            </w:pPr>
            <w:r>
              <w:rPr>
                <w:rFonts w:hint="eastAsia"/>
                <w:szCs w:val="21"/>
              </w:rPr>
              <w:t>各系统调试、联调方案及接口管理方案</w:t>
            </w:r>
          </w:p>
        </w:tc>
        <w:tc>
          <w:tcPr>
            <w:tcW w:w="850" w:type="dxa"/>
            <w:vMerge w:val="restart"/>
            <w:vAlign w:val="center"/>
          </w:tcPr>
          <w:p>
            <w:pPr>
              <w:spacing w:line="276" w:lineRule="auto"/>
              <w:jc w:val="center"/>
              <w:rPr>
                <w:rFonts w:asciiTheme="minorEastAsia" w:hAnsiTheme="minorEastAsia" w:eastAsiaTheme="minorEastAsia"/>
                <w:szCs w:val="21"/>
              </w:rPr>
            </w:pPr>
            <w:r>
              <w:rPr>
                <w:rFonts w:hint="eastAsia" w:eastAsiaTheme="minorEastAsia"/>
                <w:szCs w:val="21"/>
              </w:rPr>
              <w:t>1</w:t>
            </w:r>
          </w:p>
        </w:tc>
        <w:tc>
          <w:tcPr>
            <w:tcW w:w="4471" w:type="dxa"/>
            <w:gridSpan w:val="3"/>
            <w:vAlign w:val="center"/>
          </w:tcPr>
          <w:p>
            <w:pPr>
              <w:spacing w:line="276" w:lineRule="auto"/>
              <w:jc w:val="left"/>
              <w:rPr>
                <w:rFonts w:asciiTheme="minorEastAsia" w:hAnsiTheme="minorEastAsia" w:eastAsiaTheme="minorEastAsia"/>
                <w:szCs w:val="21"/>
              </w:rPr>
            </w:pPr>
            <w:r>
              <w:rPr>
                <w:rFonts w:hint="eastAsia"/>
                <w:szCs w:val="21"/>
              </w:rPr>
              <w:t>方案科学、合理，重点突出，措施有力，针对性强</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0.8≤</w:t>
            </w:r>
            <w:r>
              <w:rPr>
                <w:rFonts w:asciiTheme="minorEastAsia" w:hAnsiTheme="minorEastAsia" w:eastAsiaTheme="minorEastAsia"/>
                <w:szCs w:val="21"/>
              </w:rPr>
              <w:t>m</w:t>
            </w:r>
            <w:r>
              <w:rPr>
                <w:rFonts w:hint="eastAsia" w:asciiTheme="minorEastAsia" w:hAnsiTheme="minorEastAsia" w:eastAsiaTheme="minorEastAsia"/>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szCs w:val="21"/>
              </w:rPr>
              <w:t>方案有缺陷、措施一般合理</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0.5≤</w:t>
            </w:r>
            <w:r>
              <w:rPr>
                <w:rFonts w:asciiTheme="minorEastAsia" w:hAnsiTheme="minorEastAsia" w:eastAsiaTheme="minorEastAsia"/>
                <w:szCs w:val="21"/>
              </w:rPr>
              <w:t>m&lt;</w:t>
            </w:r>
            <w:r>
              <w:rPr>
                <w:rFonts w:hint="eastAsia" w:asciiTheme="minorEastAsia" w:hAnsiTheme="minorEastAsia" w:eastAsiaTheme="minorEastAsia"/>
                <w:szCs w:val="21"/>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安全监理</w:t>
            </w:r>
          </w:p>
        </w:tc>
        <w:tc>
          <w:tcPr>
            <w:tcW w:w="850" w:type="dxa"/>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4471" w:type="dxa"/>
            <w:gridSpan w:val="3"/>
            <w:vAlign w:val="center"/>
          </w:tcPr>
          <w:p>
            <w:pPr>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对安全监理的控制方法科学、合理，得当，措施有力，有针对性</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0.8≤</w:t>
            </w:r>
            <w:r>
              <w:rPr>
                <w:rFonts w:asciiTheme="minorEastAsia" w:hAnsiTheme="minorEastAsia" w:eastAsiaTheme="minorEastAsia"/>
                <w:szCs w:val="21"/>
              </w:rPr>
              <w:t>m</w:t>
            </w:r>
            <w:r>
              <w:rPr>
                <w:rFonts w:hint="eastAsia" w:asciiTheme="minorEastAsia" w:hAnsiTheme="minorEastAsia" w:eastAsiaTheme="minorEastAsia"/>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措施、方法一般合理</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0.5≤</w:t>
            </w:r>
            <w:r>
              <w:rPr>
                <w:rFonts w:asciiTheme="minorEastAsia" w:hAnsiTheme="minorEastAsia" w:eastAsiaTheme="minorEastAsia"/>
                <w:szCs w:val="21"/>
              </w:rPr>
              <w:t>m&lt;</w:t>
            </w:r>
            <w:r>
              <w:rPr>
                <w:rFonts w:hint="eastAsia" w:asciiTheme="minorEastAsia" w:hAnsiTheme="minorEastAsia" w:eastAsiaTheme="minorEastAsia"/>
                <w:szCs w:val="21"/>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环境监理（须包含大气污染防治、扬尘治理及建筑垃圾处理监理方案）</w:t>
            </w:r>
          </w:p>
        </w:tc>
        <w:tc>
          <w:tcPr>
            <w:tcW w:w="850" w:type="dxa"/>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4471" w:type="dxa"/>
            <w:gridSpan w:val="3"/>
            <w:vAlign w:val="center"/>
          </w:tcPr>
          <w:p>
            <w:pPr>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环境监理的方案科学、合理，达到环保要求，有针对性</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0.8≤</w:t>
            </w:r>
            <w:r>
              <w:rPr>
                <w:rFonts w:asciiTheme="minorEastAsia" w:hAnsiTheme="minorEastAsia" w:eastAsiaTheme="minorEastAsia"/>
                <w:szCs w:val="21"/>
              </w:rPr>
              <w:t>m</w:t>
            </w:r>
            <w:r>
              <w:rPr>
                <w:rFonts w:hint="eastAsia" w:asciiTheme="minorEastAsia" w:hAnsiTheme="minorEastAsia" w:eastAsiaTheme="minorEastAsia"/>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8"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方法可行、一般</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0.5≤</w:t>
            </w:r>
            <w:r>
              <w:rPr>
                <w:rFonts w:asciiTheme="minorEastAsia" w:hAnsiTheme="minorEastAsia" w:eastAsiaTheme="minorEastAsia"/>
                <w:szCs w:val="21"/>
              </w:rPr>
              <w:t>m&lt;</w:t>
            </w:r>
            <w:r>
              <w:rPr>
                <w:rFonts w:hint="eastAsia" w:asciiTheme="minorEastAsia" w:hAnsiTheme="minorEastAsia" w:eastAsiaTheme="minorEastAsia"/>
                <w:szCs w:val="21"/>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7" w:hRule="atLeast"/>
        </w:trPr>
        <w:tc>
          <w:tcPr>
            <w:tcW w:w="2235" w:type="dxa"/>
            <w:gridSpan w:val="4"/>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本工程监理工作的重点与难点分析</w:t>
            </w:r>
          </w:p>
        </w:tc>
        <w:tc>
          <w:tcPr>
            <w:tcW w:w="850" w:type="dxa"/>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重点与难点分析的科学、合理，能够针对本项目特点进行重点与难点分析</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2.5≤</w:t>
            </w:r>
            <w:r>
              <w:rPr>
                <w:rFonts w:asciiTheme="minorEastAsia" w:hAnsiTheme="minorEastAsia" w:eastAsiaTheme="minorEastAsia"/>
                <w:szCs w:val="21"/>
              </w:rPr>
              <w:t>m</w:t>
            </w:r>
            <w:r>
              <w:rPr>
                <w:rFonts w:hint="eastAsia" w:asciiTheme="minorEastAsia" w:hAnsiTheme="minorEastAsia" w:eastAsiaTheme="minorEastAsia"/>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7"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分析较可行、较好</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2.0≤</w:t>
            </w:r>
            <w:r>
              <w:rPr>
                <w:rFonts w:asciiTheme="minorEastAsia" w:hAnsiTheme="minorEastAsia" w:eastAsiaTheme="minorEastAsia"/>
                <w:szCs w:val="21"/>
              </w:rPr>
              <w:t>m&lt;</w:t>
            </w:r>
            <w:r>
              <w:rPr>
                <w:rFonts w:hint="eastAsia" w:asciiTheme="minorEastAsia" w:hAnsiTheme="minorEastAsia" w:eastAsiaTheme="minorEastAsia"/>
                <w:szCs w:val="21"/>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7"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重点与难点分析一般到位，针对性一般</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1.5≤</w:t>
            </w:r>
            <w:r>
              <w:rPr>
                <w:rFonts w:asciiTheme="minorEastAsia" w:hAnsiTheme="minorEastAsia" w:eastAsiaTheme="minorEastAsia"/>
                <w:szCs w:val="21"/>
              </w:rPr>
              <w:t>m&lt;</w:t>
            </w:r>
            <w:r>
              <w:rPr>
                <w:rFonts w:hint="eastAsia" w:asciiTheme="minorEastAsia" w:hAnsiTheme="minorEastAsia" w:eastAsiaTheme="minorEastAsia"/>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7" w:hRule="atLeast"/>
        </w:trPr>
        <w:tc>
          <w:tcPr>
            <w:tcW w:w="2235" w:type="dxa"/>
            <w:gridSpan w:val="4"/>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协调配合</w:t>
            </w:r>
          </w:p>
        </w:tc>
        <w:tc>
          <w:tcPr>
            <w:tcW w:w="850" w:type="dxa"/>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4471" w:type="dxa"/>
            <w:gridSpan w:val="3"/>
            <w:vAlign w:val="center"/>
          </w:tcPr>
          <w:p>
            <w:pPr>
              <w:spacing w:line="312" w:lineRule="auto"/>
              <w:jc w:val="left"/>
              <w:rPr>
                <w:szCs w:val="21"/>
              </w:rPr>
            </w:pPr>
            <w:r>
              <w:rPr>
                <w:rFonts w:hint="eastAsia" w:asciiTheme="minorEastAsia" w:hAnsiTheme="minorEastAsia" w:eastAsiaTheme="minorEastAsia"/>
                <w:szCs w:val="21"/>
              </w:rPr>
              <w:t>协调配合的方法合理，得当，有力，有针对性</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0.8≤</w:t>
            </w:r>
            <w:r>
              <w:rPr>
                <w:rFonts w:asciiTheme="minorEastAsia" w:hAnsiTheme="minorEastAsia" w:eastAsiaTheme="minorEastAsia"/>
                <w:szCs w:val="21"/>
              </w:rPr>
              <w:t>m</w:t>
            </w:r>
            <w:r>
              <w:rPr>
                <w:rFonts w:hint="eastAsia" w:asciiTheme="minorEastAsia" w:hAnsiTheme="minorEastAsia" w:eastAsiaTheme="minorEastAsia"/>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7" w:hRule="atLeast"/>
        </w:trPr>
        <w:tc>
          <w:tcPr>
            <w:tcW w:w="2235" w:type="dxa"/>
            <w:gridSpan w:val="4"/>
            <w:vMerge w:val="continue"/>
            <w:tcBorders>
              <w:top w:val="nil"/>
            </w:tcBorders>
            <w:vAlign w:val="center"/>
          </w:tcPr>
          <w:p>
            <w:pPr>
              <w:spacing w:line="312" w:lineRule="auto"/>
              <w:jc w:val="center"/>
              <w:rPr>
                <w:rFonts w:asciiTheme="minorEastAsia" w:hAnsiTheme="minorEastAsia" w:eastAsiaTheme="minorEastAsia"/>
                <w:szCs w:val="21"/>
              </w:rPr>
            </w:pPr>
          </w:p>
        </w:tc>
        <w:tc>
          <w:tcPr>
            <w:tcW w:w="850" w:type="dxa"/>
            <w:vMerge w:val="continue"/>
            <w:tcBorders>
              <w:top w:val="nil"/>
            </w:tcBorders>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szCs w:val="21"/>
              </w:rPr>
            </w:pPr>
            <w:r>
              <w:rPr>
                <w:rFonts w:hint="eastAsia" w:asciiTheme="minorEastAsia" w:hAnsiTheme="minorEastAsia" w:eastAsiaTheme="minorEastAsia"/>
                <w:szCs w:val="21"/>
              </w:rPr>
              <w:t>措施不力、方法不合理</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0.5≤</w:t>
            </w:r>
            <w:r>
              <w:rPr>
                <w:rFonts w:asciiTheme="minorEastAsia" w:hAnsiTheme="minorEastAsia" w:eastAsiaTheme="minorEastAsia"/>
                <w:szCs w:val="21"/>
              </w:rPr>
              <w:t>m&lt;</w:t>
            </w:r>
            <w:r>
              <w:rPr>
                <w:rFonts w:hint="eastAsia" w:asciiTheme="minorEastAsia" w:hAnsiTheme="minorEastAsia" w:eastAsiaTheme="minorEastAsia"/>
                <w:szCs w:val="21"/>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3" w:hRule="atLeast"/>
        </w:trPr>
        <w:tc>
          <w:tcPr>
            <w:tcW w:w="2235" w:type="dxa"/>
            <w:gridSpan w:val="4"/>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其他建议</w:t>
            </w:r>
          </w:p>
        </w:tc>
        <w:tc>
          <w:tcPr>
            <w:tcW w:w="850" w:type="dxa"/>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4471" w:type="dxa"/>
            <w:gridSpan w:val="3"/>
            <w:vAlign w:val="center"/>
          </w:tcPr>
          <w:p>
            <w:pPr>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所提建议科学、合理，有针对性</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0.8≤</w:t>
            </w:r>
            <w:r>
              <w:rPr>
                <w:rFonts w:asciiTheme="minorEastAsia" w:hAnsiTheme="minorEastAsia" w:eastAsiaTheme="minorEastAsia"/>
                <w:szCs w:val="21"/>
              </w:rPr>
              <w:t>m</w:t>
            </w:r>
            <w:r>
              <w:rPr>
                <w:rFonts w:hint="eastAsia" w:asciiTheme="minorEastAsia" w:hAnsiTheme="minorEastAsia" w:eastAsiaTheme="minorEastAsia"/>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2"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方法可行、一般</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0.5≤</w:t>
            </w:r>
            <w:r>
              <w:rPr>
                <w:rFonts w:asciiTheme="minorEastAsia" w:hAnsiTheme="minorEastAsia" w:eastAsiaTheme="minorEastAsia"/>
                <w:szCs w:val="21"/>
              </w:rPr>
              <w:t>m&lt;</w:t>
            </w:r>
            <w:r>
              <w:rPr>
                <w:rFonts w:hint="eastAsia" w:asciiTheme="minorEastAsia" w:hAnsiTheme="minorEastAsia" w:eastAsiaTheme="minorEastAsia"/>
                <w:szCs w:val="21"/>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9322" w:type="dxa"/>
            <w:gridSpan w:val="9"/>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b/>
                <w:szCs w:val="21"/>
              </w:rPr>
              <w:t>商务部分评分表（满分50分）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企业业绩</w:t>
            </w:r>
          </w:p>
        </w:tc>
        <w:tc>
          <w:tcPr>
            <w:tcW w:w="850"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4471" w:type="dxa"/>
            <w:gridSpan w:val="3"/>
            <w:vAlign w:val="center"/>
          </w:tcPr>
          <w:p>
            <w:pPr>
              <w:pStyle w:val="31"/>
              <w:spacing w:line="312" w:lineRule="auto"/>
              <w:jc w:val="both"/>
              <w:rPr>
                <w:rFonts w:asciiTheme="minorEastAsia" w:hAnsiTheme="minorEastAsia" w:eastAsiaTheme="minorEastAsia"/>
                <w:sz w:val="21"/>
                <w:szCs w:val="21"/>
              </w:rPr>
            </w:pPr>
            <w:r>
              <w:rPr>
                <w:rFonts w:hint="eastAsia" w:asciiTheme="minorEastAsia" w:hAnsiTheme="minorEastAsia" w:eastAsiaTheme="minorEastAsia"/>
                <w:color w:val="auto"/>
                <w:sz w:val="21"/>
                <w:szCs w:val="21"/>
              </w:rPr>
              <w:t>自 2012 年 01月 01 日至投标截止时间内（以合同签订时间为准）投标人具有一个类似项目合同金额在1000万元（或项目总投资金额在10亿元）人民币及以</w:t>
            </w:r>
            <w:r>
              <w:rPr>
                <w:rFonts w:hint="eastAsia" w:asciiTheme="minorEastAsia" w:hAnsiTheme="minorEastAsia" w:eastAsiaTheme="minorEastAsia"/>
                <w:sz w:val="21"/>
                <w:szCs w:val="21"/>
              </w:rPr>
              <w:t>上的得3分，每多一项类似项目合同金</w:t>
            </w:r>
            <w:r>
              <w:rPr>
                <w:rFonts w:hint="eastAsia" w:asciiTheme="minorEastAsia" w:hAnsiTheme="minorEastAsia" w:eastAsiaTheme="minorEastAsia"/>
                <w:color w:val="auto"/>
                <w:sz w:val="21"/>
                <w:szCs w:val="21"/>
              </w:rPr>
              <w:t>额在1000万元（或项目总投资金额在10亿元）人民币及以</w:t>
            </w:r>
            <w:r>
              <w:rPr>
                <w:rFonts w:hint="eastAsia" w:asciiTheme="minorEastAsia" w:hAnsiTheme="minorEastAsia" w:eastAsiaTheme="minorEastAsia"/>
                <w:sz w:val="21"/>
                <w:szCs w:val="21"/>
              </w:rPr>
              <w:t>上的加2分，最多得15分。</w:t>
            </w:r>
          </w:p>
          <w:p>
            <w:pPr>
              <w:pStyle w:val="31"/>
              <w:spacing w:line="312" w:lineRule="auto"/>
              <w:jc w:val="both"/>
              <w:rPr>
                <w:rFonts w:asciiTheme="minorEastAsia" w:hAnsiTheme="minorEastAsia" w:eastAsiaTheme="minorEastAsia"/>
                <w:sz w:val="21"/>
                <w:szCs w:val="21"/>
              </w:rPr>
            </w:pPr>
            <w:r>
              <w:rPr>
                <w:rFonts w:hint="eastAsia" w:asciiTheme="minorEastAsia" w:hAnsiTheme="minorEastAsia" w:eastAsiaTheme="minorEastAsia"/>
                <w:b/>
                <w:bCs/>
                <w:sz w:val="21"/>
                <w:szCs w:val="21"/>
              </w:rPr>
              <w:t>投标文件中附复</w:t>
            </w:r>
            <w:r>
              <w:rPr>
                <w:rFonts w:hint="eastAsia" w:asciiTheme="minorEastAsia" w:hAnsiTheme="minorEastAsia" w:eastAsiaTheme="minorEastAsia"/>
                <w:b/>
                <w:bCs/>
                <w:color w:val="auto"/>
                <w:sz w:val="21"/>
                <w:szCs w:val="21"/>
              </w:rPr>
              <w:t>印件，评标时现场核验中标通知书或合同协议书或工程接收证书（或工程竣工验收证书或业主开具的证明文件）原件，无原件或者投标文件中</w:t>
            </w:r>
            <w:r>
              <w:rPr>
                <w:rFonts w:hint="eastAsia" w:asciiTheme="minorEastAsia" w:hAnsiTheme="minorEastAsia" w:eastAsiaTheme="minorEastAsia"/>
                <w:b/>
                <w:bCs/>
                <w:sz w:val="21"/>
                <w:szCs w:val="21"/>
              </w:rPr>
              <w:t>复印件与原件不一致的均不得分。</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m</w:t>
            </w:r>
            <w:r>
              <w:rPr>
                <w:rFonts w:hint="eastAsia" w:asciiTheme="minorEastAsia" w:hAnsiTheme="minorEastAsia" w:eastAsiaTheme="minorEastAsia"/>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0" w:hRule="atLeast"/>
        </w:trPr>
        <w:tc>
          <w:tcPr>
            <w:tcW w:w="2235" w:type="dxa"/>
            <w:gridSpan w:val="4"/>
            <w:vAlign w:val="center"/>
          </w:tcPr>
          <w:p>
            <w:pPr>
              <w:spacing w:line="312" w:lineRule="auto"/>
              <w:jc w:val="center"/>
              <w:rPr>
                <w:rFonts w:asciiTheme="minorEastAsia" w:hAnsiTheme="minorEastAsia" w:eastAsiaTheme="minorEastAsia"/>
                <w:szCs w:val="21"/>
              </w:rPr>
            </w:pPr>
            <w:r>
              <w:rPr>
                <w:rFonts w:asciiTheme="minorEastAsia" w:hAnsiTheme="minorEastAsia" w:eastAsiaTheme="minorEastAsia"/>
                <w:szCs w:val="21"/>
              </w:rPr>
              <w:t>总监理工程师业绩</w:t>
            </w:r>
          </w:p>
        </w:tc>
        <w:tc>
          <w:tcPr>
            <w:tcW w:w="850"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4471" w:type="dxa"/>
            <w:gridSpan w:val="3"/>
            <w:vAlign w:val="center"/>
          </w:tcPr>
          <w:p>
            <w:pPr>
              <w:pStyle w:val="31"/>
              <w:spacing w:line="312"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符合招标文件附表《拟投入监理人员配置一览表》的要求；</w:t>
            </w:r>
          </w:p>
          <w:p>
            <w:pPr>
              <w:pStyle w:val="31"/>
              <w:spacing w:line="312" w:lineRule="auto"/>
              <w:jc w:val="both"/>
              <w:rPr>
                <w:rFonts w:asciiTheme="minorEastAsia" w:hAnsiTheme="minorEastAsia" w:eastAsiaTheme="minorEastAsia"/>
                <w:sz w:val="21"/>
                <w:szCs w:val="21"/>
              </w:rPr>
            </w:pPr>
            <w:r>
              <w:rPr>
                <w:rFonts w:hint="eastAsia" w:asciiTheme="minorEastAsia" w:hAnsiTheme="minorEastAsia" w:eastAsiaTheme="minorEastAsia"/>
                <w:color w:val="auto"/>
                <w:sz w:val="21"/>
                <w:szCs w:val="21"/>
              </w:rPr>
              <w:t>自 2007年 01月 01 日至投标截止时间内（以合同签订时间为准）总监理工程师具有一个类似项目合同金额在500万元（或项目总投资金额在5亿元）人民</w:t>
            </w:r>
            <w:r>
              <w:rPr>
                <w:rFonts w:hint="eastAsia" w:asciiTheme="minorEastAsia" w:hAnsiTheme="minorEastAsia" w:eastAsiaTheme="minorEastAsia"/>
                <w:sz w:val="21"/>
                <w:szCs w:val="21"/>
              </w:rPr>
              <w:t>币及以上的得4分，每多一项类似项目合同金</w:t>
            </w:r>
            <w:r>
              <w:rPr>
                <w:rFonts w:hint="eastAsia" w:asciiTheme="minorEastAsia" w:hAnsiTheme="minorEastAsia" w:eastAsiaTheme="minorEastAsia"/>
                <w:color w:val="auto"/>
                <w:sz w:val="21"/>
                <w:szCs w:val="21"/>
              </w:rPr>
              <w:t>额在500万元（或项目总投资金额在5亿元）人民币及以</w:t>
            </w:r>
            <w:r>
              <w:rPr>
                <w:rFonts w:hint="eastAsia" w:asciiTheme="minorEastAsia" w:hAnsiTheme="minorEastAsia" w:eastAsiaTheme="minorEastAsia"/>
                <w:sz w:val="21"/>
                <w:szCs w:val="21"/>
              </w:rPr>
              <w:t>上的加3分，最多得10分。</w:t>
            </w:r>
          </w:p>
          <w:p>
            <w:pPr>
              <w:pStyle w:val="31"/>
              <w:spacing w:line="312" w:lineRule="auto"/>
              <w:jc w:val="both"/>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投标文件中附复印件，评标时现</w:t>
            </w:r>
            <w:r>
              <w:rPr>
                <w:rFonts w:hint="eastAsia" w:asciiTheme="minorEastAsia" w:hAnsiTheme="minorEastAsia" w:eastAsiaTheme="minorEastAsia"/>
                <w:b/>
                <w:bCs/>
                <w:color w:val="auto"/>
                <w:sz w:val="21"/>
                <w:szCs w:val="21"/>
              </w:rPr>
              <w:t>场核验中标通知书、合同协议书及工程接收证书（或工程竣工验收证书或业主开具的证明文件），缺少其中任何一项证明材料的，均视为无效业绩；</w:t>
            </w:r>
            <w:r>
              <w:rPr>
                <w:rFonts w:hint="eastAsia" w:asciiTheme="minorEastAsia" w:hAnsiTheme="minorEastAsia" w:eastAsiaTheme="minorEastAsia"/>
                <w:b/>
                <w:bCs/>
                <w:sz w:val="21"/>
                <w:szCs w:val="21"/>
              </w:rPr>
              <w:t>且须至少有一项能体现其姓名及所担任的职务等信息（若以上多项证明材料体现的姓名及所担任的职务等信息不一致的，还须出具业主或行政监管部门开具的证明材料）原件，无原件或者投标文件中复印件与原件不一致的均不得分。</w:t>
            </w:r>
          </w:p>
          <w:p>
            <w:pPr>
              <w:pStyle w:val="31"/>
              <w:spacing w:line="312" w:lineRule="auto"/>
              <w:jc w:val="both"/>
              <w:rPr>
                <w:rFonts w:asciiTheme="minorEastAsia" w:hAnsiTheme="minorEastAsia" w:eastAsiaTheme="minorEastAsia"/>
                <w:sz w:val="21"/>
                <w:szCs w:val="21"/>
              </w:rPr>
            </w:pPr>
            <w:r>
              <w:rPr>
                <w:rFonts w:hint="eastAsia" w:asciiTheme="minorEastAsia" w:hAnsiTheme="minorEastAsia" w:eastAsiaTheme="minorEastAsia"/>
                <w:b/>
                <w:bCs/>
                <w:sz w:val="21"/>
                <w:szCs w:val="21"/>
              </w:rPr>
              <w:t>企业与项目总监理工程师业绩可重复计分。</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m</w:t>
            </w:r>
            <w:r>
              <w:rPr>
                <w:rFonts w:hint="eastAsia" w:asciiTheme="minorEastAsia" w:hAnsiTheme="minorEastAsia" w:eastAsiaTheme="minorEastAsia"/>
                <w:szCs w:val="21"/>
              </w:rPr>
              <w:t>≤10或m=0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Align w:val="center"/>
          </w:tcPr>
          <w:p>
            <w:pPr>
              <w:spacing w:line="312" w:lineRule="auto"/>
              <w:jc w:val="center"/>
              <w:rPr>
                <w:rFonts w:asciiTheme="minorEastAsia" w:hAnsiTheme="minorEastAsia" w:eastAsiaTheme="minorEastAsia"/>
                <w:szCs w:val="21"/>
              </w:rPr>
            </w:pPr>
            <w:r>
              <w:rPr>
                <w:rFonts w:asciiTheme="minorEastAsia" w:hAnsiTheme="minorEastAsia" w:eastAsiaTheme="minorEastAsia"/>
                <w:szCs w:val="21"/>
              </w:rPr>
              <w:t>总监理工程师代表业绩</w:t>
            </w:r>
          </w:p>
        </w:tc>
        <w:tc>
          <w:tcPr>
            <w:tcW w:w="850"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4471" w:type="dxa"/>
            <w:gridSpan w:val="3"/>
            <w:vAlign w:val="center"/>
          </w:tcPr>
          <w:p>
            <w:pPr>
              <w:pStyle w:val="31"/>
              <w:spacing w:line="312"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符合招标文件附表《拟投入监理人员配置一览表》的要求；</w:t>
            </w:r>
          </w:p>
          <w:p>
            <w:pPr>
              <w:pStyle w:val="31"/>
              <w:spacing w:line="312"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自 2007 年 01月 01 日至投标截止时间内（以合同签订时间为准）</w:t>
            </w:r>
            <w:r>
              <w:rPr>
                <w:rFonts w:asciiTheme="minorEastAsia" w:hAnsiTheme="minorEastAsia" w:eastAsiaTheme="minorEastAsia"/>
                <w:color w:val="auto"/>
                <w:sz w:val="21"/>
                <w:szCs w:val="21"/>
              </w:rPr>
              <w:t>总监理工程师代表</w:t>
            </w:r>
            <w:r>
              <w:rPr>
                <w:rFonts w:hint="eastAsia" w:asciiTheme="minorEastAsia" w:hAnsiTheme="minorEastAsia" w:eastAsiaTheme="minorEastAsia"/>
                <w:color w:val="auto"/>
                <w:sz w:val="21"/>
                <w:szCs w:val="21"/>
              </w:rPr>
              <w:t>具有一个类似项目合同金额在500万元（或项目总投资金额在5亿元）人民币及以上的得2分，每多一项类似项目合同金额在500万元（或项目总投资金额在5亿元）人民币及以上的加1.5分，最多得5分。</w:t>
            </w:r>
          </w:p>
          <w:p>
            <w:pPr>
              <w:pStyle w:val="31"/>
              <w:spacing w:line="312" w:lineRule="auto"/>
              <w:jc w:val="both"/>
              <w:rPr>
                <w:rFonts w:asciiTheme="minorEastAsia" w:hAnsiTheme="minorEastAsia" w:eastAsiaTheme="minorEastAsia"/>
                <w:sz w:val="21"/>
                <w:szCs w:val="21"/>
              </w:rPr>
            </w:pPr>
            <w:r>
              <w:rPr>
                <w:rFonts w:hint="eastAsia" w:asciiTheme="minorEastAsia" w:hAnsiTheme="minorEastAsia" w:eastAsiaTheme="minorEastAsia"/>
                <w:b/>
                <w:bCs/>
                <w:sz w:val="21"/>
                <w:szCs w:val="21"/>
              </w:rPr>
              <w:t>投标文件中附复印件</w:t>
            </w:r>
            <w:r>
              <w:rPr>
                <w:rFonts w:hint="eastAsia" w:asciiTheme="minorEastAsia" w:hAnsiTheme="minorEastAsia" w:eastAsiaTheme="minorEastAsia"/>
                <w:b/>
                <w:bCs/>
                <w:color w:val="auto"/>
                <w:sz w:val="21"/>
                <w:szCs w:val="21"/>
              </w:rPr>
              <w:t>，评标时现场核验中标通知书、合同协议书及工程接收证书（或工程竣工验收证书或业主开具的证明文件），缺少其中任何一项证明材料的，均视为无效业绩；且须至少有一项能体现其姓名及所担任的职务等信息（若以上多项证明材料体现的姓名及所担任的职务等信息不一致的，还须出</w:t>
            </w:r>
            <w:r>
              <w:rPr>
                <w:rFonts w:hint="eastAsia" w:asciiTheme="minorEastAsia" w:hAnsiTheme="minorEastAsia" w:eastAsiaTheme="minorEastAsia"/>
                <w:b/>
                <w:bCs/>
                <w:sz w:val="21"/>
                <w:szCs w:val="21"/>
              </w:rPr>
              <w:t>具业主或行政监管部门开具的证明材料）原件，无原件或者投标文件中复印件与原件不一致的均不得分。</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m</w:t>
            </w:r>
            <w:r>
              <w:rPr>
                <w:rFonts w:hint="eastAsia" w:asciiTheme="minorEastAsia" w:hAnsiTheme="minorEastAsia" w:eastAsiaTheme="minorEastAsia"/>
                <w:szCs w:val="21"/>
              </w:rPr>
              <w:t>≤5或m=0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trPr>
        <w:tc>
          <w:tcPr>
            <w:tcW w:w="2235" w:type="dxa"/>
            <w:gridSpan w:val="4"/>
            <w:vAlign w:val="center"/>
          </w:tcPr>
          <w:p>
            <w:pPr>
              <w:adjustRightInd w:val="0"/>
              <w:spacing w:line="400" w:lineRule="exact"/>
              <w:jc w:val="center"/>
              <w:textAlignment w:val="baseline"/>
              <w:rPr>
                <w:rFonts w:asciiTheme="minorEastAsia" w:hAnsiTheme="minorEastAsia" w:eastAsiaTheme="minorEastAsia"/>
                <w:color w:val="FF0000"/>
                <w:szCs w:val="21"/>
              </w:rPr>
            </w:pPr>
            <w:r>
              <w:rPr>
                <w:rFonts w:hint="eastAsia" w:ascii="宋体" w:hAnsi="宋体" w:cs="宋体"/>
                <w:szCs w:val="21"/>
              </w:rPr>
              <w:t>项目管理团队</w:t>
            </w:r>
          </w:p>
        </w:tc>
        <w:tc>
          <w:tcPr>
            <w:tcW w:w="850"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4471" w:type="dxa"/>
            <w:gridSpan w:val="3"/>
            <w:vAlign w:val="center"/>
          </w:tcPr>
          <w:p>
            <w:pPr>
              <w:pStyle w:val="31"/>
              <w:spacing w:line="312" w:lineRule="auto"/>
              <w:jc w:val="both"/>
              <w:rPr>
                <w:rFonts w:asciiTheme="minorEastAsia" w:hAnsiTheme="minorEastAsia" w:eastAsiaTheme="minorEastAsia"/>
                <w:szCs w:val="21"/>
              </w:rPr>
            </w:pPr>
            <w:r>
              <w:rPr>
                <w:rFonts w:hint="eastAsia" w:asciiTheme="minorEastAsia" w:hAnsiTheme="minorEastAsia" w:eastAsiaTheme="minorEastAsia"/>
                <w:b/>
                <w:bCs/>
                <w:sz w:val="21"/>
                <w:szCs w:val="21"/>
              </w:rPr>
              <w:t>详见附表1</w:t>
            </w:r>
          </w:p>
        </w:tc>
        <w:tc>
          <w:tcPr>
            <w:tcW w:w="1766" w:type="dxa"/>
            <w:vAlign w:val="center"/>
          </w:tcPr>
          <w:p>
            <w:pPr>
              <w:spacing w:line="312" w:lineRule="auto"/>
              <w:jc w:val="cente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70" w:hRule="atLeast"/>
        </w:trPr>
        <w:tc>
          <w:tcPr>
            <w:tcW w:w="2235" w:type="dxa"/>
            <w:gridSpan w:val="4"/>
            <w:vAlign w:val="center"/>
          </w:tcPr>
          <w:p>
            <w:pPr>
              <w:pStyle w:val="31"/>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奖项</w:t>
            </w:r>
          </w:p>
        </w:tc>
        <w:tc>
          <w:tcPr>
            <w:tcW w:w="850" w:type="dxa"/>
            <w:vAlign w:val="center"/>
          </w:tcPr>
          <w:p>
            <w:pPr>
              <w:pStyle w:val="31"/>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4471" w:type="dxa"/>
            <w:gridSpan w:val="3"/>
            <w:vAlign w:val="center"/>
          </w:tcPr>
          <w:p>
            <w:pPr>
              <w:pStyle w:val="31"/>
              <w:tabs>
                <w:tab w:val="left" w:pos="809"/>
              </w:tabs>
              <w:spacing w:line="312"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投标人每具有 1 项类似工程项目获得“鲁班奖”或“国家优质工程奖（金奖）”的得2分，每增加1个加2分，最多得4分。否则，得0分。</w:t>
            </w:r>
          </w:p>
          <w:p>
            <w:pPr>
              <w:pStyle w:val="31"/>
              <w:tabs>
                <w:tab w:val="left" w:pos="809"/>
              </w:tabs>
              <w:spacing w:line="312"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项目总监理工程师每具有1项国家级优秀项目总监荣誉的加2分，每具有1项省部级优秀项目总监荣誉的加1分，最多得4分。</w:t>
            </w:r>
          </w:p>
          <w:p>
            <w:pPr>
              <w:pStyle w:val="31"/>
              <w:tabs>
                <w:tab w:val="left" w:pos="809"/>
              </w:tabs>
              <w:spacing w:line="312"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本项最多得8分。</w:t>
            </w:r>
          </w:p>
          <w:p>
            <w:pPr>
              <w:pStyle w:val="31"/>
              <w:tabs>
                <w:tab w:val="left" w:pos="809"/>
              </w:tabs>
              <w:spacing w:line="312" w:lineRule="auto"/>
              <w:jc w:val="both"/>
              <w:rPr>
                <w:rFonts w:asciiTheme="minorEastAsia" w:hAnsiTheme="minorEastAsia" w:eastAsiaTheme="minorEastAsia"/>
                <w:color w:val="auto"/>
                <w:sz w:val="21"/>
                <w:szCs w:val="21"/>
              </w:rPr>
            </w:pPr>
            <w:r>
              <w:rPr>
                <w:rFonts w:hint="eastAsia" w:asciiTheme="minorEastAsia" w:hAnsiTheme="minorEastAsia" w:eastAsiaTheme="minorEastAsia"/>
                <w:b/>
                <w:bCs/>
                <w:color w:val="auto"/>
                <w:sz w:val="21"/>
                <w:szCs w:val="21"/>
              </w:rPr>
              <w:t>投标文件中附复印件，评标时现场核验原件，无原件或者投标文件中复印件与原件不一致的均不得分。</w:t>
            </w:r>
          </w:p>
        </w:tc>
        <w:tc>
          <w:tcPr>
            <w:tcW w:w="1766" w:type="dxa"/>
            <w:vAlign w:val="center"/>
          </w:tcPr>
          <w:p>
            <w:pPr>
              <w:pStyle w:val="31"/>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m</w:t>
            </w:r>
            <w:r>
              <w:rPr>
                <w:rFonts w:hint="eastAsia" w:asciiTheme="minorEastAsia" w:hAnsiTheme="minorEastAsia" w:eastAsiaTheme="minorEastAsia"/>
                <w:sz w:val="21"/>
                <w:szCs w:val="21"/>
              </w:rPr>
              <w:t>≤8</w:t>
            </w:r>
            <w:r>
              <w:rPr>
                <w:rFonts w:hint="eastAsia" w:asciiTheme="minorEastAsia" w:hAnsiTheme="minorEastAsia" w:eastAsiaTheme="minorEastAsia"/>
                <w:color w:val="auto"/>
                <w:sz w:val="21"/>
                <w:szCs w:val="21"/>
              </w:rPr>
              <w:t>或</w:t>
            </w:r>
            <w:r>
              <w:rPr>
                <w:rFonts w:hint="eastAsia" w:asciiTheme="minorEastAsia" w:hAnsiTheme="minorEastAsia" w:eastAsiaTheme="minorEastAsia"/>
                <w:sz w:val="21"/>
                <w:szCs w:val="21"/>
              </w:rPr>
              <w:t>m=</w:t>
            </w:r>
            <w:r>
              <w:rPr>
                <w:rFonts w:asciiTheme="minorEastAsia" w:hAnsiTheme="minorEastAsia" w:eastAsiaTheme="minorEastAsia"/>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34" w:hRule="atLeast"/>
        </w:trPr>
        <w:tc>
          <w:tcPr>
            <w:tcW w:w="2235" w:type="dxa"/>
            <w:gridSpan w:val="4"/>
            <w:vAlign w:val="center"/>
          </w:tcPr>
          <w:p>
            <w:pPr>
              <w:pStyle w:val="31"/>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管理体系认证</w:t>
            </w:r>
          </w:p>
        </w:tc>
        <w:tc>
          <w:tcPr>
            <w:tcW w:w="850" w:type="dxa"/>
            <w:vAlign w:val="center"/>
          </w:tcPr>
          <w:p>
            <w:pPr>
              <w:pStyle w:val="31"/>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471" w:type="dxa"/>
            <w:gridSpan w:val="3"/>
            <w:vAlign w:val="center"/>
          </w:tcPr>
          <w:p>
            <w:pPr>
              <w:pStyle w:val="31"/>
              <w:spacing w:line="312"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质量管理体系认证、环境管理体系认证及职业健康安全管理体系认证，全部通过的，得2分；否则，得0分。</w:t>
            </w:r>
          </w:p>
          <w:p>
            <w:pPr>
              <w:pStyle w:val="31"/>
              <w:spacing w:line="312" w:lineRule="auto"/>
              <w:jc w:val="both"/>
              <w:rPr>
                <w:rFonts w:asciiTheme="minorEastAsia" w:hAnsiTheme="minorEastAsia" w:eastAsiaTheme="minorEastAsia"/>
                <w:sz w:val="21"/>
                <w:szCs w:val="21"/>
              </w:rPr>
            </w:pPr>
            <w:r>
              <w:rPr>
                <w:rFonts w:hint="eastAsia" w:asciiTheme="minorEastAsia" w:hAnsiTheme="minorEastAsia" w:eastAsiaTheme="minorEastAsia"/>
                <w:b/>
                <w:bCs/>
                <w:color w:val="auto"/>
                <w:sz w:val="21"/>
                <w:szCs w:val="21"/>
              </w:rPr>
              <w:t>投标文件中附复印件，评标时现场核验原件，无原件或者投标文件中复印件与原件不一致的均不得分。</w:t>
            </w:r>
          </w:p>
        </w:tc>
        <w:tc>
          <w:tcPr>
            <w:tcW w:w="1766" w:type="dxa"/>
            <w:vAlign w:val="center"/>
          </w:tcPr>
          <w:p>
            <w:pPr>
              <w:tabs>
                <w:tab w:val="left" w:pos="724"/>
              </w:tabs>
              <w:spacing w:line="312"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m=2 或</w:t>
            </w:r>
            <w:r>
              <w:rPr>
                <w:rFonts w:hint="eastAsia" w:asciiTheme="minorEastAsia" w:hAnsiTheme="minorEastAsia" w:eastAsiaTheme="minorEastAsia"/>
                <w:szCs w:val="21"/>
              </w:rPr>
              <w:t>m=</w:t>
            </w:r>
            <w:r>
              <w:rPr>
                <w:rFonts w:asciiTheme="minorEastAsia" w:hAnsiTheme="minorEastAsia" w:eastAsiaTheme="minor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9322" w:type="dxa"/>
            <w:gridSpan w:val="9"/>
            <w:vAlign w:val="center"/>
          </w:tcPr>
          <w:p>
            <w:pPr>
              <w:spacing w:line="312"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投标报价得分（满分30分，</w:t>
            </w:r>
            <w:r>
              <w:rPr>
                <w:rFonts w:hint="eastAsia" w:asciiTheme="minorEastAsia" w:hAnsiTheme="minorEastAsia" w:eastAsiaTheme="minorEastAsia"/>
                <w:b/>
                <w:bCs/>
                <w:szCs w:val="21"/>
              </w:rPr>
              <w:t>打分保留2位小数</w:t>
            </w:r>
            <w:r>
              <w:rPr>
                <w:rFonts w:hint="eastAsia" w:cs="宋体" w:asciiTheme="minorEastAsia" w:hAnsiTheme="minorEastAsia" w:eastAsiaTheme="minorEastAsia"/>
                <w:b/>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Align w:val="center"/>
          </w:tcPr>
          <w:p>
            <w:pPr>
              <w:spacing w:line="312"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项目</w:t>
            </w:r>
          </w:p>
        </w:tc>
        <w:tc>
          <w:tcPr>
            <w:tcW w:w="850" w:type="dxa"/>
            <w:vAlign w:val="center"/>
          </w:tcPr>
          <w:p>
            <w:pPr>
              <w:spacing w:line="312"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标准分</w:t>
            </w:r>
          </w:p>
        </w:tc>
        <w:tc>
          <w:tcPr>
            <w:tcW w:w="4471" w:type="dxa"/>
            <w:gridSpan w:val="3"/>
            <w:vAlign w:val="center"/>
          </w:tcPr>
          <w:p>
            <w:pPr>
              <w:spacing w:line="312"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评分标准</w:t>
            </w:r>
          </w:p>
        </w:tc>
        <w:tc>
          <w:tcPr>
            <w:tcW w:w="1766" w:type="dxa"/>
            <w:vAlign w:val="center"/>
          </w:tcPr>
          <w:p>
            <w:pPr>
              <w:spacing w:line="312"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Align w:val="center"/>
          </w:tcPr>
          <w:p>
            <w:pPr>
              <w:spacing w:line="312"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投标报价</w:t>
            </w:r>
          </w:p>
        </w:tc>
        <w:tc>
          <w:tcPr>
            <w:tcW w:w="850" w:type="dxa"/>
            <w:vAlign w:val="center"/>
          </w:tcPr>
          <w:p>
            <w:pPr>
              <w:spacing w:line="312"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30</w:t>
            </w:r>
          </w:p>
        </w:tc>
        <w:tc>
          <w:tcPr>
            <w:tcW w:w="4471" w:type="dxa"/>
            <w:gridSpan w:val="3"/>
            <w:vAlign w:val="center"/>
          </w:tcPr>
          <w:p>
            <w:pPr>
              <w:adjustRightInd w:val="0"/>
              <w:spacing w:line="312" w:lineRule="auto"/>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有效投标报价为通过初步评审的投标人报价。</w:t>
            </w:r>
          </w:p>
          <w:p>
            <w:pPr>
              <w:spacing w:line="276" w:lineRule="auto"/>
              <w:rPr>
                <w:rFonts w:ascii="宋体" w:hAnsi="宋体" w:cs="宋体"/>
                <w:szCs w:val="21"/>
              </w:rPr>
            </w:pPr>
            <w:r>
              <w:rPr>
                <w:rFonts w:hint="eastAsia" w:ascii="宋体" w:hAnsi="宋体" w:cs="宋体"/>
                <w:szCs w:val="21"/>
              </w:rPr>
              <w:t>1.确定评标基准价</w:t>
            </w:r>
          </w:p>
          <w:p>
            <w:pPr>
              <w:spacing w:line="276" w:lineRule="auto"/>
              <w:rPr>
                <w:rFonts w:ascii="宋体" w:hAnsi="宋体" w:cs="宋体"/>
                <w:szCs w:val="21"/>
              </w:rPr>
            </w:pPr>
            <w:r>
              <w:rPr>
                <w:rFonts w:hint="eastAsia" w:ascii="宋体" w:hAnsi="宋体" w:cs="宋体"/>
                <w:szCs w:val="21"/>
              </w:rPr>
              <w:t>当合格投标人少于五家（包括五家）时，取所有合格投标人投标报价的算术平均值的50%与招标控制价的50%之和作为评标基准价；</w:t>
            </w:r>
          </w:p>
          <w:p>
            <w:pPr>
              <w:spacing w:line="276" w:lineRule="auto"/>
              <w:rPr>
                <w:rFonts w:ascii="宋体" w:hAnsi="宋体" w:cs="宋体"/>
                <w:szCs w:val="21"/>
              </w:rPr>
            </w:pPr>
            <w:r>
              <w:rPr>
                <w:rFonts w:hint="eastAsia" w:ascii="宋体" w:hAnsi="宋体" w:cs="宋体"/>
                <w:szCs w:val="21"/>
              </w:rPr>
              <w:t>当合格投标人超过五家时，取所有合格投标人投标报价中去掉一个最高价和一个最低价后的算术平均值的50%与招标控制价的50%之和作为评标基准价。</w:t>
            </w:r>
          </w:p>
          <w:p>
            <w:pPr>
              <w:spacing w:line="276" w:lineRule="auto"/>
              <w:rPr>
                <w:rFonts w:ascii="宋体" w:hAnsi="宋体" w:cs="宋体"/>
                <w:szCs w:val="21"/>
              </w:rPr>
            </w:pPr>
            <w:r>
              <w:rPr>
                <w:rFonts w:hint="eastAsia" w:ascii="宋体" w:hAnsi="宋体" w:cs="宋体"/>
                <w:szCs w:val="21"/>
              </w:rPr>
              <w:t>2.偏差率计算</w:t>
            </w:r>
          </w:p>
          <w:p>
            <w:pPr>
              <w:spacing w:line="276" w:lineRule="auto"/>
              <w:rPr>
                <w:rFonts w:ascii="宋体" w:hAnsi="宋体" w:cs="宋体"/>
                <w:szCs w:val="21"/>
              </w:rPr>
            </w:pPr>
            <w:r>
              <w:rPr>
                <w:rFonts w:hint="eastAsia" w:ascii="宋体" w:hAnsi="宋体" w:cs="宋体"/>
                <w:szCs w:val="21"/>
              </w:rPr>
              <w:t>偏差率（δ）=100%×（合格投标人报价-评标基准价）/评标基准价</w:t>
            </w:r>
          </w:p>
          <w:p>
            <w:pPr>
              <w:spacing w:line="276" w:lineRule="auto"/>
              <w:rPr>
                <w:rFonts w:ascii="宋体" w:hAnsi="宋体" w:cs="宋体"/>
                <w:szCs w:val="21"/>
              </w:rPr>
            </w:pPr>
            <w:r>
              <w:rPr>
                <w:rFonts w:hint="eastAsia" w:ascii="宋体" w:hAnsi="宋体" w:cs="宋体"/>
                <w:szCs w:val="21"/>
              </w:rPr>
              <w:t>3.价格得分</w:t>
            </w:r>
          </w:p>
          <w:p>
            <w:pPr>
              <w:spacing w:line="276" w:lineRule="auto"/>
              <w:rPr>
                <w:rFonts w:ascii="宋体" w:hAnsi="宋体" w:cs="宋体"/>
                <w:szCs w:val="21"/>
              </w:rPr>
            </w:pPr>
            <w:r>
              <w:rPr>
                <w:rFonts w:hint="eastAsia" w:ascii="宋体" w:hAnsi="宋体" w:cs="宋体"/>
                <w:szCs w:val="21"/>
              </w:rPr>
              <w:t>当偏差率为-3%时，价格得分为满分30分。</w:t>
            </w:r>
          </w:p>
          <w:p>
            <w:pPr>
              <w:spacing w:line="276" w:lineRule="auto"/>
              <w:rPr>
                <w:rFonts w:ascii="宋体" w:hAnsi="宋体" w:cs="宋体"/>
                <w:szCs w:val="21"/>
              </w:rPr>
            </w:pPr>
            <w:r>
              <w:rPr>
                <w:rFonts w:hint="eastAsia" w:ascii="宋体" w:hAnsi="宋体" w:cs="宋体"/>
                <w:szCs w:val="21"/>
              </w:rPr>
              <w:t>合格投标人的投标报价偏差率与-3%比较，按照每高或低1%扣1分的比例扣分，最多扣10分，打分公式如下：</w:t>
            </w:r>
          </w:p>
          <w:p>
            <w:pPr>
              <w:spacing w:line="312" w:lineRule="auto"/>
              <w:rPr>
                <w:rFonts w:cs="宋体" w:asciiTheme="minorEastAsia" w:hAnsiTheme="minorEastAsia" w:eastAsiaTheme="minorEastAsia"/>
                <w:b/>
                <w:szCs w:val="21"/>
              </w:rPr>
            </w:pPr>
            <w:r>
              <w:rPr>
                <w:rFonts w:hint="eastAsia" w:ascii="宋体" w:hAnsi="宋体" w:cs="宋体"/>
                <w:szCs w:val="21"/>
              </w:rPr>
              <w:t>m＝30-</w:t>
            </w:r>
            <w:r>
              <w:rPr>
                <w:rFonts w:hint="eastAsia" w:ascii="宋体" w:hAnsi="宋体" w:cs="宋体"/>
                <w:b/>
                <w:bCs/>
                <w:szCs w:val="21"/>
              </w:rPr>
              <w:t>|</w:t>
            </w:r>
            <w:r>
              <w:rPr>
                <w:rFonts w:hint="eastAsia" w:ascii="宋体" w:hAnsi="宋体" w:cs="宋体"/>
                <w:szCs w:val="21"/>
              </w:rPr>
              <w:t>[δ-（-3%）]</w:t>
            </w:r>
            <w:r>
              <w:rPr>
                <w:rFonts w:hint="eastAsia" w:ascii="宋体" w:hAnsi="宋体" w:cs="宋体"/>
                <w:b/>
                <w:bCs/>
                <w:szCs w:val="21"/>
              </w:rPr>
              <w:t>|</w:t>
            </w:r>
            <w:r>
              <w:rPr>
                <w:rFonts w:hint="eastAsia" w:ascii="宋体" w:hAnsi="宋体" w:cs="宋体"/>
                <w:szCs w:val="21"/>
              </w:rPr>
              <w:t>×1×100</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20≤m≤30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1068" w:type="dxa"/>
            <w:gridSpan w:val="2"/>
            <w:vAlign w:val="center"/>
          </w:tcPr>
          <w:p>
            <w:pPr>
              <w:spacing w:line="312"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2688" w:type="dxa"/>
            <w:gridSpan w:val="4"/>
            <w:vAlign w:val="center"/>
          </w:tcPr>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评标程序</w:t>
            </w:r>
          </w:p>
        </w:tc>
        <w:tc>
          <w:tcPr>
            <w:tcW w:w="5566" w:type="dxa"/>
            <w:gridSpan w:val="3"/>
            <w:vAlign w:val="center"/>
          </w:tcPr>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详见本章附件A：评标详细程序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1068" w:type="dxa"/>
            <w:gridSpan w:val="2"/>
            <w:vAlign w:val="center"/>
          </w:tcPr>
          <w:p>
            <w:pPr>
              <w:spacing w:line="312"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3.1.2</w:t>
            </w:r>
          </w:p>
        </w:tc>
        <w:tc>
          <w:tcPr>
            <w:tcW w:w="2688" w:type="dxa"/>
            <w:gridSpan w:val="4"/>
            <w:vAlign w:val="center"/>
          </w:tcPr>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否决投标条件</w:t>
            </w:r>
          </w:p>
        </w:tc>
        <w:tc>
          <w:tcPr>
            <w:tcW w:w="5566" w:type="dxa"/>
            <w:gridSpan w:val="3"/>
            <w:vAlign w:val="center"/>
          </w:tcPr>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详见本章附件B：否决投标条件</w:t>
            </w:r>
          </w:p>
        </w:tc>
      </w:tr>
    </w:tbl>
    <w:p>
      <w:bookmarkStart w:id="713" w:name="_Toc296520746"/>
      <w:bookmarkStart w:id="714" w:name="_Toc498502999"/>
      <w:bookmarkStart w:id="715" w:name="_Toc498503004"/>
      <w:bookmarkStart w:id="716" w:name="_Toc3227"/>
    </w:p>
    <w:p/>
    <w:p/>
    <w:p/>
    <w:p/>
    <w:p/>
    <w:p>
      <w:r>
        <w:rPr>
          <w:rFonts w:hint="eastAsia"/>
        </w:rPr>
        <w:br w:type="page"/>
      </w:r>
    </w:p>
    <w:p>
      <w:pPr>
        <w:pStyle w:val="2"/>
        <w:rPr>
          <w:szCs w:val="22"/>
        </w:rPr>
      </w:pPr>
      <w:bookmarkStart w:id="717" w:name="_Toc20691"/>
      <w:r>
        <w:rPr>
          <w:rFonts w:hint="eastAsia"/>
          <w:szCs w:val="22"/>
        </w:rPr>
        <w:t>附表1</w:t>
      </w:r>
      <w:bookmarkEnd w:id="717"/>
    </w:p>
    <w:tbl>
      <w:tblPr>
        <w:tblStyle w:val="28"/>
        <w:tblW w:w="93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465"/>
        <w:gridCol w:w="1780"/>
        <w:gridCol w:w="4128"/>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4176" w:type="dxa"/>
            <w:gridSpan w:val="3"/>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lang w:val="zh-TW" w:eastAsia="zh-TW"/>
              </w:rPr>
              <w:t>评审内容</w:t>
            </w:r>
          </w:p>
        </w:tc>
        <w:tc>
          <w:tcPr>
            <w:tcW w:w="4128" w:type="dxa"/>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lang w:val="zh-TW" w:eastAsia="zh-TW"/>
              </w:rPr>
              <w:t>评审标准</w:t>
            </w:r>
          </w:p>
        </w:tc>
        <w:tc>
          <w:tcPr>
            <w:tcW w:w="1013" w:type="dxa"/>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lang w:val="zh-TW" w:eastAsia="zh-TW"/>
              </w:rPr>
              <w:t>评审分值</w:t>
            </w:r>
            <w:r>
              <w:rPr>
                <w:rFonts w:hint="eastAsia" w:ascii="宋体" w:hAnsi="宋体" w:cs="宋体"/>
                <w:szCs w:val="21"/>
                <w:lang w:val="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restart"/>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rPr>
              <w:t>项目管理团队</w:t>
            </w:r>
          </w:p>
          <w:p>
            <w:pPr>
              <w:spacing w:line="400" w:lineRule="atLeast"/>
              <w:jc w:val="center"/>
              <w:rPr>
                <w:rFonts w:ascii="宋体" w:hAnsi="宋体" w:cs="宋体"/>
                <w:szCs w:val="21"/>
                <w:lang w:val="zh-TW" w:eastAsia="zh-TW"/>
              </w:rPr>
            </w:pPr>
            <w:r>
              <w:rPr>
                <w:rFonts w:hint="eastAsia" w:ascii="宋体" w:hAnsi="宋体" w:cs="宋体"/>
                <w:szCs w:val="21"/>
              </w:rPr>
              <w:t>10</w:t>
            </w:r>
            <w:r>
              <w:rPr>
                <w:rFonts w:hint="eastAsia" w:ascii="宋体" w:hAnsi="宋体" w:cs="宋体"/>
                <w:szCs w:val="21"/>
                <w:lang w:val="zh-TW" w:eastAsia="zh-TW"/>
              </w:rPr>
              <w:t>分</w:t>
            </w:r>
            <w:r>
              <w:rPr>
                <w:rFonts w:hint="eastAsia" w:ascii="宋体" w:hAnsi="宋体" w:cs="宋体"/>
                <w:szCs w:val="21"/>
                <w:lang w:val="zh-TW"/>
              </w:rPr>
              <w:t>（详见附表</w:t>
            </w:r>
            <w:r>
              <w:rPr>
                <w:rFonts w:hint="eastAsia" w:ascii="宋体" w:hAnsi="宋体" w:cs="宋体"/>
                <w:szCs w:val="21"/>
              </w:rPr>
              <w:t>2）</w:t>
            </w:r>
          </w:p>
        </w:tc>
        <w:tc>
          <w:tcPr>
            <w:tcW w:w="1465" w:type="dxa"/>
            <w:vMerge w:val="restart"/>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lang w:val="zh-TW" w:eastAsia="zh-TW"/>
              </w:rPr>
              <w:t>项目</w:t>
            </w:r>
            <w:r>
              <w:rPr>
                <w:rFonts w:hint="eastAsia" w:ascii="宋体" w:hAnsi="宋体" w:cs="宋体"/>
                <w:szCs w:val="21"/>
              </w:rPr>
              <w:t>监理</w:t>
            </w:r>
            <w:r>
              <w:rPr>
                <w:rFonts w:hint="eastAsia" w:ascii="宋体" w:hAnsi="宋体" w:cs="宋体"/>
                <w:szCs w:val="21"/>
                <w:lang w:val="zh-TW" w:eastAsia="zh-TW"/>
              </w:rPr>
              <w:t>部</w:t>
            </w:r>
          </w:p>
          <w:p>
            <w:pPr>
              <w:spacing w:line="400" w:lineRule="atLeast"/>
              <w:jc w:val="center"/>
              <w:rPr>
                <w:rFonts w:ascii="宋体" w:hAnsi="宋体" w:cs="宋体"/>
                <w:szCs w:val="21"/>
                <w:lang w:val="zh-TW" w:eastAsia="zh-TW"/>
              </w:rPr>
            </w:pPr>
            <w:r>
              <w:rPr>
                <w:rFonts w:hint="eastAsia" w:ascii="宋体" w:hAnsi="宋体" w:cs="宋体"/>
                <w:szCs w:val="21"/>
                <w:lang w:val="zh-TW" w:eastAsia="zh-TW"/>
              </w:rPr>
              <w:t>组织机构（详见附表2 ）</w:t>
            </w:r>
          </w:p>
          <w:p>
            <w:pPr>
              <w:spacing w:line="400" w:lineRule="atLeast"/>
              <w:jc w:val="center"/>
              <w:rPr>
                <w:rFonts w:ascii="宋体" w:hAnsi="宋体" w:cs="宋体"/>
                <w:szCs w:val="21"/>
                <w:lang w:val="zh-TW" w:eastAsia="zh-TW"/>
              </w:rPr>
            </w:pPr>
            <w:r>
              <w:rPr>
                <w:rFonts w:hint="eastAsia" w:ascii="宋体" w:hAnsi="宋体" w:cs="宋体"/>
                <w:szCs w:val="21"/>
              </w:rPr>
              <w:t>（2</w:t>
            </w:r>
            <w:r>
              <w:rPr>
                <w:rFonts w:hint="eastAsia" w:ascii="宋体" w:hAnsi="宋体" w:cs="宋体"/>
                <w:szCs w:val="21"/>
                <w:lang w:val="zh-TW" w:eastAsia="zh-TW"/>
              </w:rPr>
              <w:t>分</w:t>
            </w:r>
            <w:r>
              <w:rPr>
                <w:rFonts w:hint="eastAsia" w:ascii="宋体" w:hAnsi="宋体" w:cs="宋体"/>
                <w:szCs w:val="21"/>
                <w:lang w:val="zh-TW"/>
              </w:rPr>
              <w:t>）</w:t>
            </w:r>
          </w:p>
        </w:tc>
        <w:tc>
          <w:tcPr>
            <w:tcW w:w="1780" w:type="dxa"/>
            <w:vMerge w:val="restart"/>
            <w:shd w:val="clear" w:color="auto" w:fill="auto"/>
            <w:vAlign w:val="center"/>
          </w:tcPr>
          <w:p>
            <w:pPr>
              <w:adjustRightInd w:val="0"/>
              <w:spacing w:line="400" w:lineRule="exact"/>
              <w:jc w:val="center"/>
              <w:textAlignment w:val="baseline"/>
              <w:rPr>
                <w:rFonts w:ascii="宋体" w:hAnsi="宋体" w:cs="宋体"/>
                <w:szCs w:val="21"/>
                <w:lang w:val="zh-TW" w:eastAsia="zh-TW"/>
              </w:rPr>
            </w:pPr>
            <w:r>
              <w:rPr>
                <w:rFonts w:hint="eastAsia" w:ascii="宋体" w:hAnsi="宋体" w:cs="宋体"/>
                <w:szCs w:val="21"/>
                <w:lang w:val="zh-TW" w:eastAsia="zh-TW"/>
              </w:rPr>
              <w:t>组织机构</w:t>
            </w:r>
          </w:p>
        </w:tc>
        <w:tc>
          <w:tcPr>
            <w:tcW w:w="4128" w:type="dxa"/>
            <w:shd w:val="clear" w:color="auto" w:fill="auto"/>
            <w:vAlign w:val="center"/>
          </w:tcPr>
          <w:p>
            <w:pPr>
              <w:adjustRightInd w:val="0"/>
              <w:spacing w:line="400" w:lineRule="exact"/>
              <w:textAlignment w:val="baseline"/>
              <w:rPr>
                <w:rFonts w:ascii="宋体" w:hAnsi="宋体" w:cs="宋体"/>
                <w:szCs w:val="21"/>
                <w:lang w:val="zh-TW" w:eastAsia="zh-TW"/>
              </w:rPr>
            </w:pPr>
            <w:r>
              <w:rPr>
                <w:rFonts w:hint="eastAsia" w:ascii="宋体" w:hAnsi="宋体" w:cs="宋体"/>
                <w:szCs w:val="21"/>
                <w:lang w:val="zh-TW" w:eastAsia="zh-TW"/>
              </w:rPr>
              <w:t>设置齐全</w:t>
            </w:r>
          </w:p>
        </w:tc>
        <w:tc>
          <w:tcPr>
            <w:tcW w:w="1013" w:type="dxa"/>
            <w:shd w:val="clear" w:color="auto" w:fill="auto"/>
            <w:vAlign w:val="center"/>
          </w:tcPr>
          <w:p>
            <w:pPr>
              <w:spacing w:line="400" w:lineRule="atLeast"/>
              <w:jc w:val="center"/>
              <w:rPr>
                <w:rFonts w:ascii="宋体" w:hAnsi="宋体" w:cs="宋体"/>
                <w:szCs w:val="21"/>
                <w:lang w:val="zh-TW"/>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jc w:val="center"/>
              <w:rPr>
                <w:rFonts w:ascii="宋体" w:hAnsi="宋体" w:cs="宋体"/>
                <w:szCs w:val="21"/>
              </w:rPr>
            </w:pPr>
          </w:p>
        </w:tc>
        <w:tc>
          <w:tcPr>
            <w:tcW w:w="1465" w:type="dxa"/>
            <w:vMerge w:val="continue"/>
            <w:shd w:val="clear" w:color="auto" w:fill="auto"/>
            <w:vAlign w:val="center"/>
          </w:tcPr>
          <w:p>
            <w:pPr>
              <w:pStyle w:val="9"/>
              <w:ind w:left="63" w:right="63"/>
              <w:rPr>
                <w:szCs w:val="21"/>
                <w:lang w:val="zh-TW" w:eastAsia="zh-TW"/>
              </w:rPr>
            </w:pPr>
          </w:p>
        </w:tc>
        <w:tc>
          <w:tcPr>
            <w:tcW w:w="1780" w:type="dxa"/>
            <w:vMerge w:val="continue"/>
            <w:shd w:val="clear" w:color="auto" w:fill="auto"/>
            <w:vAlign w:val="center"/>
          </w:tcPr>
          <w:p>
            <w:pPr>
              <w:adjustRightInd w:val="0"/>
              <w:spacing w:line="400" w:lineRule="exact"/>
              <w:jc w:val="center"/>
              <w:textAlignment w:val="baseline"/>
              <w:rPr>
                <w:rFonts w:ascii="宋体" w:hAnsi="宋体" w:cs="宋体"/>
                <w:szCs w:val="21"/>
                <w:lang w:val="zh-TW" w:eastAsia="zh-TW"/>
              </w:rPr>
            </w:pPr>
          </w:p>
        </w:tc>
        <w:tc>
          <w:tcPr>
            <w:tcW w:w="4128" w:type="dxa"/>
            <w:shd w:val="clear" w:color="auto" w:fill="auto"/>
            <w:vAlign w:val="center"/>
          </w:tcPr>
          <w:p>
            <w:pPr>
              <w:adjustRightInd w:val="0"/>
              <w:spacing w:line="400" w:lineRule="exact"/>
              <w:textAlignment w:val="baseline"/>
              <w:rPr>
                <w:rFonts w:ascii="宋体" w:hAnsi="宋体" w:cs="宋体"/>
                <w:szCs w:val="21"/>
                <w:lang w:val="zh-TW" w:eastAsia="zh-TW"/>
              </w:rPr>
            </w:pPr>
            <w:r>
              <w:rPr>
                <w:rFonts w:hint="eastAsia" w:ascii="宋体" w:hAnsi="宋体" w:cs="宋体"/>
                <w:szCs w:val="21"/>
                <w:lang w:val="zh-TW" w:eastAsia="zh-TW"/>
              </w:rPr>
              <w:t>设置</w:t>
            </w:r>
            <w:r>
              <w:rPr>
                <w:rFonts w:hint="eastAsia" w:ascii="宋体" w:hAnsi="宋体" w:cs="宋体"/>
                <w:szCs w:val="21"/>
                <w:lang w:val="zh-TW"/>
              </w:rPr>
              <w:t>不</w:t>
            </w:r>
            <w:r>
              <w:rPr>
                <w:rFonts w:hint="eastAsia" w:ascii="宋体" w:hAnsi="宋体" w:cs="宋体"/>
                <w:szCs w:val="21"/>
                <w:lang w:val="zh-TW" w:eastAsia="zh-TW"/>
              </w:rPr>
              <w:t>齐全</w:t>
            </w:r>
          </w:p>
        </w:tc>
        <w:tc>
          <w:tcPr>
            <w:tcW w:w="1013" w:type="dxa"/>
            <w:shd w:val="clear" w:color="auto" w:fill="auto"/>
            <w:vAlign w:val="center"/>
          </w:tcPr>
          <w:p>
            <w:pPr>
              <w:spacing w:line="400" w:lineRule="atLeast"/>
              <w:jc w:val="center"/>
              <w:rPr>
                <w:rFonts w:ascii="宋体" w:hAnsi="宋体" w:cs="宋体"/>
                <w:szCs w:val="21"/>
              </w:rPr>
            </w:pPr>
            <w:r>
              <w:rPr>
                <w:rFonts w:hint="eastAsia" w:ascii="宋体" w:hAnsi="宋体" w:cs="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rPr>
                <w:rFonts w:ascii="宋体" w:hAnsi="宋体" w:cs="宋体"/>
                <w:szCs w:val="21"/>
                <w:lang w:val="zh-TW" w:eastAsia="zh-TW"/>
              </w:rPr>
            </w:pPr>
          </w:p>
        </w:tc>
        <w:tc>
          <w:tcPr>
            <w:tcW w:w="1465" w:type="dxa"/>
            <w:vMerge w:val="continue"/>
            <w:shd w:val="clear" w:color="auto" w:fill="auto"/>
            <w:vAlign w:val="center"/>
          </w:tcPr>
          <w:p>
            <w:pPr>
              <w:spacing w:line="400" w:lineRule="atLeast"/>
              <w:jc w:val="center"/>
              <w:rPr>
                <w:rFonts w:ascii="宋体" w:hAnsi="宋体" w:cs="宋体"/>
                <w:szCs w:val="21"/>
                <w:lang w:val="zh-TW" w:eastAsia="zh-TW"/>
              </w:rPr>
            </w:pPr>
          </w:p>
        </w:tc>
        <w:tc>
          <w:tcPr>
            <w:tcW w:w="1780" w:type="dxa"/>
            <w:vMerge w:val="restart"/>
            <w:shd w:val="clear" w:color="auto" w:fill="auto"/>
            <w:vAlign w:val="center"/>
          </w:tcPr>
          <w:p>
            <w:pPr>
              <w:adjustRightInd w:val="0"/>
              <w:spacing w:line="400" w:lineRule="exact"/>
              <w:jc w:val="center"/>
              <w:textAlignment w:val="baseline"/>
              <w:rPr>
                <w:rFonts w:ascii="宋体" w:hAnsi="宋体" w:cs="宋体"/>
                <w:szCs w:val="21"/>
                <w:lang w:val="zh-TW" w:eastAsia="zh-TW"/>
              </w:rPr>
            </w:pPr>
            <w:r>
              <w:rPr>
                <w:rFonts w:hint="eastAsia" w:ascii="宋体" w:hAnsi="宋体" w:cs="宋体"/>
                <w:szCs w:val="21"/>
                <w:lang w:val="zh-TW" w:eastAsia="zh-TW"/>
              </w:rPr>
              <w:t>人员专业配套</w:t>
            </w:r>
          </w:p>
        </w:tc>
        <w:tc>
          <w:tcPr>
            <w:tcW w:w="4128" w:type="dxa"/>
            <w:shd w:val="clear" w:color="auto" w:fill="auto"/>
            <w:vAlign w:val="center"/>
          </w:tcPr>
          <w:p>
            <w:pPr>
              <w:adjustRightInd w:val="0"/>
              <w:spacing w:line="400" w:lineRule="exact"/>
              <w:textAlignment w:val="baseline"/>
              <w:rPr>
                <w:rFonts w:ascii="宋体" w:hAnsi="宋体" w:cs="宋体"/>
                <w:szCs w:val="21"/>
                <w:lang w:val="zh-TW" w:eastAsia="zh-TW"/>
              </w:rPr>
            </w:pPr>
            <w:r>
              <w:rPr>
                <w:rFonts w:hint="eastAsia" w:ascii="宋体" w:hAnsi="宋体" w:cs="宋体"/>
                <w:szCs w:val="21"/>
                <w:lang w:val="zh-TW" w:eastAsia="zh-TW"/>
              </w:rPr>
              <w:t>专业完全配套</w:t>
            </w:r>
          </w:p>
        </w:tc>
        <w:tc>
          <w:tcPr>
            <w:tcW w:w="1013" w:type="dxa"/>
            <w:shd w:val="clear" w:color="auto" w:fill="auto"/>
            <w:vAlign w:val="center"/>
          </w:tcPr>
          <w:p>
            <w:pPr>
              <w:spacing w:line="400" w:lineRule="atLeast"/>
              <w:jc w:val="center"/>
              <w:rPr>
                <w:rFonts w:ascii="宋体" w:hAnsi="宋体" w:cs="宋体"/>
                <w:szCs w:val="21"/>
                <w:lang w:val="zh-TW"/>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rPr>
                <w:rFonts w:ascii="宋体" w:hAnsi="宋体" w:cs="宋体"/>
                <w:szCs w:val="21"/>
                <w:lang w:val="zh-TW" w:eastAsia="zh-TW"/>
              </w:rPr>
            </w:pPr>
          </w:p>
        </w:tc>
        <w:tc>
          <w:tcPr>
            <w:tcW w:w="1465" w:type="dxa"/>
            <w:vMerge w:val="continue"/>
            <w:shd w:val="clear" w:color="auto" w:fill="auto"/>
            <w:vAlign w:val="center"/>
          </w:tcPr>
          <w:p>
            <w:pPr>
              <w:spacing w:line="400" w:lineRule="atLeast"/>
              <w:jc w:val="center"/>
              <w:rPr>
                <w:rFonts w:ascii="宋体" w:hAnsi="宋体" w:cs="宋体"/>
                <w:szCs w:val="21"/>
                <w:lang w:val="zh-TW" w:eastAsia="zh-TW"/>
              </w:rPr>
            </w:pPr>
          </w:p>
        </w:tc>
        <w:tc>
          <w:tcPr>
            <w:tcW w:w="1780" w:type="dxa"/>
            <w:vMerge w:val="continue"/>
            <w:shd w:val="clear" w:color="auto" w:fill="auto"/>
            <w:vAlign w:val="center"/>
          </w:tcPr>
          <w:p>
            <w:pPr>
              <w:spacing w:line="400" w:lineRule="atLeast"/>
              <w:jc w:val="center"/>
              <w:rPr>
                <w:rFonts w:ascii="宋体" w:hAnsi="宋体" w:cs="宋体"/>
                <w:szCs w:val="21"/>
                <w:lang w:val="zh-TW" w:eastAsia="zh-TW"/>
              </w:rPr>
            </w:pPr>
          </w:p>
        </w:tc>
        <w:tc>
          <w:tcPr>
            <w:tcW w:w="4128" w:type="dxa"/>
            <w:shd w:val="clear" w:color="auto" w:fill="auto"/>
            <w:vAlign w:val="center"/>
          </w:tcPr>
          <w:p>
            <w:pPr>
              <w:adjustRightInd w:val="0"/>
              <w:spacing w:line="400" w:lineRule="exact"/>
              <w:textAlignment w:val="baseline"/>
              <w:rPr>
                <w:rFonts w:ascii="宋体" w:hAnsi="宋体" w:cs="宋体"/>
                <w:szCs w:val="21"/>
                <w:lang w:val="zh-TW" w:eastAsia="zh-TW"/>
              </w:rPr>
            </w:pPr>
            <w:r>
              <w:rPr>
                <w:rFonts w:hint="eastAsia" w:ascii="宋体" w:hAnsi="宋体" w:cs="宋体"/>
                <w:szCs w:val="21"/>
                <w:lang w:val="zh-TW" w:eastAsia="zh-TW"/>
              </w:rPr>
              <w:t>专业配套</w:t>
            </w:r>
            <w:r>
              <w:rPr>
                <w:rFonts w:hint="eastAsia" w:ascii="宋体" w:hAnsi="宋体" w:cs="宋体"/>
                <w:szCs w:val="21"/>
                <w:lang w:val="zh-TW"/>
              </w:rPr>
              <w:t>不</w:t>
            </w:r>
            <w:r>
              <w:rPr>
                <w:rFonts w:hint="eastAsia" w:ascii="宋体" w:hAnsi="宋体" w:cs="宋体"/>
                <w:szCs w:val="21"/>
                <w:lang w:val="zh-TW" w:eastAsia="zh-TW"/>
              </w:rPr>
              <w:t>齐全</w:t>
            </w:r>
          </w:p>
        </w:tc>
        <w:tc>
          <w:tcPr>
            <w:tcW w:w="1013" w:type="dxa"/>
            <w:shd w:val="clear" w:color="auto" w:fill="auto"/>
            <w:vAlign w:val="center"/>
          </w:tcPr>
          <w:p>
            <w:pPr>
              <w:spacing w:line="400" w:lineRule="atLeast"/>
              <w:jc w:val="center"/>
              <w:rPr>
                <w:rFonts w:ascii="宋体" w:hAnsi="宋体" w:cs="宋体"/>
                <w:szCs w:val="21"/>
                <w:lang w:val="zh-TW"/>
              </w:rPr>
            </w:pPr>
            <w:r>
              <w:rPr>
                <w:rFonts w:hint="eastAsia" w:ascii="宋体" w:hAnsi="宋体" w:cs="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rPr>
                <w:rFonts w:ascii="宋体" w:hAnsi="宋体" w:cs="宋体"/>
                <w:szCs w:val="21"/>
                <w:lang w:val="zh-TW" w:eastAsia="zh-TW"/>
              </w:rPr>
            </w:pPr>
          </w:p>
        </w:tc>
        <w:tc>
          <w:tcPr>
            <w:tcW w:w="1465" w:type="dxa"/>
            <w:vMerge w:val="restart"/>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lang w:val="zh-TW" w:eastAsia="zh-TW"/>
              </w:rPr>
              <w:t>拟派项目</w:t>
            </w:r>
            <w:r>
              <w:rPr>
                <w:rFonts w:hint="eastAsia" w:ascii="宋体" w:hAnsi="宋体" w:cs="宋体"/>
                <w:szCs w:val="21"/>
                <w:lang w:val="zh-TW"/>
              </w:rPr>
              <w:t>总监理工程师</w:t>
            </w:r>
            <w:r>
              <w:rPr>
                <w:rFonts w:hint="eastAsia" w:ascii="宋体" w:hAnsi="宋体" w:cs="宋体"/>
                <w:szCs w:val="21"/>
              </w:rPr>
              <w:t>（3</w:t>
            </w:r>
            <w:r>
              <w:rPr>
                <w:rFonts w:hint="eastAsia" w:ascii="宋体" w:hAnsi="宋体" w:cs="宋体"/>
                <w:szCs w:val="21"/>
                <w:lang w:val="zh-TW" w:eastAsia="zh-TW"/>
              </w:rPr>
              <w:t>分</w:t>
            </w:r>
            <w:r>
              <w:rPr>
                <w:rFonts w:hint="eastAsia" w:ascii="宋体" w:hAnsi="宋体" w:cs="宋体"/>
                <w:szCs w:val="21"/>
                <w:lang w:val="zh-TW"/>
              </w:rPr>
              <w:t>）</w:t>
            </w:r>
          </w:p>
        </w:tc>
        <w:tc>
          <w:tcPr>
            <w:tcW w:w="1780" w:type="dxa"/>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lang w:val="zh-TW" w:eastAsia="zh-TW"/>
              </w:rPr>
              <w:t>职称</w:t>
            </w:r>
          </w:p>
        </w:tc>
        <w:tc>
          <w:tcPr>
            <w:tcW w:w="4128" w:type="dxa"/>
            <w:shd w:val="clear" w:color="auto" w:fill="auto"/>
            <w:vAlign w:val="center"/>
          </w:tcPr>
          <w:p>
            <w:pPr>
              <w:spacing w:line="400" w:lineRule="atLeast"/>
              <w:rPr>
                <w:rFonts w:ascii="宋体" w:hAnsi="宋体" w:cs="宋体"/>
                <w:szCs w:val="21"/>
                <w:lang w:val="zh-TW" w:eastAsia="zh-TW"/>
              </w:rPr>
            </w:pPr>
            <w:r>
              <w:rPr>
                <w:rFonts w:hint="eastAsia" w:ascii="宋体" w:hAnsi="宋体" w:cs="宋体"/>
                <w:szCs w:val="21"/>
                <w:lang w:val="zh-TW"/>
              </w:rPr>
              <w:t>高</w:t>
            </w:r>
            <w:r>
              <w:rPr>
                <w:rFonts w:hint="eastAsia" w:ascii="宋体" w:hAnsi="宋体" w:cs="宋体"/>
                <w:szCs w:val="21"/>
                <w:lang w:val="zh-TW" w:eastAsia="zh-TW"/>
              </w:rPr>
              <w:t>级</w:t>
            </w:r>
            <w:r>
              <w:rPr>
                <w:rFonts w:hint="eastAsia" w:ascii="宋体" w:hAnsi="宋体" w:cs="宋体"/>
                <w:szCs w:val="21"/>
                <w:lang w:val="zh-TW"/>
              </w:rPr>
              <w:t>及以上</w:t>
            </w:r>
          </w:p>
        </w:tc>
        <w:tc>
          <w:tcPr>
            <w:tcW w:w="1013" w:type="dxa"/>
            <w:shd w:val="clear" w:color="auto" w:fill="auto"/>
            <w:vAlign w:val="center"/>
          </w:tcPr>
          <w:p>
            <w:pPr>
              <w:spacing w:line="400" w:lineRule="atLeast"/>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rPr>
                <w:rFonts w:ascii="宋体" w:hAnsi="宋体" w:cs="宋体"/>
                <w:szCs w:val="21"/>
                <w:lang w:val="zh-TW" w:eastAsia="zh-TW"/>
              </w:rPr>
            </w:pPr>
          </w:p>
        </w:tc>
        <w:tc>
          <w:tcPr>
            <w:tcW w:w="1465" w:type="dxa"/>
            <w:vMerge w:val="continue"/>
            <w:shd w:val="clear" w:color="auto" w:fill="auto"/>
            <w:vAlign w:val="center"/>
          </w:tcPr>
          <w:p>
            <w:pPr>
              <w:spacing w:line="400" w:lineRule="atLeast"/>
              <w:jc w:val="center"/>
              <w:rPr>
                <w:rFonts w:ascii="宋体" w:hAnsi="宋体" w:cs="宋体"/>
                <w:szCs w:val="21"/>
                <w:lang w:val="zh-TW" w:eastAsia="zh-TW"/>
              </w:rPr>
            </w:pPr>
          </w:p>
        </w:tc>
        <w:tc>
          <w:tcPr>
            <w:tcW w:w="1780" w:type="dxa"/>
            <w:vMerge w:val="restart"/>
            <w:shd w:val="clear" w:color="auto" w:fill="auto"/>
            <w:vAlign w:val="center"/>
          </w:tcPr>
          <w:p>
            <w:pPr>
              <w:spacing w:line="400" w:lineRule="atLeast"/>
              <w:jc w:val="center"/>
              <w:rPr>
                <w:rFonts w:ascii="宋体" w:hAnsi="宋体" w:cs="宋体"/>
                <w:szCs w:val="21"/>
                <w:lang w:val="zh-TW"/>
              </w:rPr>
            </w:pPr>
            <w:r>
              <w:rPr>
                <w:rFonts w:hint="eastAsia" w:ascii="宋体" w:hAnsi="宋体" w:cs="宋体"/>
                <w:szCs w:val="21"/>
                <w:lang w:val="zh-TW"/>
              </w:rPr>
              <w:t>工作年限（以毕业证或劳动合同为准）</w:t>
            </w:r>
          </w:p>
        </w:tc>
        <w:tc>
          <w:tcPr>
            <w:tcW w:w="4128" w:type="dxa"/>
            <w:shd w:val="clear" w:color="auto" w:fill="auto"/>
            <w:vAlign w:val="center"/>
          </w:tcPr>
          <w:p>
            <w:pPr>
              <w:spacing w:line="400" w:lineRule="atLeast"/>
              <w:rPr>
                <w:rFonts w:ascii="宋体" w:hAnsi="宋体" w:cs="宋体"/>
                <w:szCs w:val="21"/>
                <w:lang w:val="zh-TW"/>
              </w:rPr>
            </w:pPr>
            <w:r>
              <w:rPr>
                <w:rFonts w:hint="eastAsia" w:ascii="宋体" w:hAnsi="宋体" w:cs="宋体"/>
                <w:szCs w:val="21"/>
              </w:rPr>
              <w:t>20年及以上</w:t>
            </w:r>
          </w:p>
        </w:tc>
        <w:tc>
          <w:tcPr>
            <w:tcW w:w="1013" w:type="dxa"/>
            <w:shd w:val="clear" w:color="auto" w:fill="auto"/>
            <w:vAlign w:val="center"/>
          </w:tcPr>
          <w:p>
            <w:pPr>
              <w:spacing w:line="400" w:lineRule="atLeast"/>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rPr>
                <w:rFonts w:ascii="宋体" w:hAnsi="宋体" w:cs="宋体"/>
                <w:szCs w:val="21"/>
                <w:lang w:val="zh-TW" w:eastAsia="zh-TW"/>
              </w:rPr>
            </w:pPr>
          </w:p>
        </w:tc>
        <w:tc>
          <w:tcPr>
            <w:tcW w:w="1465" w:type="dxa"/>
            <w:vMerge w:val="continue"/>
            <w:shd w:val="clear" w:color="auto" w:fill="auto"/>
            <w:vAlign w:val="center"/>
          </w:tcPr>
          <w:p>
            <w:pPr>
              <w:spacing w:line="400" w:lineRule="atLeast"/>
              <w:jc w:val="center"/>
              <w:rPr>
                <w:rFonts w:ascii="宋体" w:hAnsi="宋体" w:cs="宋体"/>
                <w:szCs w:val="21"/>
                <w:lang w:val="zh-TW" w:eastAsia="zh-TW"/>
              </w:rPr>
            </w:pPr>
          </w:p>
        </w:tc>
        <w:tc>
          <w:tcPr>
            <w:tcW w:w="1780" w:type="dxa"/>
            <w:vMerge w:val="continue"/>
            <w:shd w:val="clear" w:color="auto" w:fill="auto"/>
            <w:vAlign w:val="center"/>
          </w:tcPr>
          <w:p>
            <w:pPr>
              <w:spacing w:line="400" w:lineRule="atLeast"/>
              <w:jc w:val="center"/>
              <w:rPr>
                <w:rFonts w:ascii="宋体" w:hAnsi="宋体" w:cs="宋体"/>
                <w:szCs w:val="21"/>
                <w:lang w:val="zh-TW" w:eastAsia="zh-TW"/>
              </w:rPr>
            </w:pPr>
          </w:p>
        </w:tc>
        <w:tc>
          <w:tcPr>
            <w:tcW w:w="4128" w:type="dxa"/>
            <w:shd w:val="clear" w:color="auto" w:fill="auto"/>
            <w:vAlign w:val="center"/>
          </w:tcPr>
          <w:p>
            <w:pPr>
              <w:spacing w:line="400" w:lineRule="atLeast"/>
              <w:rPr>
                <w:rFonts w:ascii="宋体" w:hAnsi="宋体" w:cs="宋体"/>
                <w:szCs w:val="21"/>
              </w:rPr>
            </w:pPr>
            <w:r>
              <w:rPr>
                <w:rFonts w:hint="eastAsia" w:ascii="宋体" w:hAnsi="宋体" w:cs="宋体"/>
                <w:szCs w:val="21"/>
              </w:rPr>
              <w:t>20年以下</w:t>
            </w:r>
          </w:p>
        </w:tc>
        <w:tc>
          <w:tcPr>
            <w:tcW w:w="1013" w:type="dxa"/>
            <w:shd w:val="clear" w:color="auto" w:fill="auto"/>
            <w:vAlign w:val="center"/>
          </w:tcPr>
          <w:p>
            <w:pPr>
              <w:spacing w:line="400" w:lineRule="atLeas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rPr>
                <w:rFonts w:ascii="宋体" w:hAnsi="宋体" w:cs="宋体"/>
                <w:szCs w:val="21"/>
                <w:lang w:val="zh-TW" w:eastAsia="zh-TW"/>
              </w:rPr>
            </w:pPr>
          </w:p>
        </w:tc>
        <w:tc>
          <w:tcPr>
            <w:tcW w:w="1465" w:type="dxa"/>
            <w:vMerge w:val="restart"/>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lang w:val="zh-TW" w:eastAsia="zh-TW"/>
              </w:rPr>
              <w:t>拟派项目</w:t>
            </w:r>
          </w:p>
          <w:p>
            <w:pPr>
              <w:spacing w:line="400" w:lineRule="atLeast"/>
              <w:jc w:val="center"/>
              <w:rPr>
                <w:rFonts w:ascii="宋体" w:hAnsi="宋体" w:cs="宋体"/>
                <w:szCs w:val="21"/>
                <w:lang w:val="zh-TW" w:eastAsia="zh-TW"/>
              </w:rPr>
            </w:pPr>
            <w:r>
              <w:rPr>
                <w:rFonts w:hint="eastAsia" w:ascii="宋体" w:hAnsi="宋体" w:cs="宋体"/>
                <w:szCs w:val="21"/>
                <w:lang w:val="zh-TW"/>
              </w:rPr>
              <w:t>总监理工程师代表</w:t>
            </w:r>
            <w:r>
              <w:rPr>
                <w:rFonts w:hint="eastAsia" w:ascii="宋体" w:hAnsi="宋体" w:cs="宋体"/>
                <w:szCs w:val="21"/>
              </w:rPr>
              <w:t>（3</w:t>
            </w:r>
            <w:r>
              <w:rPr>
                <w:rFonts w:hint="eastAsia" w:ascii="宋体" w:hAnsi="宋体" w:cs="宋体"/>
                <w:szCs w:val="21"/>
                <w:lang w:val="zh-TW" w:eastAsia="zh-TW"/>
              </w:rPr>
              <w:t>分</w:t>
            </w:r>
            <w:r>
              <w:rPr>
                <w:rFonts w:hint="eastAsia" w:ascii="宋体" w:hAnsi="宋体" w:cs="宋体"/>
                <w:szCs w:val="21"/>
                <w:lang w:val="zh-TW"/>
              </w:rPr>
              <w:t>）</w:t>
            </w:r>
          </w:p>
        </w:tc>
        <w:tc>
          <w:tcPr>
            <w:tcW w:w="1780" w:type="dxa"/>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lang w:val="zh-TW" w:eastAsia="zh-TW"/>
              </w:rPr>
              <w:t>职称</w:t>
            </w:r>
          </w:p>
        </w:tc>
        <w:tc>
          <w:tcPr>
            <w:tcW w:w="4128" w:type="dxa"/>
            <w:shd w:val="clear" w:color="auto" w:fill="auto"/>
            <w:vAlign w:val="center"/>
          </w:tcPr>
          <w:p>
            <w:pPr>
              <w:spacing w:line="400" w:lineRule="atLeast"/>
              <w:rPr>
                <w:rFonts w:ascii="宋体" w:hAnsi="宋体" w:cs="宋体"/>
                <w:szCs w:val="21"/>
                <w:lang w:val="zh-TW" w:eastAsia="zh-TW"/>
              </w:rPr>
            </w:pPr>
            <w:r>
              <w:rPr>
                <w:rFonts w:hint="eastAsia" w:ascii="宋体" w:hAnsi="宋体" w:cs="宋体"/>
                <w:szCs w:val="21"/>
                <w:lang w:val="zh-TW"/>
              </w:rPr>
              <w:t>中</w:t>
            </w:r>
            <w:r>
              <w:rPr>
                <w:rFonts w:hint="eastAsia" w:ascii="宋体" w:hAnsi="宋体" w:cs="宋体"/>
                <w:szCs w:val="21"/>
                <w:lang w:val="zh-TW" w:eastAsia="zh-TW"/>
              </w:rPr>
              <w:t>级及以上</w:t>
            </w:r>
          </w:p>
        </w:tc>
        <w:tc>
          <w:tcPr>
            <w:tcW w:w="1013" w:type="dxa"/>
            <w:shd w:val="clear" w:color="auto" w:fill="auto"/>
            <w:vAlign w:val="center"/>
          </w:tcPr>
          <w:p>
            <w:pPr>
              <w:spacing w:line="400" w:lineRule="atLeast"/>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rPr>
                <w:rFonts w:ascii="宋体" w:hAnsi="宋体" w:cs="宋体"/>
                <w:szCs w:val="21"/>
                <w:lang w:val="zh-TW" w:eastAsia="zh-TW"/>
              </w:rPr>
            </w:pPr>
          </w:p>
        </w:tc>
        <w:tc>
          <w:tcPr>
            <w:tcW w:w="1465" w:type="dxa"/>
            <w:vMerge w:val="continue"/>
            <w:shd w:val="clear" w:color="auto" w:fill="auto"/>
            <w:vAlign w:val="center"/>
          </w:tcPr>
          <w:p>
            <w:pPr>
              <w:spacing w:line="400" w:lineRule="atLeast"/>
              <w:jc w:val="center"/>
              <w:rPr>
                <w:rFonts w:ascii="宋体" w:hAnsi="宋体" w:cs="宋体"/>
                <w:szCs w:val="21"/>
                <w:lang w:val="zh-TW" w:eastAsia="zh-TW"/>
              </w:rPr>
            </w:pPr>
          </w:p>
        </w:tc>
        <w:tc>
          <w:tcPr>
            <w:tcW w:w="1780" w:type="dxa"/>
            <w:vMerge w:val="restart"/>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lang w:val="zh-TW"/>
              </w:rPr>
              <w:t>工作年限（以毕业证或劳动合同为准）</w:t>
            </w:r>
          </w:p>
        </w:tc>
        <w:tc>
          <w:tcPr>
            <w:tcW w:w="4128" w:type="dxa"/>
            <w:shd w:val="clear" w:color="auto" w:fill="auto"/>
            <w:vAlign w:val="center"/>
          </w:tcPr>
          <w:p>
            <w:pPr>
              <w:spacing w:line="400" w:lineRule="atLeast"/>
              <w:rPr>
                <w:rFonts w:ascii="宋体" w:hAnsi="宋体" w:cs="宋体"/>
                <w:szCs w:val="21"/>
                <w:lang w:val="zh-TW" w:eastAsia="zh-TW"/>
              </w:rPr>
            </w:pPr>
            <w:r>
              <w:rPr>
                <w:rFonts w:hint="eastAsia" w:ascii="宋体" w:hAnsi="宋体" w:cs="宋体"/>
                <w:szCs w:val="21"/>
              </w:rPr>
              <w:t>20年及以上</w:t>
            </w:r>
          </w:p>
        </w:tc>
        <w:tc>
          <w:tcPr>
            <w:tcW w:w="1013" w:type="dxa"/>
            <w:shd w:val="clear" w:color="auto" w:fill="auto"/>
            <w:vAlign w:val="center"/>
          </w:tcPr>
          <w:p>
            <w:pPr>
              <w:spacing w:line="400" w:lineRule="atLeast"/>
              <w:jc w:val="center"/>
              <w:rPr>
                <w:rFonts w:ascii="宋体" w:hAnsi="宋体" w:cs="宋体"/>
                <w:szCs w:val="21"/>
                <w:lang w:val="zh-TW"/>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rPr>
                <w:rFonts w:ascii="宋体" w:hAnsi="宋体" w:cs="宋体"/>
                <w:szCs w:val="21"/>
                <w:lang w:val="zh-TW" w:eastAsia="zh-TW"/>
              </w:rPr>
            </w:pPr>
          </w:p>
        </w:tc>
        <w:tc>
          <w:tcPr>
            <w:tcW w:w="1465" w:type="dxa"/>
            <w:vMerge w:val="continue"/>
            <w:shd w:val="clear" w:color="auto" w:fill="auto"/>
            <w:vAlign w:val="center"/>
          </w:tcPr>
          <w:p>
            <w:pPr>
              <w:spacing w:line="400" w:lineRule="atLeast"/>
              <w:jc w:val="center"/>
              <w:rPr>
                <w:rFonts w:ascii="宋体" w:hAnsi="宋体" w:cs="宋体"/>
                <w:szCs w:val="21"/>
                <w:lang w:val="zh-TW" w:eastAsia="zh-TW"/>
              </w:rPr>
            </w:pPr>
          </w:p>
        </w:tc>
        <w:tc>
          <w:tcPr>
            <w:tcW w:w="1780" w:type="dxa"/>
            <w:vMerge w:val="continue"/>
            <w:shd w:val="clear" w:color="auto" w:fill="auto"/>
            <w:vAlign w:val="center"/>
          </w:tcPr>
          <w:p>
            <w:pPr>
              <w:spacing w:line="400" w:lineRule="atLeast"/>
              <w:jc w:val="center"/>
              <w:rPr>
                <w:rFonts w:ascii="宋体" w:hAnsi="宋体" w:cs="宋体"/>
                <w:szCs w:val="21"/>
                <w:lang w:val="zh-TW" w:eastAsia="zh-TW"/>
              </w:rPr>
            </w:pPr>
          </w:p>
        </w:tc>
        <w:tc>
          <w:tcPr>
            <w:tcW w:w="4128" w:type="dxa"/>
            <w:shd w:val="clear" w:color="auto" w:fill="auto"/>
            <w:vAlign w:val="center"/>
          </w:tcPr>
          <w:p>
            <w:pPr>
              <w:spacing w:line="400" w:lineRule="atLeast"/>
              <w:rPr>
                <w:rFonts w:ascii="宋体" w:hAnsi="宋体" w:cs="宋体"/>
                <w:szCs w:val="21"/>
                <w:lang w:val="zh-TW" w:eastAsia="zh-TW"/>
              </w:rPr>
            </w:pPr>
            <w:r>
              <w:rPr>
                <w:rFonts w:hint="eastAsia" w:ascii="宋体" w:hAnsi="宋体" w:cs="宋体"/>
                <w:szCs w:val="21"/>
              </w:rPr>
              <w:t>20年以下</w:t>
            </w:r>
          </w:p>
        </w:tc>
        <w:tc>
          <w:tcPr>
            <w:tcW w:w="1013" w:type="dxa"/>
            <w:shd w:val="clear" w:color="auto" w:fill="auto"/>
            <w:vAlign w:val="center"/>
          </w:tcPr>
          <w:p>
            <w:pPr>
              <w:spacing w:line="400" w:lineRule="atLeast"/>
              <w:jc w:val="center"/>
              <w:rPr>
                <w:rFonts w:ascii="宋体" w:hAnsi="宋体" w:cs="宋体"/>
                <w:szCs w:val="21"/>
                <w:lang w:val="zh-TW"/>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rPr>
                <w:rFonts w:ascii="宋体" w:hAnsi="宋体" w:cs="宋体"/>
                <w:szCs w:val="21"/>
                <w:lang w:val="zh-TW" w:eastAsia="zh-TW"/>
              </w:rPr>
            </w:pPr>
          </w:p>
        </w:tc>
        <w:tc>
          <w:tcPr>
            <w:tcW w:w="1465" w:type="dxa"/>
            <w:vMerge w:val="restart"/>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lang w:val="zh-TW"/>
              </w:rPr>
              <w:t>各专业监理工程师</w:t>
            </w:r>
            <w:r>
              <w:rPr>
                <w:rFonts w:hint="eastAsia" w:ascii="宋体" w:hAnsi="宋体" w:cs="宋体"/>
                <w:szCs w:val="21"/>
              </w:rPr>
              <w:t>（2</w:t>
            </w:r>
            <w:r>
              <w:rPr>
                <w:rFonts w:hint="eastAsia" w:ascii="宋体" w:hAnsi="宋体" w:cs="宋体"/>
                <w:szCs w:val="21"/>
                <w:lang w:val="zh-TW" w:eastAsia="zh-TW"/>
              </w:rPr>
              <w:t>分</w:t>
            </w:r>
            <w:r>
              <w:rPr>
                <w:rFonts w:hint="eastAsia" w:ascii="宋体" w:hAnsi="宋体" w:cs="宋体"/>
                <w:szCs w:val="21"/>
                <w:lang w:val="zh-TW"/>
              </w:rPr>
              <w:t>）</w:t>
            </w:r>
          </w:p>
        </w:tc>
        <w:tc>
          <w:tcPr>
            <w:tcW w:w="1780" w:type="dxa"/>
            <w:vMerge w:val="restart"/>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lang w:val="zh-TW"/>
              </w:rPr>
              <w:t>各专业监理工程师</w:t>
            </w:r>
          </w:p>
        </w:tc>
        <w:tc>
          <w:tcPr>
            <w:tcW w:w="4128" w:type="dxa"/>
            <w:shd w:val="clear" w:color="auto" w:fill="auto"/>
            <w:vAlign w:val="center"/>
          </w:tcPr>
          <w:p>
            <w:pPr>
              <w:spacing w:line="400" w:lineRule="atLeast"/>
              <w:rPr>
                <w:rFonts w:ascii="宋体" w:hAnsi="宋体" w:cs="宋体"/>
                <w:szCs w:val="21"/>
                <w:lang w:val="zh-TW" w:eastAsia="zh-TW"/>
              </w:rPr>
            </w:pPr>
            <w:r>
              <w:rPr>
                <w:rFonts w:hint="eastAsia" w:ascii="宋体" w:hAnsi="宋体" w:cs="宋体"/>
                <w:szCs w:val="21"/>
                <w:lang w:val="zh-TW" w:eastAsia="zh-TW"/>
              </w:rPr>
              <w:t>完全符合附表</w:t>
            </w:r>
            <w:r>
              <w:rPr>
                <w:rFonts w:hint="eastAsia" w:ascii="宋体" w:hAnsi="宋体" w:cs="宋体"/>
                <w:szCs w:val="21"/>
              </w:rPr>
              <w:t>2</w:t>
            </w:r>
            <w:r>
              <w:rPr>
                <w:rFonts w:hint="eastAsia" w:ascii="宋体" w:hAnsi="宋体" w:cs="宋体"/>
                <w:szCs w:val="21"/>
                <w:lang w:val="zh-TW" w:eastAsia="zh-TW"/>
              </w:rPr>
              <w:t>中的人员资历要求</w:t>
            </w:r>
          </w:p>
        </w:tc>
        <w:tc>
          <w:tcPr>
            <w:tcW w:w="1013" w:type="dxa"/>
            <w:shd w:val="clear" w:color="auto" w:fill="auto"/>
            <w:vAlign w:val="center"/>
          </w:tcPr>
          <w:p>
            <w:pPr>
              <w:spacing w:line="400" w:lineRule="atLeas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rPr>
                <w:rFonts w:ascii="宋体" w:hAnsi="宋体" w:cs="宋体"/>
                <w:szCs w:val="21"/>
                <w:lang w:val="zh-TW" w:eastAsia="zh-TW"/>
              </w:rPr>
            </w:pPr>
          </w:p>
        </w:tc>
        <w:tc>
          <w:tcPr>
            <w:tcW w:w="1465" w:type="dxa"/>
            <w:vMerge w:val="continue"/>
            <w:shd w:val="clear" w:color="auto" w:fill="auto"/>
            <w:vAlign w:val="center"/>
          </w:tcPr>
          <w:p>
            <w:pPr>
              <w:spacing w:line="400" w:lineRule="atLeast"/>
              <w:rPr>
                <w:rFonts w:ascii="宋体" w:hAnsi="宋体" w:cs="宋体"/>
                <w:szCs w:val="21"/>
                <w:lang w:val="zh-TW" w:eastAsia="zh-TW"/>
              </w:rPr>
            </w:pPr>
          </w:p>
        </w:tc>
        <w:tc>
          <w:tcPr>
            <w:tcW w:w="1780" w:type="dxa"/>
            <w:vMerge w:val="continue"/>
            <w:shd w:val="clear" w:color="auto" w:fill="auto"/>
            <w:vAlign w:val="center"/>
          </w:tcPr>
          <w:p>
            <w:pPr>
              <w:spacing w:line="400" w:lineRule="atLeast"/>
              <w:jc w:val="center"/>
              <w:rPr>
                <w:rFonts w:ascii="宋体" w:hAnsi="宋体" w:cs="宋体"/>
                <w:szCs w:val="21"/>
                <w:lang w:val="zh-TW" w:eastAsia="zh-TW"/>
              </w:rPr>
            </w:pPr>
          </w:p>
        </w:tc>
        <w:tc>
          <w:tcPr>
            <w:tcW w:w="4128" w:type="dxa"/>
            <w:shd w:val="clear" w:color="auto" w:fill="auto"/>
            <w:vAlign w:val="center"/>
          </w:tcPr>
          <w:p>
            <w:pPr>
              <w:spacing w:line="400" w:lineRule="atLeast"/>
              <w:rPr>
                <w:rFonts w:ascii="宋体" w:hAnsi="宋体" w:cs="宋体"/>
                <w:szCs w:val="21"/>
                <w:lang w:val="zh-TW" w:eastAsia="zh-TW"/>
              </w:rPr>
            </w:pPr>
            <w:r>
              <w:rPr>
                <w:rFonts w:hint="eastAsia" w:ascii="宋体" w:hAnsi="宋体" w:cs="宋体"/>
                <w:szCs w:val="21"/>
                <w:lang w:val="zh-TW" w:eastAsia="zh-TW"/>
              </w:rPr>
              <w:t>不符合附表</w:t>
            </w:r>
            <w:r>
              <w:rPr>
                <w:rFonts w:hint="eastAsia" w:ascii="宋体" w:hAnsi="宋体" w:cs="宋体"/>
                <w:szCs w:val="21"/>
              </w:rPr>
              <w:t>2</w:t>
            </w:r>
            <w:r>
              <w:rPr>
                <w:rFonts w:hint="eastAsia" w:ascii="宋体" w:hAnsi="宋体" w:cs="宋体"/>
                <w:szCs w:val="21"/>
                <w:lang w:val="zh-TW" w:eastAsia="zh-TW"/>
              </w:rPr>
              <w:t>中的人员资历要求，每人每一项不符合扣0.</w:t>
            </w:r>
            <w:r>
              <w:rPr>
                <w:rFonts w:hint="eastAsia" w:ascii="宋体" w:hAnsi="宋体" w:cs="宋体"/>
                <w:szCs w:val="21"/>
              </w:rPr>
              <w:t>25</w:t>
            </w:r>
            <w:r>
              <w:rPr>
                <w:rFonts w:hint="eastAsia" w:ascii="宋体" w:hAnsi="宋体" w:cs="宋体"/>
                <w:szCs w:val="21"/>
                <w:lang w:val="zh-TW" w:eastAsia="zh-TW"/>
              </w:rPr>
              <w:t>分，扣至</w:t>
            </w:r>
            <w:r>
              <w:rPr>
                <w:rFonts w:hint="eastAsia" w:ascii="宋体" w:hAnsi="宋体" w:cs="宋体"/>
                <w:szCs w:val="21"/>
              </w:rPr>
              <w:t>0.5</w:t>
            </w:r>
            <w:r>
              <w:rPr>
                <w:rFonts w:hint="eastAsia" w:ascii="宋体" w:hAnsi="宋体" w:cs="宋体"/>
                <w:szCs w:val="21"/>
                <w:lang w:val="zh-TW" w:eastAsia="zh-TW"/>
              </w:rPr>
              <w:t>分为止</w:t>
            </w:r>
          </w:p>
        </w:tc>
        <w:tc>
          <w:tcPr>
            <w:tcW w:w="1013" w:type="dxa"/>
            <w:shd w:val="clear" w:color="auto" w:fill="auto"/>
            <w:vAlign w:val="center"/>
          </w:tcPr>
          <w:p>
            <w:pPr>
              <w:spacing w:line="400" w:lineRule="atLeast"/>
              <w:jc w:val="center"/>
              <w:rPr>
                <w:rFonts w:ascii="宋体" w:hAnsi="宋体" w:cs="宋体"/>
                <w:szCs w:val="21"/>
              </w:rPr>
            </w:pPr>
            <w:r>
              <w:rPr>
                <w:rFonts w:hint="eastAsia" w:ascii="宋体" w:hAnsi="宋体" w:cs="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rPr>
                <w:rFonts w:ascii="宋体" w:hAnsi="宋体" w:cs="宋体"/>
                <w:szCs w:val="21"/>
                <w:lang w:val="zh-TW" w:eastAsia="zh-TW"/>
              </w:rPr>
            </w:pPr>
          </w:p>
        </w:tc>
        <w:tc>
          <w:tcPr>
            <w:tcW w:w="1465" w:type="dxa"/>
            <w:vMerge w:val="continue"/>
            <w:shd w:val="clear" w:color="auto" w:fill="auto"/>
            <w:vAlign w:val="center"/>
          </w:tcPr>
          <w:p>
            <w:pPr>
              <w:spacing w:line="400" w:lineRule="atLeast"/>
              <w:rPr>
                <w:rFonts w:ascii="宋体" w:hAnsi="宋体" w:cs="宋体"/>
                <w:szCs w:val="21"/>
                <w:lang w:val="zh-TW" w:eastAsia="zh-TW"/>
              </w:rPr>
            </w:pPr>
          </w:p>
        </w:tc>
        <w:tc>
          <w:tcPr>
            <w:tcW w:w="1780" w:type="dxa"/>
            <w:vMerge w:val="restart"/>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lang w:val="zh-TW"/>
              </w:rPr>
              <w:t>工作年限（以毕业证或劳动合同为准）</w:t>
            </w:r>
          </w:p>
        </w:tc>
        <w:tc>
          <w:tcPr>
            <w:tcW w:w="4128" w:type="dxa"/>
            <w:shd w:val="clear" w:color="auto" w:fill="auto"/>
            <w:vAlign w:val="center"/>
          </w:tcPr>
          <w:p>
            <w:pPr>
              <w:spacing w:line="400" w:lineRule="atLeast"/>
              <w:rPr>
                <w:rFonts w:ascii="宋体" w:hAnsi="宋体" w:cs="宋体"/>
                <w:szCs w:val="21"/>
                <w:lang w:val="zh-TW" w:eastAsia="zh-TW"/>
              </w:rPr>
            </w:pPr>
            <w:r>
              <w:rPr>
                <w:rFonts w:hint="eastAsia" w:ascii="宋体" w:hAnsi="宋体" w:cs="宋体"/>
                <w:szCs w:val="21"/>
              </w:rPr>
              <w:t>5年及以上</w:t>
            </w:r>
          </w:p>
        </w:tc>
        <w:tc>
          <w:tcPr>
            <w:tcW w:w="1013" w:type="dxa"/>
            <w:shd w:val="clear" w:color="auto" w:fill="auto"/>
            <w:vAlign w:val="center"/>
          </w:tcPr>
          <w:p>
            <w:pPr>
              <w:spacing w:line="400" w:lineRule="atLeas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rPr>
                <w:rFonts w:ascii="宋体" w:hAnsi="宋体" w:cs="宋体"/>
                <w:szCs w:val="21"/>
                <w:lang w:val="zh-TW" w:eastAsia="zh-TW"/>
              </w:rPr>
            </w:pPr>
          </w:p>
        </w:tc>
        <w:tc>
          <w:tcPr>
            <w:tcW w:w="1465" w:type="dxa"/>
            <w:vMerge w:val="continue"/>
            <w:shd w:val="clear" w:color="auto" w:fill="auto"/>
            <w:vAlign w:val="center"/>
          </w:tcPr>
          <w:p>
            <w:pPr>
              <w:spacing w:line="400" w:lineRule="atLeast"/>
              <w:rPr>
                <w:rFonts w:ascii="宋体" w:hAnsi="宋体" w:cs="宋体"/>
                <w:szCs w:val="21"/>
                <w:lang w:val="zh-TW" w:eastAsia="zh-TW"/>
              </w:rPr>
            </w:pPr>
          </w:p>
        </w:tc>
        <w:tc>
          <w:tcPr>
            <w:tcW w:w="1780" w:type="dxa"/>
            <w:vMerge w:val="continue"/>
            <w:shd w:val="clear" w:color="auto" w:fill="auto"/>
            <w:vAlign w:val="center"/>
          </w:tcPr>
          <w:p>
            <w:pPr>
              <w:spacing w:line="400" w:lineRule="atLeast"/>
              <w:jc w:val="center"/>
              <w:rPr>
                <w:rFonts w:ascii="宋体" w:hAnsi="宋体" w:cs="宋体"/>
                <w:szCs w:val="21"/>
                <w:lang w:val="zh-TW" w:eastAsia="zh-TW"/>
              </w:rPr>
            </w:pPr>
          </w:p>
        </w:tc>
        <w:tc>
          <w:tcPr>
            <w:tcW w:w="4128" w:type="dxa"/>
            <w:shd w:val="clear" w:color="auto" w:fill="auto"/>
            <w:vAlign w:val="center"/>
          </w:tcPr>
          <w:p>
            <w:pPr>
              <w:spacing w:line="400" w:lineRule="atLeast"/>
              <w:rPr>
                <w:rFonts w:ascii="宋体" w:hAnsi="宋体" w:cs="宋体"/>
                <w:szCs w:val="21"/>
                <w:lang w:val="zh-TW" w:eastAsia="zh-TW"/>
              </w:rPr>
            </w:pPr>
            <w:r>
              <w:rPr>
                <w:rFonts w:hint="eastAsia" w:ascii="宋体" w:hAnsi="宋体" w:cs="宋体"/>
                <w:szCs w:val="21"/>
              </w:rPr>
              <w:t>5年以下</w:t>
            </w:r>
          </w:p>
        </w:tc>
        <w:tc>
          <w:tcPr>
            <w:tcW w:w="1013" w:type="dxa"/>
            <w:shd w:val="clear" w:color="auto" w:fill="auto"/>
            <w:vAlign w:val="center"/>
          </w:tcPr>
          <w:p>
            <w:pPr>
              <w:spacing w:line="400" w:lineRule="atLeast"/>
              <w:jc w:val="center"/>
              <w:rPr>
                <w:rFonts w:ascii="宋体" w:hAnsi="宋体" w:cs="宋体"/>
                <w:szCs w:val="21"/>
              </w:rPr>
            </w:pPr>
            <w:r>
              <w:rPr>
                <w:rFonts w:hint="eastAsia" w:ascii="宋体" w:hAnsi="宋体" w:cs="宋体"/>
                <w:szCs w:val="21"/>
              </w:rPr>
              <w:t>0.5</w:t>
            </w:r>
          </w:p>
        </w:tc>
      </w:tr>
    </w:tbl>
    <w:p/>
    <w:p/>
    <w:p/>
    <w:p/>
    <w:p/>
    <w:p/>
    <w:p/>
    <w:p/>
    <w:p/>
    <w:p/>
    <w:p/>
    <w:p/>
    <w:p/>
    <w:p/>
    <w:p/>
    <w:p/>
    <w:p>
      <w:pPr>
        <w:pStyle w:val="2"/>
      </w:pPr>
      <w:bookmarkStart w:id="718" w:name="_Toc7855"/>
      <w:r>
        <w:t>附</w:t>
      </w:r>
      <w:r>
        <w:rPr>
          <w:rFonts w:hint="eastAsia"/>
        </w:rPr>
        <w:t>表2：</w:t>
      </w:r>
      <w:r>
        <w:t>拟投入监理人员</w:t>
      </w:r>
      <w:r>
        <w:rPr>
          <w:rFonts w:hint="eastAsia"/>
        </w:rPr>
        <w:t>配置</w:t>
      </w:r>
      <w:r>
        <w:t>一览表</w:t>
      </w:r>
      <w:bookmarkEnd w:id="713"/>
      <w:bookmarkEnd w:id="714"/>
      <w:bookmarkEnd w:id="718"/>
    </w:p>
    <w:tbl>
      <w:tblPr>
        <w:tblStyle w:val="28"/>
        <w:tblW w:w="893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275"/>
        <w:gridCol w:w="944"/>
        <w:gridCol w:w="709"/>
        <w:gridCol w:w="1843"/>
        <w:gridCol w:w="2456"/>
        <w:gridCol w:w="10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trPr>
        <w:tc>
          <w:tcPr>
            <w:tcW w:w="616" w:type="dxa"/>
            <w:tcMar>
              <w:left w:w="0" w:type="dxa"/>
              <w:right w:w="0" w:type="dxa"/>
            </w:tcMar>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序号</w:t>
            </w:r>
          </w:p>
        </w:tc>
        <w:tc>
          <w:tcPr>
            <w:tcW w:w="1275" w:type="dxa"/>
            <w:tcMar>
              <w:left w:w="0" w:type="dxa"/>
              <w:right w:w="0" w:type="dxa"/>
            </w:tcMar>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监理岗位</w:t>
            </w:r>
          </w:p>
        </w:tc>
        <w:tc>
          <w:tcPr>
            <w:tcW w:w="944" w:type="dxa"/>
            <w:tcMar>
              <w:left w:w="0" w:type="dxa"/>
              <w:right w:w="0" w:type="dxa"/>
            </w:tcMar>
            <w:vAlign w:val="center"/>
          </w:tcPr>
          <w:p>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职称</w:t>
            </w:r>
            <w:r>
              <w:rPr>
                <w:rFonts w:asciiTheme="minorEastAsia" w:hAnsiTheme="minorEastAsia" w:eastAsiaTheme="minorEastAsia"/>
                <w:b/>
                <w:szCs w:val="21"/>
              </w:rPr>
              <w:t>专业</w:t>
            </w:r>
          </w:p>
        </w:tc>
        <w:tc>
          <w:tcPr>
            <w:tcW w:w="709" w:type="dxa"/>
            <w:tcMar>
              <w:left w:w="0" w:type="dxa"/>
              <w:right w:w="0" w:type="dxa"/>
            </w:tcMar>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职称</w:t>
            </w:r>
            <w:r>
              <w:rPr>
                <w:rFonts w:hint="eastAsia" w:asciiTheme="minorEastAsia" w:hAnsiTheme="minorEastAsia" w:eastAsiaTheme="minorEastAsia"/>
                <w:b/>
                <w:szCs w:val="21"/>
              </w:rPr>
              <w:t>级别</w:t>
            </w:r>
          </w:p>
        </w:tc>
        <w:tc>
          <w:tcPr>
            <w:tcW w:w="1843" w:type="dxa"/>
            <w:tcMar>
              <w:left w:w="0" w:type="dxa"/>
              <w:right w:w="0" w:type="dxa"/>
            </w:tcMar>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资格</w:t>
            </w:r>
          </w:p>
        </w:tc>
        <w:tc>
          <w:tcPr>
            <w:tcW w:w="2456" w:type="dxa"/>
            <w:tcMar>
              <w:left w:w="0" w:type="dxa"/>
              <w:right w:w="0" w:type="dxa"/>
            </w:tcMar>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岗位</w:t>
            </w:r>
            <w:r>
              <w:rPr>
                <w:rFonts w:hint="eastAsia" w:asciiTheme="minorEastAsia" w:hAnsiTheme="minorEastAsia" w:eastAsiaTheme="minorEastAsia"/>
                <w:b/>
                <w:szCs w:val="21"/>
              </w:rPr>
              <w:t>经验</w:t>
            </w:r>
          </w:p>
        </w:tc>
        <w:tc>
          <w:tcPr>
            <w:tcW w:w="1088" w:type="dxa"/>
            <w:tcMar>
              <w:left w:w="0" w:type="dxa"/>
              <w:right w:w="0" w:type="dxa"/>
            </w:tcMar>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岗位</w:t>
            </w:r>
            <w:r>
              <w:rPr>
                <w:rFonts w:hint="eastAsia" w:asciiTheme="minorEastAsia" w:hAnsiTheme="minorEastAsia" w:eastAsiaTheme="minorEastAsia"/>
                <w:b/>
                <w:szCs w:val="21"/>
              </w:rPr>
              <w:t>人</w:t>
            </w:r>
            <w:r>
              <w:rPr>
                <w:rFonts w:asciiTheme="minorEastAsia" w:hAnsiTheme="minorEastAsia" w:eastAsiaTheme="minorEastAsia"/>
                <w:b/>
                <w:szCs w:val="21"/>
              </w:rPr>
              <w:t>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一</w:t>
            </w:r>
          </w:p>
        </w:tc>
        <w:tc>
          <w:tcPr>
            <w:tcW w:w="1275"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总监理工程师</w:t>
            </w:r>
          </w:p>
        </w:tc>
        <w:tc>
          <w:tcPr>
            <w:tcW w:w="944"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工程</w:t>
            </w:r>
            <w:r>
              <w:rPr>
                <w:rFonts w:hint="eastAsia" w:asciiTheme="minorEastAsia" w:hAnsiTheme="minorEastAsia" w:eastAsiaTheme="minorEastAsia"/>
                <w:szCs w:val="21"/>
              </w:rPr>
              <w:t>系列</w:t>
            </w:r>
          </w:p>
        </w:tc>
        <w:tc>
          <w:tcPr>
            <w:tcW w:w="709"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高级</w:t>
            </w:r>
            <w:r>
              <w:rPr>
                <w:rFonts w:hint="eastAsia" w:asciiTheme="minorEastAsia" w:hAnsiTheme="minorEastAsia" w:eastAsiaTheme="minorEastAsia"/>
                <w:szCs w:val="21"/>
              </w:rPr>
              <w:t>及以上</w:t>
            </w:r>
          </w:p>
        </w:tc>
        <w:tc>
          <w:tcPr>
            <w:tcW w:w="1843"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注册监理工程师</w:t>
            </w:r>
          </w:p>
        </w:tc>
        <w:tc>
          <w:tcPr>
            <w:tcW w:w="245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至少</w:t>
            </w:r>
            <w:r>
              <w:rPr>
                <w:rFonts w:asciiTheme="minorEastAsia" w:hAnsiTheme="minorEastAsia" w:eastAsiaTheme="minorEastAsia"/>
                <w:szCs w:val="21"/>
              </w:rPr>
              <w:t>担任过一项类似项目总监理工程师职务。</w:t>
            </w:r>
          </w:p>
        </w:tc>
        <w:tc>
          <w:tcPr>
            <w:tcW w:w="1088"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1人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二</w:t>
            </w:r>
          </w:p>
        </w:tc>
        <w:tc>
          <w:tcPr>
            <w:tcW w:w="1275"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总监理工程师代表</w:t>
            </w:r>
          </w:p>
        </w:tc>
        <w:tc>
          <w:tcPr>
            <w:tcW w:w="944"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工程</w:t>
            </w:r>
            <w:r>
              <w:rPr>
                <w:rFonts w:hint="eastAsia" w:asciiTheme="minorEastAsia" w:hAnsiTheme="minorEastAsia" w:eastAsiaTheme="minorEastAsia"/>
                <w:szCs w:val="21"/>
              </w:rPr>
              <w:t>系列</w:t>
            </w:r>
          </w:p>
        </w:tc>
        <w:tc>
          <w:tcPr>
            <w:tcW w:w="709"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中</w:t>
            </w:r>
            <w:r>
              <w:rPr>
                <w:rFonts w:asciiTheme="minorEastAsia" w:hAnsiTheme="minorEastAsia" w:eastAsiaTheme="minorEastAsia"/>
                <w:szCs w:val="21"/>
              </w:rPr>
              <w:t>级</w:t>
            </w:r>
            <w:r>
              <w:rPr>
                <w:rFonts w:hint="eastAsia" w:asciiTheme="minorEastAsia" w:hAnsiTheme="minorEastAsia" w:eastAsiaTheme="minorEastAsia"/>
                <w:szCs w:val="21"/>
              </w:rPr>
              <w:t>及以上</w:t>
            </w:r>
          </w:p>
        </w:tc>
        <w:tc>
          <w:tcPr>
            <w:tcW w:w="1843" w:type="dxa"/>
            <w:tcMar>
              <w:left w:w="0" w:type="dxa"/>
              <w:right w:w="0" w:type="dxa"/>
            </w:tcMar>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szCs w:val="21"/>
              </w:rPr>
              <w:t>注册监理工程师</w:t>
            </w:r>
          </w:p>
        </w:tc>
        <w:tc>
          <w:tcPr>
            <w:tcW w:w="2456"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担任过一项类似项目总监理工程师</w:t>
            </w:r>
            <w:r>
              <w:rPr>
                <w:rFonts w:hint="eastAsia" w:asciiTheme="minorEastAsia" w:hAnsiTheme="minorEastAsia" w:eastAsiaTheme="minorEastAsia"/>
                <w:szCs w:val="21"/>
              </w:rPr>
              <w:t>代表或总监理工程师</w:t>
            </w:r>
            <w:r>
              <w:rPr>
                <w:rFonts w:asciiTheme="minorEastAsia" w:hAnsiTheme="minorEastAsia" w:eastAsiaTheme="minorEastAsia"/>
                <w:szCs w:val="21"/>
              </w:rPr>
              <w:t>职务</w:t>
            </w:r>
            <w:r>
              <w:rPr>
                <w:rFonts w:hint="eastAsia" w:asciiTheme="minorEastAsia" w:hAnsiTheme="minorEastAsia" w:eastAsiaTheme="minorEastAsia"/>
                <w:szCs w:val="21"/>
              </w:rPr>
              <w:t>。</w:t>
            </w:r>
          </w:p>
        </w:tc>
        <w:tc>
          <w:tcPr>
            <w:tcW w:w="1088"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8931" w:type="dxa"/>
            <w:gridSpan w:val="7"/>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三、专业监理工程师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275"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安全总监</w:t>
            </w:r>
          </w:p>
        </w:tc>
        <w:tc>
          <w:tcPr>
            <w:tcW w:w="944"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工程</w:t>
            </w:r>
            <w:r>
              <w:rPr>
                <w:rFonts w:hint="eastAsia" w:asciiTheme="minorEastAsia" w:hAnsiTheme="minorEastAsia" w:eastAsiaTheme="minorEastAsia"/>
                <w:szCs w:val="21"/>
              </w:rPr>
              <w:t>系列</w:t>
            </w:r>
          </w:p>
        </w:tc>
        <w:tc>
          <w:tcPr>
            <w:tcW w:w="709"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中级及以上</w:t>
            </w:r>
          </w:p>
        </w:tc>
        <w:tc>
          <w:tcPr>
            <w:tcW w:w="1843"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注册监理工程师</w:t>
            </w:r>
            <w:r>
              <w:rPr>
                <w:rFonts w:hint="eastAsia" w:asciiTheme="minorEastAsia" w:hAnsiTheme="minorEastAsia" w:eastAsiaTheme="minorEastAsia"/>
                <w:szCs w:val="21"/>
              </w:rPr>
              <w:t>或注册安全工程师</w:t>
            </w:r>
          </w:p>
        </w:tc>
        <w:tc>
          <w:tcPr>
            <w:tcW w:w="245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具有类似项目相关工作</w:t>
            </w:r>
            <w:r>
              <w:rPr>
                <w:rFonts w:asciiTheme="minorEastAsia" w:hAnsiTheme="minorEastAsia" w:eastAsiaTheme="minorEastAsia"/>
                <w:szCs w:val="21"/>
              </w:rPr>
              <w:t>经验</w:t>
            </w:r>
          </w:p>
        </w:tc>
        <w:tc>
          <w:tcPr>
            <w:tcW w:w="1088"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275"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供电专业监理工程师</w:t>
            </w:r>
          </w:p>
        </w:tc>
        <w:tc>
          <w:tcPr>
            <w:tcW w:w="944" w:type="dxa"/>
            <w:tcMar>
              <w:left w:w="0" w:type="dxa"/>
              <w:right w:w="0" w:type="dxa"/>
            </w:tcMar>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工程</w:t>
            </w:r>
            <w:r>
              <w:rPr>
                <w:rFonts w:hint="eastAsia" w:asciiTheme="minorEastAsia" w:hAnsiTheme="minorEastAsia" w:eastAsiaTheme="minorEastAsia"/>
                <w:szCs w:val="21"/>
              </w:rPr>
              <w:t>系列</w:t>
            </w:r>
          </w:p>
        </w:tc>
        <w:tc>
          <w:tcPr>
            <w:tcW w:w="709"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中级及以上</w:t>
            </w:r>
          </w:p>
        </w:tc>
        <w:tc>
          <w:tcPr>
            <w:tcW w:w="1843" w:type="dxa"/>
            <w:tcMar>
              <w:left w:w="0" w:type="dxa"/>
              <w:right w:w="0" w:type="dxa"/>
            </w:tcMa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电力工程或市政公用工程专业注册监理工程师</w:t>
            </w:r>
          </w:p>
        </w:tc>
        <w:tc>
          <w:tcPr>
            <w:tcW w:w="2456"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具有类似项目相关工作</w:t>
            </w:r>
            <w:r>
              <w:rPr>
                <w:rFonts w:asciiTheme="minorEastAsia" w:hAnsiTheme="minorEastAsia" w:eastAsiaTheme="minorEastAsia"/>
                <w:szCs w:val="21"/>
              </w:rPr>
              <w:t>经验</w:t>
            </w:r>
          </w:p>
        </w:tc>
        <w:tc>
          <w:tcPr>
            <w:tcW w:w="1088"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275"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通信专业监理工程师</w:t>
            </w:r>
          </w:p>
        </w:tc>
        <w:tc>
          <w:tcPr>
            <w:tcW w:w="944" w:type="dxa"/>
            <w:tcMar>
              <w:left w:w="0" w:type="dxa"/>
              <w:right w:w="0" w:type="dxa"/>
            </w:tcMar>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工程</w:t>
            </w:r>
            <w:r>
              <w:rPr>
                <w:rFonts w:hint="eastAsia" w:asciiTheme="minorEastAsia" w:hAnsiTheme="minorEastAsia" w:eastAsiaTheme="minorEastAsia"/>
                <w:szCs w:val="21"/>
              </w:rPr>
              <w:t>系列</w:t>
            </w:r>
          </w:p>
        </w:tc>
        <w:tc>
          <w:tcPr>
            <w:tcW w:w="709"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中级及以上</w:t>
            </w:r>
          </w:p>
        </w:tc>
        <w:tc>
          <w:tcPr>
            <w:tcW w:w="1843" w:type="dxa"/>
            <w:tcMar>
              <w:left w:w="0" w:type="dxa"/>
              <w:right w:w="0" w:type="dxa"/>
            </w:tcMa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通信工程或市政公用工程专业注册监理工程师</w:t>
            </w:r>
          </w:p>
        </w:tc>
        <w:tc>
          <w:tcPr>
            <w:tcW w:w="2456"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具有类似项目相关工作</w:t>
            </w:r>
            <w:r>
              <w:rPr>
                <w:rFonts w:asciiTheme="minorEastAsia" w:hAnsiTheme="minorEastAsia" w:eastAsiaTheme="minorEastAsia"/>
                <w:szCs w:val="21"/>
              </w:rPr>
              <w:t>经验</w:t>
            </w:r>
          </w:p>
        </w:tc>
        <w:tc>
          <w:tcPr>
            <w:tcW w:w="1088"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275"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信号专业监理工程师</w:t>
            </w:r>
          </w:p>
        </w:tc>
        <w:tc>
          <w:tcPr>
            <w:tcW w:w="944" w:type="dxa"/>
            <w:tcMar>
              <w:left w:w="0" w:type="dxa"/>
              <w:right w:w="0" w:type="dxa"/>
            </w:tcMar>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工程</w:t>
            </w:r>
            <w:r>
              <w:rPr>
                <w:rFonts w:hint="eastAsia" w:asciiTheme="minorEastAsia" w:hAnsiTheme="minorEastAsia" w:eastAsiaTheme="minorEastAsia"/>
                <w:szCs w:val="21"/>
              </w:rPr>
              <w:t>系列</w:t>
            </w:r>
          </w:p>
        </w:tc>
        <w:tc>
          <w:tcPr>
            <w:tcW w:w="709"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中级及以上</w:t>
            </w:r>
          </w:p>
        </w:tc>
        <w:tc>
          <w:tcPr>
            <w:tcW w:w="1843"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通信工程或市政公用工程专业注册监理工程师</w:t>
            </w:r>
          </w:p>
        </w:tc>
        <w:tc>
          <w:tcPr>
            <w:tcW w:w="2456"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具有类似项目相关工作</w:t>
            </w:r>
            <w:r>
              <w:rPr>
                <w:rFonts w:asciiTheme="minorEastAsia" w:hAnsiTheme="minorEastAsia" w:eastAsiaTheme="minorEastAsia"/>
                <w:szCs w:val="21"/>
              </w:rPr>
              <w:t>经验</w:t>
            </w:r>
          </w:p>
        </w:tc>
        <w:tc>
          <w:tcPr>
            <w:tcW w:w="1088"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275"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hAnsi="宋体"/>
                <w:color w:val="000000"/>
                <w:szCs w:val="21"/>
              </w:rPr>
              <w:t>综合监控专业、自动售检票系统监理工程师</w:t>
            </w:r>
          </w:p>
        </w:tc>
        <w:tc>
          <w:tcPr>
            <w:tcW w:w="944" w:type="dxa"/>
            <w:tcMar>
              <w:left w:w="0" w:type="dxa"/>
              <w:right w:w="0" w:type="dxa"/>
            </w:tcMar>
            <w:vAlign w:val="center"/>
          </w:tcPr>
          <w:p>
            <w:pPr>
              <w:spacing w:line="240" w:lineRule="exact"/>
              <w:jc w:val="center"/>
              <w:rPr>
                <w:rFonts w:asciiTheme="minorEastAsia" w:hAnsiTheme="minorEastAsia" w:eastAsiaTheme="minorEastAsia"/>
                <w:szCs w:val="21"/>
              </w:rPr>
            </w:pPr>
            <w:r>
              <w:rPr>
                <w:rFonts w:ascii="宋体" w:hAnsi="宋体"/>
                <w:szCs w:val="21"/>
              </w:rPr>
              <w:t>工程</w:t>
            </w:r>
            <w:r>
              <w:rPr>
                <w:rFonts w:hint="eastAsia" w:ascii="宋体" w:hAnsi="宋体"/>
                <w:szCs w:val="21"/>
              </w:rPr>
              <w:t>系列</w:t>
            </w:r>
          </w:p>
        </w:tc>
        <w:tc>
          <w:tcPr>
            <w:tcW w:w="709"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hAnsi="宋体"/>
                <w:color w:val="000000"/>
                <w:szCs w:val="21"/>
              </w:rPr>
              <w:t>中级</w:t>
            </w:r>
            <w:r>
              <w:rPr>
                <w:rFonts w:hint="eastAsia" w:asciiTheme="minorEastAsia" w:hAnsiTheme="minorEastAsia" w:eastAsiaTheme="minorEastAsia"/>
                <w:szCs w:val="21"/>
              </w:rPr>
              <w:t>及以上</w:t>
            </w:r>
          </w:p>
        </w:tc>
        <w:tc>
          <w:tcPr>
            <w:tcW w:w="1843" w:type="dxa"/>
            <w:tcMar>
              <w:left w:w="0" w:type="dxa"/>
              <w:right w:w="0" w:type="dxa"/>
            </w:tcMar>
          </w:tcPr>
          <w:p>
            <w:pPr>
              <w:spacing w:line="240" w:lineRule="exact"/>
              <w:jc w:val="center"/>
              <w:rPr>
                <w:rFonts w:asciiTheme="minorEastAsia" w:hAnsiTheme="minorEastAsia" w:eastAsiaTheme="minorEastAsia"/>
                <w:szCs w:val="21"/>
              </w:rPr>
            </w:pPr>
            <w:r>
              <w:rPr>
                <w:rFonts w:hint="eastAsia" w:hAnsi="宋体"/>
                <w:color w:val="000000"/>
                <w:szCs w:val="21"/>
              </w:rPr>
              <w:t>电力工程或市政公用工程专业注册监理工程师</w:t>
            </w:r>
          </w:p>
        </w:tc>
        <w:tc>
          <w:tcPr>
            <w:tcW w:w="2456"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具有类似项目相关工作</w:t>
            </w:r>
            <w:r>
              <w:rPr>
                <w:rFonts w:asciiTheme="minorEastAsia" w:hAnsiTheme="minorEastAsia" w:eastAsiaTheme="minorEastAsia"/>
                <w:szCs w:val="21"/>
              </w:rPr>
              <w:t>经验</w:t>
            </w:r>
          </w:p>
        </w:tc>
        <w:tc>
          <w:tcPr>
            <w:tcW w:w="1088"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color w:val="000000"/>
                <w:szCs w:val="21"/>
              </w:rPr>
              <w:t>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275"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hAnsi="宋体"/>
                <w:color w:val="000000"/>
                <w:szCs w:val="21"/>
              </w:rPr>
              <w:t>FAS及气体灭火专业监理工程师</w:t>
            </w:r>
          </w:p>
        </w:tc>
        <w:tc>
          <w:tcPr>
            <w:tcW w:w="944" w:type="dxa"/>
            <w:tcMar>
              <w:left w:w="0" w:type="dxa"/>
              <w:right w:w="0" w:type="dxa"/>
            </w:tcMar>
            <w:vAlign w:val="center"/>
          </w:tcPr>
          <w:p>
            <w:pPr>
              <w:spacing w:line="240" w:lineRule="exact"/>
              <w:jc w:val="center"/>
              <w:rPr>
                <w:rFonts w:asciiTheme="minorEastAsia" w:hAnsiTheme="minorEastAsia" w:eastAsiaTheme="minorEastAsia"/>
                <w:szCs w:val="21"/>
              </w:rPr>
            </w:pPr>
            <w:r>
              <w:rPr>
                <w:rFonts w:ascii="宋体" w:hAnsi="宋体"/>
                <w:szCs w:val="21"/>
              </w:rPr>
              <w:t>工程</w:t>
            </w:r>
            <w:r>
              <w:rPr>
                <w:rFonts w:hint="eastAsia" w:ascii="宋体" w:hAnsi="宋体"/>
                <w:szCs w:val="21"/>
              </w:rPr>
              <w:t>系列</w:t>
            </w:r>
          </w:p>
        </w:tc>
        <w:tc>
          <w:tcPr>
            <w:tcW w:w="709"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hAnsi="宋体"/>
                <w:color w:val="000000"/>
                <w:szCs w:val="21"/>
              </w:rPr>
              <w:t>中级</w:t>
            </w:r>
            <w:r>
              <w:rPr>
                <w:rFonts w:hint="eastAsia" w:asciiTheme="minorEastAsia" w:hAnsiTheme="minorEastAsia" w:eastAsiaTheme="minorEastAsia"/>
                <w:szCs w:val="21"/>
              </w:rPr>
              <w:t>及以上</w:t>
            </w:r>
          </w:p>
        </w:tc>
        <w:tc>
          <w:tcPr>
            <w:tcW w:w="1843"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hAnsi="宋体"/>
                <w:color w:val="000000"/>
                <w:szCs w:val="21"/>
              </w:rPr>
              <w:t>机电安装工程或市政公用工程专业注册监理工程师</w:t>
            </w:r>
          </w:p>
        </w:tc>
        <w:tc>
          <w:tcPr>
            <w:tcW w:w="2456"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具有类似项目相关工作（</w:t>
            </w:r>
            <w:r>
              <w:rPr>
                <w:rFonts w:hint="eastAsia" w:hAnsi="宋体"/>
                <w:color w:val="000000"/>
                <w:szCs w:val="21"/>
              </w:rPr>
              <w:t>FAS及气体灭火</w:t>
            </w:r>
            <w:r>
              <w:rPr>
                <w:rFonts w:hint="eastAsia" w:asciiTheme="minorEastAsia" w:hAnsiTheme="minorEastAsia" w:eastAsiaTheme="minorEastAsia"/>
                <w:szCs w:val="21"/>
              </w:rPr>
              <w:t>）</w:t>
            </w:r>
            <w:r>
              <w:rPr>
                <w:rFonts w:hint="eastAsia" w:hAnsi="宋体"/>
                <w:color w:val="000000"/>
                <w:szCs w:val="21"/>
              </w:rPr>
              <w:t>专业监理工程师经验</w:t>
            </w:r>
          </w:p>
        </w:tc>
        <w:tc>
          <w:tcPr>
            <w:tcW w:w="1088"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color w:val="000000"/>
                <w:szCs w:val="21"/>
              </w:rPr>
              <w:t>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275"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其他机电相关专业监理工程师</w:t>
            </w:r>
          </w:p>
        </w:tc>
        <w:tc>
          <w:tcPr>
            <w:tcW w:w="944" w:type="dxa"/>
            <w:tcMar>
              <w:left w:w="0" w:type="dxa"/>
              <w:right w:w="0" w:type="dxa"/>
            </w:tcMar>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工程</w:t>
            </w:r>
            <w:r>
              <w:rPr>
                <w:rFonts w:hint="eastAsia" w:asciiTheme="minorEastAsia" w:hAnsiTheme="minorEastAsia" w:eastAsiaTheme="minorEastAsia"/>
                <w:szCs w:val="21"/>
              </w:rPr>
              <w:t>系列</w:t>
            </w:r>
          </w:p>
        </w:tc>
        <w:tc>
          <w:tcPr>
            <w:tcW w:w="709"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中级及以上</w:t>
            </w:r>
          </w:p>
        </w:tc>
        <w:tc>
          <w:tcPr>
            <w:tcW w:w="1843"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机电安装工程专业注册监理工程师</w:t>
            </w:r>
          </w:p>
        </w:tc>
        <w:tc>
          <w:tcPr>
            <w:tcW w:w="2456"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具有类似项目相关工作</w:t>
            </w:r>
            <w:r>
              <w:rPr>
                <w:rFonts w:asciiTheme="minorEastAsia" w:hAnsiTheme="minorEastAsia" w:eastAsiaTheme="minorEastAsia"/>
                <w:szCs w:val="21"/>
              </w:rPr>
              <w:t>经验</w:t>
            </w:r>
          </w:p>
        </w:tc>
        <w:tc>
          <w:tcPr>
            <w:tcW w:w="1088"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3人（水、暖通、电气各一人）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8931" w:type="dxa"/>
            <w:gridSpan w:val="7"/>
            <w:tcMar>
              <w:left w:w="0" w:type="dxa"/>
              <w:right w:w="0" w:type="dxa"/>
            </w:tcMar>
            <w:vAlign w:val="center"/>
          </w:tcPr>
          <w:p>
            <w:pPr>
              <w:spacing w:line="276" w:lineRule="auto"/>
              <w:ind w:firstLine="15"/>
              <w:jc w:val="center"/>
              <w:rPr>
                <w:rFonts w:asciiTheme="minorEastAsia" w:hAnsiTheme="minorEastAsia" w:eastAsiaTheme="minorEastAsia"/>
                <w:szCs w:val="21"/>
              </w:rPr>
            </w:pPr>
            <w:r>
              <w:rPr>
                <w:rFonts w:hint="eastAsia" w:asciiTheme="minorEastAsia" w:hAnsiTheme="minorEastAsia" w:eastAsiaTheme="minorEastAsia"/>
                <w:szCs w:val="21"/>
              </w:rPr>
              <w:t>四、其他专业监理工程师及人员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616" w:type="dxa"/>
            <w:tcMar>
              <w:left w:w="0" w:type="dxa"/>
              <w:right w:w="0" w:type="dxa"/>
            </w:tcMar>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序号</w:t>
            </w:r>
          </w:p>
        </w:tc>
        <w:tc>
          <w:tcPr>
            <w:tcW w:w="1275" w:type="dxa"/>
            <w:tcMar>
              <w:left w:w="0" w:type="dxa"/>
              <w:right w:w="0" w:type="dxa"/>
            </w:tcMar>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监理岗位</w:t>
            </w:r>
          </w:p>
        </w:tc>
        <w:tc>
          <w:tcPr>
            <w:tcW w:w="944" w:type="dxa"/>
            <w:tcMar>
              <w:left w:w="0" w:type="dxa"/>
              <w:right w:w="0" w:type="dxa"/>
            </w:tcMar>
            <w:vAlign w:val="center"/>
          </w:tcPr>
          <w:p>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职称</w:t>
            </w:r>
            <w:r>
              <w:rPr>
                <w:rFonts w:asciiTheme="minorEastAsia" w:hAnsiTheme="minorEastAsia" w:eastAsiaTheme="minorEastAsia"/>
                <w:b/>
                <w:szCs w:val="21"/>
              </w:rPr>
              <w:t>专业</w:t>
            </w:r>
          </w:p>
        </w:tc>
        <w:tc>
          <w:tcPr>
            <w:tcW w:w="709" w:type="dxa"/>
            <w:tcMar>
              <w:left w:w="0" w:type="dxa"/>
              <w:right w:w="0" w:type="dxa"/>
            </w:tcMar>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职称</w:t>
            </w:r>
            <w:r>
              <w:rPr>
                <w:rFonts w:hint="eastAsia" w:asciiTheme="minorEastAsia" w:hAnsiTheme="minorEastAsia" w:eastAsiaTheme="minorEastAsia"/>
                <w:b/>
                <w:szCs w:val="21"/>
              </w:rPr>
              <w:t>级别</w:t>
            </w:r>
          </w:p>
        </w:tc>
        <w:tc>
          <w:tcPr>
            <w:tcW w:w="1843" w:type="dxa"/>
            <w:tcMar>
              <w:left w:w="0" w:type="dxa"/>
              <w:right w:w="0" w:type="dxa"/>
            </w:tcMar>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资格</w:t>
            </w:r>
          </w:p>
        </w:tc>
        <w:tc>
          <w:tcPr>
            <w:tcW w:w="2456" w:type="dxa"/>
            <w:tcMar>
              <w:left w:w="0" w:type="dxa"/>
              <w:right w:w="0" w:type="dxa"/>
            </w:tcMar>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岗位</w:t>
            </w:r>
            <w:r>
              <w:rPr>
                <w:rFonts w:hint="eastAsia" w:asciiTheme="minorEastAsia" w:hAnsiTheme="minorEastAsia" w:eastAsiaTheme="minorEastAsia"/>
                <w:b/>
                <w:szCs w:val="21"/>
              </w:rPr>
              <w:t>经验</w:t>
            </w:r>
          </w:p>
        </w:tc>
        <w:tc>
          <w:tcPr>
            <w:tcW w:w="1088" w:type="dxa"/>
            <w:tcMar>
              <w:left w:w="0" w:type="dxa"/>
              <w:right w:w="0" w:type="dxa"/>
            </w:tcMar>
            <w:vAlign w:val="center"/>
          </w:tcPr>
          <w:p>
            <w:pPr>
              <w:spacing w:line="276" w:lineRule="auto"/>
              <w:rPr>
                <w:rFonts w:asciiTheme="minorEastAsia" w:hAnsiTheme="minorEastAsia" w:eastAsiaTheme="minorEastAsia"/>
                <w:b/>
                <w:szCs w:val="21"/>
              </w:rPr>
            </w:pPr>
            <w:r>
              <w:rPr>
                <w:rFonts w:asciiTheme="minorEastAsia" w:hAnsiTheme="minorEastAsia" w:eastAsiaTheme="minorEastAsia"/>
                <w:b/>
                <w:szCs w:val="21"/>
              </w:rPr>
              <w:t>岗位</w:t>
            </w:r>
            <w:r>
              <w:rPr>
                <w:rFonts w:hint="eastAsia" w:asciiTheme="minorEastAsia" w:hAnsiTheme="minorEastAsia" w:eastAsiaTheme="minorEastAsia"/>
                <w:b/>
                <w:szCs w:val="21"/>
              </w:rPr>
              <w:t>人</w:t>
            </w:r>
            <w:r>
              <w:rPr>
                <w:rFonts w:asciiTheme="minorEastAsia" w:hAnsiTheme="minorEastAsia" w:eastAsiaTheme="minorEastAsia"/>
                <w:b/>
                <w:szCs w:val="21"/>
              </w:rPr>
              <w:t>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275"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接口工程师</w:t>
            </w:r>
          </w:p>
        </w:tc>
        <w:tc>
          <w:tcPr>
            <w:tcW w:w="944" w:type="dxa"/>
            <w:tcMar>
              <w:left w:w="0" w:type="dxa"/>
              <w:right w:w="0" w:type="dxa"/>
            </w:tcMar>
            <w:vAlign w:val="center"/>
          </w:tcPr>
          <w:p>
            <w:pPr>
              <w:spacing w:line="240" w:lineRule="exact"/>
              <w:jc w:val="center"/>
              <w:rPr>
                <w:rFonts w:ascii="宋体" w:hAnsi="宋体"/>
                <w:szCs w:val="21"/>
              </w:rPr>
            </w:pPr>
            <w:r>
              <w:rPr>
                <w:rFonts w:ascii="宋体" w:hAnsi="宋体"/>
                <w:szCs w:val="21"/>
              </w:rPr>
              <w:t>工程</w:t>
            </w:r>
            <w:r>
              <w:rPr>
                <w:rFonts w:hint="eastAsia" w:ascii="宋体" w:hAnsi="宋体"/>
                <w:szCs w:val="21"/>
              </w:rPr>
              <w:t>系列</w:t>
            </w:r>
          </w:p>
        </w:tc>
        <w:tc>
          <w:tcPr>
            <w:tcW w:w="709" w:type="dxa"/>
            <w:tcMar>
              <w:left w:w="0" w:type="dxa"/>
              <w:right w:w="0" w:type="dxa"/>
            </w:tcMar>
            <w:vAlign w:val="center"/>
          </w:tcPr>
          <w:p>
            <w:pPr>
              <w:spacing w:line="240" w:lineRule="exact"/>
              <w:jc w:val="center"/>
              <w:rPr>
                <w:rFonts w:ascii="宋体" w:hAnsi="宋体"/>
                <w:szCs w:val="21"/>
              </w:rPr>
            </w:pPr>
            <w:r>
              <w:rPr>
                <w:rFonts w:ascii="宋体" w:hAnsi="宋体"/>
                <w:szCs w:val="21"/>
              </w:rPr>
              <w:t>中级</w:t>
            </w:r>
            <w:r>
              <w:rPr>
                <w:rFonts w:hint="eastAsia" w:asciiTheme="minorEastAsia" w:hAnsiTheme="minorEastAsia" w:eastAsiaTheme="minorEastAsia"/>
                <w:szCs w:val="21"/>
              </w:rPr>
              <w:t>及以上</w:t>
            </w:r>
          </w:p>
        </w:tc>
        <w:tc>
          <w:tcPr>
            <w:tcW w:w="1843" w:type="dxa"/>
            <w:tcMar>
              <w:left w:w="0" w:type="dxa"/>
              <w:right w:w="0" w:type="dxa"/>
            </w:tcMar>
            <w:vAlign w:val="center"/>
          </w:tcPr>
          <w:p>
            <w:pPr>
              <w:spacing w:line="240" w:lineRule="exact"/>
              <w:jc w:val="center"/>
              <w:rPr>
                <w:rFonts w:hAnsi="宋体"/>
                <w:color w:val="000000"/>
                <w:szCs w:val="21"/>
              </w:rPr>
            </w:pPr>
            <w:r>
              <w:rPr>
                <w:rFonts w:hint="eastAsia" w:hAnsi="宋体"/>
                <w:color w:val="000000"/>
                <w:szCs w:val="21"/>
              </w:rPr>
              <w:t>通信工程、市政公用工程专业注册监理工程师</w:t>
            </w:r>
          </w:p>
        </w:tc>
        <w:tc>
          <w:tcPr>
            <w:tcW w:w="2456" w:type="dxa"/>
            <w:tcMar>
              <w:left w:w="0" w:type="dxa"/>
              <w:right w:w="0" w:type="dxa"/>
            </w:tcMar>
            <w:vAlign w:val="center"/>
          </w:tcPr>
          <w:p>
            <w:pPr>
              <w:spacing w:line="240" w:lineRule="exact"/>
              <w:jc w:val="center"/>
              <w:rPr>
                <w:rFonts w:ascii="宋体" w:hAnsi="宋体"/>
                <w:szCs w:val="21"/>
              </w:rPr>
            </w:pPr>
            <w:r>
              <w:rPr>
                <w:rFonts w:hint="eastAsia" w:asciiTheme="minorEastAsia" w:hAnsiTheme="minorEastAsia" w:eastAsiaTheme="minorEastAsia"/>
                <w:szCs w:val="21"/>
              </w:rPr>
              <w:t>具有类似项目相关工作</w:t>
            </w:r>
            <w:r>
              <w:rPr>
                <w:rFonts w:asciiTheme="minorEastAsia" w:hAnsiTheme="minorEastAsia" w:eastAsiaTheme="minorEastAsia"/>
                <w:szCs w:val="21"/>
              </w:rPr>
              <w:t>经验</w:t>
            </w:r>
          </w:p>
        </w:tc>
        <w:tc>
          <w:tcPr>
            <w:tcW w:w="1088"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275" w:type="dxa"/>
            <w:tcMar>
              <w:left w:w="0" w:type="dxa"/>
              <w:right w:w="0" w:type="dxa"/>
            </w:tcMar>
            <w:vAlign w:val="center"/>
          </w:tcPr>
          <w:p>
            <w:pPr>
              <w:spacing w:line="240" w:lineRule="exact"/>
              <w:jc w:val="center"/>
              <w:rPr>
                <w:szCs w:val="21"/>
              </w:rPr>
            </w:pPr>
            <w:r>
              <w:rPr>
                <w:rFonts w:ascii="宋体" w:hAnsi="宋体"/>
                <w:szCs w:val="21"/>
              </w:rPr>
              <w:t>合约计量工程师</w:t>
            </w:r>
          </w:p>
        </w:tc>
        <w:tc>
          <w:tcPr>
            <w:tcW w:w="944" w:type="dxa"/>
            <w:tcMar>
              <w:left w:w="0" w:type="dxa"/>
              <w:right w:w="0" w:type="dxa"/>
            </w:tcMar>
            <w:vAlign w:val="center"/>
          </w:tcPr>
          <w:p>
            <w:pPr>
              <w:spacing w:line="240" w:lineRule="exact"/>
              <w:jc w:val="center"/>
              <w:rPr>
                <w:szCs w:val="21"/>
              </w:rPr>
            </w:pPr>
            <w:r>
              <w:rPr>
                <w:rFonts w:ascii="宋体" w:hAnsi="宋体"/>
                <w:szCs w:val="21"/>
              </w:rPr>
              <w:t>工程</w:t>
            </w:r>
            <w:r>
              <w:rPr>
                <w:rFonts w:hint="eastAsia" w:ascii="宋体" w:hAnsi="宋体"/>
                <w:szCs w:val="21"/>
              </w:rPr>
              <w:t>系列或</w:t>
            </w:r>
            <w:r>
              <w:rPr>
                <w:rFonts w:ascii="宋体" w:hAnsi="宋体"/>
                <w:szCs w:val="21"/>
              </w:rPr>
              <w:t>经济专业</w:t>
            </w:r>
          </w:p>
        </w:tc>
        <w:tc>
          <w:tcPr>
            <w:tcW w:w="709" w:type="dxa"/>
            <w:tcMar>
              <w:left w:w="0" w:type="dxa"/>
              <w:right w:w="0" w:type="dxa"/>
            </w:tcMar>
            <w:vAlign w:val="center"/>
          </w:tcPr>
          <w:p>
            <w:pPr>
              <w:spacing w:line="240" w:lineRule="exact"/>
              <w:jc w:val="center"/>
              <w:rPr>
                <w:szCs w:val="21"/>
              </w:rPr>
            </w:pPr>
            <w:r>
              <w:rPr>
                <w:rFonts w:ascii="宋体" w:hAnsi="宋体"/>
                <w:szCs w:val="21"/>
              </w:rPr>
              <w:t>中级</w:t>
            </w:r>
            <w:r>
              <w:rPr>
                <w:rFonts w:hint="eastAsia" w:asciiTheme="minorEastAsia" w:hAnsiTheme="minorEastAsia" w:eastAsiaTheme="minorEastAsia"/>
                <w:szCs w:val="21"/>
              </w:rPr>
              <w:t>及以上</w:t>
            </w:r>
          </w:p>
        </w:tc>
        <w:tc>
          <w:tcPr>
            <w:tcW w:w="1843" w:type="dxa"/>
            <w:tcMar>
              <w:left w:w="0" w:type="dxa"/>
              <w:right w:w="0" w:type="dxa"/>
            </w:tcMar>
            <w:vAlign w:val="center"/>
          </w:tcPr>
          <w:p>
            <w:pPr>
              <w:spacing w:line="240" w:lineRule="exact"/>
              <w:jc w:val="center"/>
              <w:rPr>
                <w:szCs w:val="21"/>
              </w:rPr>
            </w:pPr>
            <w:r>
              <w:rPr>
                <w:rFonts w:hint="eastAsia" w:hAnsi="宋体"/>
                <w:color w:val="000000"/>
                <w:szCs w:val="21"/>
              </w:rPr>
              <w:t>监理培训证和注册造价工程师</w:t>
            </w:r>
          </w:p>
        </w:tc>
        <w:tc>
          <w:tcPr>
            <w:tcW w:w="2456" w:type="dxa"/>
            <w:tcMar>
              <w:left w:w="0" w:type="dxa"/>
              <w:right w:w="0" w:type="dxa"/>
            </w:tcMar>
            <w:vAlign w:val="center"/>
          </w:tcPr>
          <w:p>
            <w:pPr>
              <w:spacing w:line="240" w:lineRule="exact"/>
              <w:jc w:val="center"/>
              <w:rPr>
                <w:szCs w:val="21"/>
              </w:rPr>
            </w:pPr>
            <w:r>
              <w:rPr>
                <w:rFonts w:hint="eastAsia" w:asciiTheme="minorEastAsia" w:hAnsiTheme="minorEastAsia" w:eastAsiaTheme="minorEastAsia"/>
                <w:szCs w:val="21"/>
              </w:rPr>
              <w:t>具有类似项目相关工作</w:t>
            </w:r>
            <w:r>
              <w:rPr>
                <w:rFonts w:asciiTheme="minorEastAsia" w:hAnsiTheme="minorEastAsia" w:eastAsiaTheme="minorEastAsia"/>
                <w:szCs w:val="21"/>
              </w:rPr>
              <w:t>经验</w:t>
            </w:r>
          </w:p>
        </w:tc>
        <w:tc>
          <w:tcPr>
            <w:tcW w:w="1088" w:type="dxa"/>
            <w:tcMar>
              <w:left w:w="0" w:type="dxa"/>
              <w:right w:w="0" w:type="dxa"/>
            </w:tcMar>
            <w:vAlign w:val="center"/>
          </w:tcPr>
          <w:p>
            <w:pPr>
              <w:spacing w:line="240" w:lineRule="exact"/>
              <w:jc w:val="center"/>
              <w:rPr>
                <w:szCs w:val="21"/>
              </w:rPr>
            </w:pPr>
            <w:r>
              <w:rPr>
                <w:rFonts w:hint="eastAsia" w:ascii="宋体" w:hAnsi="宋体"/>
                <w:szCs w:val="21"/>
              </w:rPr>
              <w:t>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275" w:type="dxa"/>
            <w:tcMar>
              <w:left w:w="0" w:type="dxa"/>
              <w:right w:w="0" w:type="dxa"/>
            </w:tcMar>
            <w:vAlign w:val="center"/>
          </w:tcPr>
          <w:p>
            <w:pPr>
              <w:spacing w:line="240" w:lineRule="exact"/>
              <w:jc w:val="center"/>
              <w:rPr>
                <w:szCs w:val="21"/>
              </w:rPr>
            </w:pPr>
            <w:r>
              <w:rPr>
                <w:rFonts w:ascii="宋体" w:hAnsi="宋体"/>
                <w:szCs w:val="21"/>
              </w:rPr>
              <w:t>试验检测工程师</w:t>
            </w:r>
          </w:p>
        </w:tc>
        <w:tc>
          <w:tcPr>
            <w:tcW w:w="944" w:type="dxa"/>
            <w:tcMar>
              <w:left w:w="0" w:type="dxa"/>
              <w:right w:w="0" w:type="dxa"/>
            </w:tcMar>
            <w:vAlign w:val="center"/>
          </w:tcPr>
          <w:p>
            <w:pPr>
              <w:spacing w:line="240" w:lineRule="exact"/>
              <w:jc w:val="center"/>
              <w:rPr>
                <w:szCs w:val="21"/>
              </w:rPr>
            </w:pPr>
            <w:r>
              <w:rPr>
                <w:rFonts w:ascii="宋体" w:hAnsi="宋体"/>
                <w:szCs w:val="21"/>
              </w:rPr>
              <w:t>工程</w:t>
            </w:r>
            <w:r>
              <w:rPr>
                <w:rFonts w:hint="eastAsia" w:ascii="宋体" w:hAnsi="宋体"/>
                <w:szCs w:val="21"/>
              </w:rPr>
              <w:t>系列</w:t>
            </w:r>
          </w:p>
        </w:tc>
        <w:tc>
          <w:tcPr>
            <w:tcW w:w="709" w:type="dxa"/>
            <w:tcMar>
              <w:left w:w="0" w:type="dxa"/>
              <w:right w:w="0" w:type="dxa"/>
            </w:tcMar>
            <w:vAlign w:val="center"/>
          </w:tcPr>
          <w:p>
            <w:pPr>
              <w:spacing w:line="240" w:lineRule="exact"/>
              <w:jc w:val="center"/>
              <w:rPr>
                <w:szCs w:val="21"/>
              </w:rPr>
            </w:pPr>
            <w:r>
              <w:rPr>
                <w:rFonts w:hint="eastAsia" w:ascii="宋体" w:hAnsi="宋体"/>
                <w:szCs w:val="21"/>
              </w:rPr>
              <w:t>中</w:t>
            </w:r>
            <w:r>
              <w:rPr>
                <w:rFonts w:ascii="宋体" w:hAnsi="宋体"/>
                <w:szCs w:val="21"/>
              </w:rPr>
              <w:t>级</w:t>
            </w:r>
            <w:r>
              <w:rPr>
                <w:rFonts w:hint="eastAsia" w:asciiTheme="minorEastAsia" w:hAnsiTheme="minorEastAsia" w:eastAsiaTheme="minorEastAsia"/>
                <w:szCs w:val="21"/>
              </w:rPr>
              <w:t>及以上</w:t>
            </w:r>
          </w:p>
        </w:tc>
        <w:tc>
          <w:tcPr>
            <w:tcW w:w="1843" w:type="dxa"/>
            <w:tcMar>
              <w:left w:w="0" w:type="dxa"/>
              <w:right w:w="0" w:type="dxa"/>
            </w:tcMar>
            <w:vAlign w:val="center"/>
          </w:tcPr>
          <w:p>
            <w:pPr>
              <w:spacing w:line="240" w:lineRule="exact"/>
              <w:jc w:val="center"/>
              <w:rPr>
                <w:szCs w:val="21"/>
              </w:rPr>
            </w:pPr>
            <w:r>
              <w:rPr>
                <w:rFonts w:hint="eastAsia" w:hAnsi="宋体"/>
                <w:color w:val="000000"/>
                <w:szCs w:val="21"/>
              </w:rPr>
              <w:t>监理培训证和试验上岗证</w:t>
            </w:r>
          </w:p>
        </w:tc>
        <w:tc>
          <w:tcPr>
            <w:tcW w:w="2456" w:type="dxa"/>
            <w:tcMar>
              <w:left w:w="0" w:type="dxa"/>
              <w:right w:w="0" w:type="dxa"/>
            </w:tcMar>
            <w:vAlign w:val="center"/>
          </w:tcPr>
          <w:p>
            <w:pPr>
              <w:spacing w:line="240" w:lineRule="exact"/>
              <w:jc w:val="center"/>
              <w:rPr>
                <w:szCs w:val="21"/>
              </w:rPr>
            </w:pPr>
            <w:r>
              <w:rPr>
                <w:rFonts w:hint="eastAsia" w:asciiTheme="minorEastAsia" w:hAnsiTheme="minorEastAsia" w:eastAsiaTheme="minorEastAsia"/>
                <w:szCs w:val="21"/>
              </w:rPr>
              <w:t>具有类似项目相关工作</w:t>
            </w:r>
            <w:r>
              <w:rPr>
                <w:rFonts w:asciiTheme="minorEastAsia" w:hAnsiTheme="minorEastAsia" w:eastAsiaTheme="minorEastAsia"/>
                <w:szCs w:val="21"/>
              </w:rPr>
              <w:t>经验</w:t>
            </w:r>
          </w:p>
        </w:tc>
        <w:tc>
          <w:tcPr>
            <w:tcW w:w="1088" w:type="dxa"/>
            <w:tcMar>
              <w:left w:w="0" w:type="dxa"/>
              <w:right w:w="0" w:type="dxa"/>
            </w:tcMar>
            <w:vAlign w:val="center"/>
          </w:tcPr>
          <w:p>
            <w:pPr>
              <w:spacing w:line="240" w:lineRule="exact"/>
              <w:jc w:val="center"/>
              <w:rPr>
                <w:szCs w:val="21"/>
              </w:rPr>
            </w:pPr>
            <w:r>
              <w:rPr>
                <w:rFonts w:hint="eastAsia" w:ascii="宋体" w:hAnsi="宋体"/>
                <w:szCs w:val="21"/>
              </w:rPr>
              <w:t>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275" w:type="dxa"/>
            <w:tcMar>
              <w:left w:w="0" w:type="dxa"/>
              <w:right w:w="0" w:type="dxa"/>
            </w:tcMar>
            <w:vAlign w:val="center"/>
          </w:tcPr>
          <w:p>
            <w:pPr>
              <w:spacing w:line="240" w:lineRule="exact"/>
              <w:jc w:val="center"/>
              <w:rPr>
                <w:szCs w:val="21"/>
              </w:rPr>
            </w:pPr>
            <w:r>
              <w:rPr>
                <w:rFonts w:hint="eastAsia" w:ascii="宋体" w:hAnsi="宋体"/>
                <w:szCs w:val="21"/>
              </w:rPr>
              <w:t>安全工程师</w:t>
            </w:r>
          </w:p>
        </w:tc>
        <w:tc>
          <w:tcPr>
            <w:tcW w:w="944" w:type="dxa"/>
            <w:tcMar>
              <w:left w:w="0" w:type="dxa"/>
              <w:right w:w="0" w:type="dxa"/>
            </w:tcMar>
            <w:vAlign w:val="center"/>
          </w:tcPr>
          <w:p>
            <w:pPr>
              <w:spacing w:line="240" w:lineRule="exact"/>
              <w:jc w:val="center"/>
              <w:rPr>
                <w:szCs w:val="21"/>
              </w:rPr>
            </w:pPr>
            <w:r>
              <w:rPr>
                <w:rFonts w:ascii="宋体" w:hAnsi="宋体"/>
                <w:szCs w:val="21"/>
              </w:rPr>
              <w:t>工程</w:t>
            </w:r>
            <w:r>
              <w:rPr>
                <w:rFonts w:hint="eastAsia" w:ascii="宋体" w:hAnsi="宋体"/>
                <w:szCs w:val="21"/>
              </w:rPr>
              <w:t>系列</w:t>
            </w:r>
          </w:p>
        </w:tc>
        <w:tc>
          <w:tcPr>
            <w:tcW w:w="709" w:type="dxa"/>
            <w:tcMar>
              <w:left w:w="0" w:type="dxa"/>
              <w:right w:w="0" w:type="dxa"/>
            </w:tcMar>
            <w:vAlign w:val="center"/>
          </w:tcPr>
          <w:p>
            <w:pPr>
              <w:spacing w:line="240" w:lineRule="exact"/>
              <w:jc w:val="center"/>
              <w:rPr>
                <w:szCs w:val="21"/>
              </w:rPr>
            </w:pPr>
            <w:r>
              <w:rPr>
                <w:rFonts w:hint="eastAsia" w:ascii="宋体" w:hAnsi="宋体"/>
                <w:szCs w:val="21"/>
              </w:rPr>
              <w:t>中</w:t>
            </w:r>
            <w:r>
              <w:rPr>
                <w:rFonts w:ascii="宋体" w:hAnsi="宋体"/>
                <w:szCs w:val="21"/>
              </w:rPr>
              <w:t>级</w:t>
            </w:r>
            <w:r>
              <w:rPr>
                <w:rFonts w:hint="eastAsia" w:asciiTheme="minorEastAsia" w:hAnsiTheme="minorEastAsia" w:eastAsiaTheme="minorEastAsia"/>
                <w:szCs w:val="21"/>
              </w:rPr>
              <w:t>及以上</w:t>
            </w:r>
          </w:p>
        </w:tc>
        <w:tc>
          <w:tcPr>
            <w:tcW w:w="1843" w:type="dxa"/>
            <w:tcMar>
              <w:left w:w="0" w:type="dxa"/>
              <w:right w:w="0" w:type="dxa"/>
            </w:tcMar>
            <w:vAlign w:val="center"/>
          </w:tcPr>
          <w:p>
            <w:pPr>
              <w:spacing w:line="240" w:lineRule="exact"/>
              <w:jc w:val="center"/>
              <w:rPr>
                <w:szCs w:val="21"/>
              </w:rPr>
            </w:pPr>
            <w:r>
              <w:rPr>
                <w:rFonts w:hint="eastAsia" w:hAnsi="宋体"/>
                <w:color w:val="000000"/>
                <w:szCs w:val="21"/>
              </w:rPr>
              <w:t>监理培训证和安全员培训证</w:t>
            </w:r>
          </w:p>
        </w:tc>
        <w:tc>
          <w:tcPr>
            <w:tcW w:w="2456" w:type="dxa"/>
            <w:tcMar>
              <w:left w:w="0" w:type="dxa"/>
              <w:right w:w="0" w:type="dxa"/>
            </w:tcMar>
            <w:vAlign w:val="center"/>
          </w:tcPr>
          <w:p>
            <w:pPr>
              <w:spacing w:line="240" w:lineRule="exact"/>
              <w:jc w:val="center"/>
              <w:rPr>
                <w:szCs w:val="21"/>
              </w:rPr>
            </w:pPr>
            <w:r>
              <w:rPr>
                <w:rFonts w:hint="eastAsia" w:asciiTheme="minorEastAsia" w:hAnsiTheme="minorEastAsia" w:eastAsiaTheme="minorEastAsia"/>
                <w:szCs w:val="21"/>
              </w:rPr>
              <w:t>具有类似项目相关工作</w:t>
            </w:r>
            <w:r>
              <w:rPr>
                <w:rFonts w:asciiTheme="minorEastAsia" w:hAnsiTheme="minorEastAsia" w:eastAsiaTheme="minorEastAsia"/>
                <w:szCs w:val="21"/>
              </w:rPr>
              <w:t>经验</w:t>
            </w:r>
          </w:p>
        </w:tc>
        <w:tc>
          <w:tcPr>
            <w:tcW w:w="1088" w:type="dxa"/>
            <w:tcMar>
              <w:left w:w="0" w:type="dxa"/>
              <w:right w:w="0" w:type="dxa"/>
            </w:tcMar>
            <w:vAlign w:val="center"/>
          </w:tcPr>
          <w:p>
            <w:pPr>
              <w:spacing w:line="240" w:lineRule="exact"/>
              <w:jc w:val="center"/>
              <w:rPr>
                <w:szCs w:val="21"/>
              </w:rPr>
            </w:pPr>
            <w:r>
              <w:rPr>
                <w:rFonts w:hint="eastAsia" w:ascii="宋体" w:hAnsi="宋体"/>
                <w:szCs w:val="21"/>
              </w:rPr>
              <w:t>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275" w:type="dxa"/>
            <w:tcMar>
              <w:left w:w="0" w:type="dxa"/>
              <w:right w:w="0" w:type="dxa"/>
            </w:tcMar>
            <w:vAlign w:val="center"/>
          </w:tcPr>
          <w:p>
            <w:pPr>
              <w:spacing w:line="240" w:lineRule="exact"/>
              <w:jc w:val="center"/>
              <w:rPr>
                <w:rFonts w:hAnsi="宋体"/>
                <w:color w:val="000000"/>
                <w:szCs w:val="21"/>
              </w:rPr>
            </w:pPr>
            <w:r>
              <w:rPr>
                <w:rFonts w:hint="eastAsia" w:hAnsi="宋体"/>
                <w:color w:val="000000"/>
                <w:szCs w:val="21"/>
              </w:rPr>
              <w:t>设备</w:t>
            </w:r>
          </w:p>
          <w:p>
            <w:pPr>
              <w:spacing w:line="240" w:lineRule="exact"/>
              <w:jc w:val="center"/>
              <w:rPr>
                <w:rFonts w:ascii="宋体" w:hAnsi="宋体"/>
                <w:szCs w:val="21"/>
              </w:rPr>
            </w:pPr>
            <w:r>
              <w:rPr>
                <w:rFonts w:hint="eastAsia" w:hAnsi="宋体"/>
                <w:color w:val="000000"/>
                <w:szCs w:val="21"/>
              </w:rPr>
              <w:t>工程师</w:t>
            </w:r>
          </w:p>
        </w:tc>
        <w:tc>
          <w:tcPr>
            <w:tcW w:w="944" w:type="dxa"/>
            <w:tcMar>
              <w:left w:w="0" w:type="dxa"/>
              <w:right w:w="0" w:type="dxa"/>
            </w:tcMar>
            <w:vAlign w:val="center"/>
          </w:tcPr>
          <w:p>
            <w:pPr>
              <w:spacing w:line="240" w:lineRule="exact"/>
              <w:jc w:val="center"/>
              <w:rPr>
                <w:rFonts w:ascii="宋体" w:hAnsi="宋体"/>
                <w:szCs w:val="21"/>
              </w:rPr>
            </w:pPr>
            <w:r>
              <w:rPr>
                <w:rFonts w:ascii="宋体" w:hAnsi="宋体"/>
                <w:szCs w:val="21"/>
              </w:rPr>
              <w:t>工程</w:t>
            </w:r>
            <w:r>
              <w:rPr>
                <w:rFonts w:hint="eastAsia" w:ascii="宋体" w:hAnsi="宋体"/>
                <w:szCs w:val="21"/>
              </w:rPr>
              <w:t>系列</w:t>
            </w:r>
          </w:p>
        </w:tc>
        <w:tc>
          <w:tcPr>
            <w:tcW w:w="709" w:type="dxa"/>
            <w:tcMar>
              <w:left w:w="0" w:type="dxa"/>
              <w:right w:w="0" w:type="dxa"/>
            </w:tcMar>
            <w:vAlign w:val="center"/>
          </w:tcPr>
          <w:p>
            <w:pPr>
              <w:spacing w:line="240" w:lineRule="exact"/>
              <w:jc w:val="center"/>
              <w:rPr>
                <w:rFonts w:ascii="宋体" w:hAnsi="宋体"/>
                <w:szCs w:val="21"/>
              </w:rPr>
            </w:pPr>
            <w:r>
              <w:rPr>
                <w:rFonts w:hint="eastAsia" w:hAnsi="宋体"/>
                <w:color w:val="000000"/>
                <w:szCs w:val="21"/>
              </w:rPr>
              <w:t>中级</w:t>
            </w:r>
            <w:r>
              <w:rPr>
                <w:rFonts w:hint="eastAsia" w:asciiTheme="minorEastAsia" w:hAnsiTheme="minorEastAsia" w:eastAsiaTheme="minorEastAsia"/>
                <w:szCs w:val="21"/>
              </w:rPr>
              <w:t>及以上</w:t>
            </w:r>
          </w:p>
        </w:tc>
        <w:tc>
          <w:tcPr>
            <w:tcW w:w="1843" w:type="dxa"/>
            <w:tcMar>
              <w:left w:w="0" w:type="dxa"/>
              <w:right w:w="0" w:type="dxa"/>
            </w:tcMar>
            <w:vAlign w:val="center"/>
          </w:tcPr>
          <w:p>
            <w:pPr>
              <w:spacing w:line="240" w:lineRule="exact"/>
              <w:jc w:val="center"/>
              <w:rPr>
                <w:rFonts w:ascii="宋体" w:hAnsi="宋体"/>
                <w:szCs w:val="21"/>
              </w:rPr>
            </w:pPr>
            <w:r>
              <w:rPr>
                <w:rFonts w:hint="eastAsia" w:hAnsi="宋体"/>
                <w:color w:val="000000"/>
                <w:szCs w:val="21"/>
              </w:rPr>
              <w:t>监理培训证</w:t>
            </w:r>
          </w:p>
        </w:tc>
        <w:tc>
          <w:tcPr>
            <w:tcW w:w="2456" w:type="dxa"/>
            <w:tcMar>
              <w:left w:w="0" w:type="dxa"/>
              <w:right w:w="0" w:type="dxa"/>
            </w:tcMar>
            <w:vAlign w:val="center"/>
          </w:tcPr>
          <w:p>
            <w:pPr>
              <w:spacing w:line="240" w:lineRule="exact"/>
              <w:jc w:val="center"/>
              <w:rPr>
                <w:rFonts w:ascii="宋体" w:hAnsi="宋体"/>
                <w:szCs w:val="21"/>
              </w:rPr>
            </w:pPr>
            <w:r>
              <w:rPr>
                <w:rFonts w:hint="eastAsia" w:hAnsi="宋体"/>
                <w:szCs w:val="21"/>
              </w:rPr>
              <w:t>具有类似项目相</w:t>
            </w:r>
            <w:r>
              <w:rPr>
                <w:rFonts w:hint="eastAsia" w:hAnsi="宋体"/>
                <w:color w:val="000000"/>
                <w:szCs w:val="21"/>
              </w:rPr>
              <w:t>关工作经验</w:t>
            </w:r>
          </w:p>
        </w:tc>
        <w:tc>
          <w:tcPr>
            <w:tcW w:w="1088" w:type="dxa"/>
            <w:tcMar>
              <w:left w:w="0" w:type="dxa"/>
              <w:right w:w="0" w:type="dxa"/>
            </w:tcMar>
            <w:vAlign w:val="center"/>
          </w:tcPr>
          <w:p>
            <w:pPr>
              <w:spacing w:line="240" w:lineRule="exact"/>
              <w:jc w:val="center"/>
              <w:rPr>
                <w:rFonts w:ascii="宋体" w:hAnsi="宋体"/>
                <w:szCs w:val="21"/>
              </w:rPr>
            </w:pPr>
            <w:r>
              <w:rPr>
                <w:rFonts w:hint="eastAsia"/>
                <w:color w:val="000000"/>
                <w:szCs w:val="21"/>
              </w:rPr>
              <w:t>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275" w:type="dxa"/>
            <w:tcMar>
              <w:left w:w="0" w:type="dxa"/>
              <w:right w:w="0" w:type="dxa"/>
            </w:tcMar>
            <w:vAlign w:val="center"/>
          </w:tcPr>
          <w:p>
            <w:pPr>
              <w:spacing w:line="240" w:lineRule="exact"/>
              <w:jc w:val="center"/>
              <w:rPr>
                <w:rFonts w:ascii="宋体" w:hAnsi="宋体"/>
                <w:szCs w:val="21"/>
              </w:rPr>
            </w:pPr>
            <w:r>
              <w:rPr>
                <w:rFonts w:hint="eastAsia" w:hAnsi="宋体"/>
                <w:color w:val="000000"/>
                <w:szCs w:val="21"/>
              </w:rPr>
              <w:t>材料工程师</w:t>
            </w:r>
          </w:p>
        </w:tc>
        <w:tc>
          <w:tcPr>
            <w:tcW w:w="944" w:type="dxa"/>
            <w:tcMar>
              <w:left w:w="0" w:type="dxa"/>
              <w:right w:w="0" w:type="dxa"/>
            </w:tcMar>
            <w:vAlign w:val="center"/>
          </w:tcPr>
          <w:p>
            <w:pPr>
              <w:spacing w:line="240" w:lineRule="exact"/>
              <w:jc w:val="center"/>
              <w:rPr>
                <w:rFonts w:ascii="宋体" w:hAnsi="宋体"/>
                <w:szCs w:val="21"/>
              </w:rPr>
            </w:pPr>
            <w:r>
              <w:rPr>
                <w:rFonts w:ascii="宋体" w:hAnsi="宋体"/>
                <w:szCs w:val="21"/>
              </w:rPr>
              <w:t>工程</w:t>
            </w:r>
            <w:r>
              <w:rPr>
                <w:rFonts w:hint="eastAsia" w:ascii="宋体" w:hAnsi="宋体"/>
                <w:szCs w:val="21"/>
              </w:rPr>
              <w:t>系列</w:t>
            </w:r>
          </w:p>
        </w:tc>
        <w:tc>
          <w:tcPr>
            <w:tcW w:w="709" w:type="dxa"/>
            <w:tcMar>
              <w:left w:w="0" w:type="dxa"/>
              <w:right w:w="0" w:type="dxa"/>
            </w:tcMar>
            <w:vAlign w:val="center"/>
          </w:tcPr>
          <w:p>
            <w:pPr>
              <w:spacing w:line="240" w:lineRule="exact"/>
              <w:jc w:val="center"/>
              <w:rPr>
                <w:rFonts w:ascii="宋体" w:hAnsi="宋体"/>
                <w:szCs w:val="21"/>
              </w:rPr>
            </w:pPr>
            <w:r>
              <w:rPr>
                <w:rFonts w:hint="eastAsia" w:hAnsi="宋体"/>
                <w:color w:val="000000"/>
                <w:szCs w:val="21"/>
              </w:rPr>
              <w:t>中级</w:t>
            </w:r>
            <w:r>
              <w:rPr>
                <w:rFonts w:hint="eastAsia" w:asciiTheme="minorEastAsia" w:hAnsiTheme="minorEastAsia" w:eastAsiaTheme="minorEastAsia"/>
                <w:szCs w:val="21"/>
              </w:rPr>
              <w:t>及以上</w:t>
            </w:r>
          </w:p>
        </w:tc>
        <w:tc>
          <w:tcPr>
            <w:tcW w:w="1843" w:type="dxa"/>
            <w:tcMar>
              <w:left w:w="0" w:type="dxa"/>
              <w:right w:w="0" w:type="dxa"/>
            </w:tcMar>
            <w:vAlign w:val="center"/>
          </w:tcPr>
          <w:p>
            <w:pPr>
              <w:spacing w:line="240" w:lineRule="exact"/>
              <w:jc w:val="center"/>
              <w:rPr>
                <w:rFonts w:ascii="宋体" w:hAnsi="宋体"/>
                <w:szCs w:val="21"/>
              </w:rPr>
            </w:pPr>
            <w:r>
              <w:rPr>
                <w:rFonts w:hint="eastAsia" w:hAnsi="宋体"/>
                <w:color w:val="000000"/>
                <w:szCs w:val="21"/>
              </w:rPr>
              <w:t>监理培训证</w:t>
            </w:r>
          </w:p>
        </w:tc>
        <w:tc>
          <w:tcPr>
            <w:tcW w:w="2456" w:type="dxa"/>
            <w:tcMar>
              <w:left w:w="0" w:type="dxa"/>
              <w:right w:w="0" w:type="dxa"/>
            </w:tcMar>
            <w:vAlign w:val="center"/>
          </w:tcPr>
          <w:p>
            <w:pPr>
              <w:spacing w:line="240" w:lineRule="exact"/>
              <w:jc w:val="center"/>
              <w:rPr>
                <w:rFonts w:ascii="宋体" w:hAnsi="宋体"/>
                <w:szCs w:val="21"/>
              </w:rPr>
            </w:pPr>
            <w:r>
              <w:rPr>
                <w:rFonts w:hint="eastAsia" w:asciiTheme="minorEastAsia" w:hAnsiTheme="minorEastAsia" w:eastAsiaTheme="minorEastAsia"/>
                <w:szCs w:val="21"/>
              </w:rPr>
              <w:t>具有类似项目相关工作</w:t>
            </w:r>
            <w:r>
              <w:rPr>
                <w:rFonts w:asciiTheme="minorEastAsia" w:hAnsiTheme="minorEastAsia" w:eastAsiaTheme="minorEastAsia"/>
                <w:szCs w:val="21"/>
              </w:rPr>
              <w:t>经验</w:t>
            </w:r>
          </w:p>
        </w:tc>
        <w:tc>
          <w:tcPr>
            <w:tcW w:w="1088" w:type="dxa"/>
            <w:tcMar>
              <w:left w:w="0" w:type="dxa"/>
              <w:right w:w="0" w:type="dxa"/>
            </w:tcMar>
            <w:vAlign w:val="center"/>
          </w:tcPr>
          <w:p>
            <w:pPr>
              <w:spacing w:line="240" w:lineRule="exact"/>
              <w:jc w:val="center"/>
              <w:rPr>
                <w:rFonts w:ascii="宋体" w:hAnsi="宋体"/>
                <w:szCs w:val="21"/>
              </w:rPr>
            </w:pPr>
            <w:r>
              <w:rPr>
                <w:rFonts w:hint="eastAsia"/>
                <w:color w:val="000000"/>
                <w:szCs w:val="21"/>
              </w:rPr>
              <w:t>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275" w:type="dxa"/>
            <w:tcMar>
              <w:left w:w="0" w:type="dxa"/>
              <w:right w:w="0" w:type="dxa"/>
            </w:tcMar>
            <w:vAlign w:val="center"/>
          </w:tcPr>
          <w:p>
            <w:pPr>
              <w:spacing w:line="240" w:lineRule="exact"/>
              <w:jc w:val="center"/>
              <w:rPr>
                <w:rFonts w:hAnsi="宋体"/>
                <w:color w:val="000000"/>
                <w:szCs w:val="21"/>
              </w:rPr>
            </w:pPr>
            <w:r>
              <w:rPr>
                <w:rFonts w:hint="eastAsia" w:hAnsi="宋体"/>
                <w:color w:val="000000"/>
                <w:szCs w:val="21"/>
              </w:rPr>
              <w:t>现场监理</w:t>
            </w:r>
          </w:p>
        </w:tc>
        <w:tc>
          <w:tcPr>
            <w:tcW w:w="944" w:type="dxa"/>
            <w:tcMar>
              <w:left w:w="0" w:type="dxa"/>
              <w:right w:w="0" w:type="dxa"/>
            </w:tcMar>
            <w:vAlign w:val="center"/>
          </w:tcPr>
          <w:p>
            <w:pPr>
              <w:spacing w:line="240" w:lineRule="exact"/>
              <w:jc w:val="center"/>
              <w:rPr>
                <w:rFonts w:ascii="宋体" w:hAnsi="宋体"/>
                <w:szCs w:val="21"/>
              </w:rPr>
            </w:pPr>
            <w:r>
              <w:rPr>
                <w:rFonts w:ascii="宋体" w:hAnsi="宋体"/>
                <w:szCs w:val="21"/>
              </w:rPr>
              <w:t>工程</w:t>
            </w:r>
            <w:r>
              <w:rPr>
                <w:rFonts w:hint="eastAsia" w:ascii="宋体" w:hAnsi="宋体"/>
                <w:szCs w:val="21"/>
              </w:rPr>
              <w:t>系列</w:t>
            </w:r>
          </w:p>
        </w:tc>
        <w:tc>
          <w:tcPr>
            <w:tcW w:w="709" w:type="dxa"/>
            <w:tcMar>
              <w:left w:w="0" w:type="dxa"/>
              <w:right w:w="0" w:type="dxa"/>
            </w:tcMar>
            <w:vAlign w:val="center"/>
          </w:tcPr>
          <w:p>
            <w:pPr>
              <w:spacing w:line="240" w:lineRule="exact"/>
              <w:jc w:val="center"/>
              <w:rPr>
                <w:rFonts w:hAnsi="宋体"/>
                <w:color w:val="000000"/>
                <w:szCs w:val="21"/>
              </w:rPr>
            </w:pPr>
            <w:r>
              <w:rPr>
                <w:rFonts w:hint="eastAsia" w:hAnsi="宋体"/>
                <w:color w:val="000000"/>
                <w:szCs w:val="21"/>
              </w:rPr>
              <w:t>初级</w:t>
            </w:r>
            <w:r>
              <w:rPr>
                <w:rFonts w:hint="eastAsia" w:asciiTheme="minorEastAsia" w:hAnsiTheme="minorEastAsia" w:eastAsiaTheme="minorEastAsia"/>
                <w:szCs w:val="21"/>
              </w:rPr>
              <w:t>及以上</w:t>
            </w:r>
          </w:p>
        </w:tc>
        <w:tc>
          <w:tcPr>
            <w:tcW w:w="1843" w:type="dxa"/>
            <w:tcMar>
              <w:left w:w="0" w:type="dxa"/>
              <w:right w:w="0" w:type="dxa"/>
            </w:tcMar>
            <w:vAlign w:val="center"/>
          </w:tcPr>
          <w:p>
            <w:pPr>
              <w:spacing w:line="240" w:lineRule="exact"/>
              <w:jc w:val="center"/>
              <w:rPr>
                <w:rFonts w:hAnsi="宋体"/>
                <w:color w:val="000000"/>
                <w:szCs w:val="21"/>
              </w:rPr>
            </w:pPr>
            <w:r>
              <w:rPr>
                <w:rFonts w:hint="eastAsia" w:hAnsi="宋体"/>
                <w:color w:val="000000"/>
                <w:szCs w:val="21"/>
              </w:rPr>
              <w:t>监理培训证</w:t>
            </w:r>
          </w:p>
        </w:tc>
        <w:tc>
          <w:tcPr>
            <w:tcW w:w="2456" w:type="dxa"/>
            <w:tcMar>
              <w:left w:w="0" w:type="dxa"/>
              <w:right w:w="0" w:type="dxa"/>
            </w:tcMar>
            <w:vAlign w:val="center"/>
          </w:tcPr>
          <w:p>
            <w:pPr>
              <w:spacing w:line="240" w:lineRule="exact"/>
              <w:jc w:val="center"/>
              <w:rPr>
                <w:rFonts w:hAnsi="宋体"/>
                <w:color w:val="000000"/>
                <w:szCs w:val="21"/>
              </w:rPr>
            </w:pPr>
            <w:r>
              <w:rPr>
                <w:rFonts w:hint="eastAsia" w:asciiTheme="minorEastAsia" w:hAnsiTheme="minorEastAsia" w:eastAsiaTheme="minorEastAsia"/>
                <w:szCs w:val="21"/>
              </w:rPr>
              <w:t>具有类似项目相关工作</w:t>
            </w:r>
            <w:r>
              <w:rPr>
                <w:rFonts w:asciiTheme="minorEastAsia" w:hAnsiTheme="minorEastAsia" w:eastAsiaTheme="minorEastAsia"/>
                <w:szCs w:val="21"/>
              </w:rPr>
              <w:t>经验</w:t>
            </w:r>
          </w:p>
        </w:tc>
        <w:tc>
          <w:tcPr>
            <w:tcW w:w="1088" w:type="dxa"/>
            <w:tcMar>
              <w:left w:w="0" w:type="dxa"/>
              <w:right w:w="0" w:type="dxa"/>
            </w:tcMar>
            <w:vAlign w:val="center"/>
          </w:tcPr>
          <w:p>
            <w:pPr>
              <w:spacing w:line="240" w:lineRule="exact"/>
              <w:jc w:val="center"/>
              <w:rPr>
                <w:color w:val="000000"/>
                <w:szCs w:val="21"/>
              </w:rPr>
            </w:pPr>
            <w:r>
              <w:rPr>
                <w:rFonts w:hint="eastAsia"/>
                <w:color w:val="000000"/>
                <w:szCs w:val="21"/>
              </w:rPr>
              <w:t>10人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275" w:type="dxa"/>
            <w:tcMar>
              <w:left w:w="0" w:type="dxa"/>
              <w:right w:w="0" w:type="dxa"/>
            </w:tcMar>
            <w:vAlign w:val="center"/>
          </w:tcPr>
          <w:p>
            <w:pPr>
              <w:spacing w:line="240" w:lineRule="exact"/>
              <w:jc w:val="center"/>
              <w:rPr>
                <w:rFonts w:hAnsi="宋体"/>
                <w:color w:val="000000"/>
                <w:szCs w:val="21"/>
              </w:rPr>
            </w:pPr>
            <w:r>
              <w:rPr>
                <w:rFonts w:hint="eastAsia" w:hAnsi="宋体"/>
                <w:color w:val="000000"/>
                <w:szCs w:val="21"/>
              </w:rPr>
              <w:t>资料</w:t>
            </w:r>
          </w:p>
          <w:p>
            <w:pPr>
              <w:spacing w:line="240" w:lineRule="exact"/>
              <w:jc w:val="center"/>
              <w:rPr>
                <w:rFonts w:hAnsi="宋体"/>
                <w:color w:val="000000"/>
                <w:szCs w:val="21"/>
              </w:rPr>
            </w:pPr>
            <w:r>
              <w:rPr>
                <w:rFonts w:hint="eastAsia" w:hAnsi="宋体"/>
                <w:color w:val="000000"/>
                <w:szCs w:val="21"/>
              </w:rPr>
              <w:t>管理员</w:t>
            </w:r>
          </w:p>
        </w:tc>
        <w:tc>
          <w:tcPr>
            <w:tcW w:w="944" w:type="dxa"/>
            <w:tcMar>
              <w:left w:w="0" w:type="dxa"/>
              <w:right w:w="0" w:type="dxa"/>
            </w:tcMar>
            <w:vAlign w:val="center"/>
          </w:tcPr>
          <w:p>
            <w:pPr>
              <w:spacing w:line="240" w:lineRule="exact"/>
              <w:jc w:val="center"/>
              <w:rPr>
                <w:rFonts w:ascii="宋体" w:hAnsi="宋体"/>
                <w:szCs w:val="21"/>
              </w:rPr>
            </w:pPr>
            <w:r>
              <w:rPr>
                <w:rFonts w:ascii="宋体" w:hAnsi="宋体"/>
                <w:szCs w:val="21"/>
              </w:rPr>
              <w:t>工程</w:t>
            </w:r>
            <w:r>
              <w:rPr>
                <w:rFonts w:hint="eastAsia" w:ascii="宋体" w:hAnsi="宋体"/>
                <w:szCs w:val="21"/>
              </w:rPr>
              <w:t>系列</w:t>
            </w:r>
          </w:p>
        </w:tc>
        <w:tc>
          <w:tcPr>
            <w:tcW w:w="709" w:type="dxa"/>
            <w:tcMar>
              <w:left w:w="0" w:type="dxa"/>
              <w:right w:w="0" w:type="dxa"/>
            </w:tcMar>
            <w:vAlign w:val="center"/>
          </w:tcPr>
          <w:p>
            <w:pPr>
              <w:spacing w:line="240" w:lineRule="exact"/>
              <w:jc w:val="center"/>
              <w:rPr>
                <w:rFonts w:hAnsi="宋体"/>
                <w:color w:val="000000"/>
                <w:szCs w:val="21"/>
              </w:rPr>
            </w:pPr>
            <w:r>
              <w:rPr>
                <w:rFonts w:hint="eastAsia" w:hAnsi="宋体"/>
                <w:color w:val="000000"/>
                <w:szCs w:val="21"/>
              </w:rPr>
              <w:t>初级</w:t>
            </w:r>
            <w:r>
              <w:rPr>
                <w:rFonts w:hint="eastAsia" w:asciiTheme="minorEastAsia" w:hAnsiTheme="minorEastAsia" w:eastAsiaTheme="minorEastAsia"/>
                <w:szCs w:val="21"/>
              </w:rPr>
              <w:t>及以上</w:t>
            </w:r>
          </w:p>
        </w:tc>
        <w:tc>
          <w:tcPr>
            <w:tcW w:w="1843" w:type="dxa"/>
            <w:tcMar>
              <w:left w:w="0" w:type="dxa"/>
              <w:right w:w="0" w:type="dxa"/>
            </w:tcMar>
            <w:vAlign w:val="center"/>
          </w:tcPr>
          <w:p>
            <w:pPr>
              <w:spacing w:line="240" w:lineRule="exact"/>
              <w:jc w:val="center"/>
              <w:rPr>
                <w:rFonts w:hAnsi="宋体"/>
                <w:color w:val="000000"/>
                <w:szCs w:val="21"/>
              </w:rPr>
            </w:pPr>
            <w:r>
              <w:rPr>
                <w:rFonts w:hint="eastAsia" w:hAnsi="宋体"/>
                <w:color w:val="000000"/>
                <w:szCs w:val="21"/>
              </w:rPr>
              <w:t>监理培训证</w:t>
            </w:r>
          </w:p>
          <w:p>
            <w:pPr>
              <w:spacing w:line="240" w:lineRule="exact"/>
              <w:jc w:val="center"/>
              <w:rPr>
                <w:rFonts w:hAnsi="宋体"/>
                <w:color w:val="000000"/>
                <w:szCs w:val="21"/>
              </w:rPr>
            </w:pPr>
            <w:r>
              <w:rPr>
                <w:rFonts w:hint="eastAsia" w:hAnsi="宋体"/>
                <w:color w:val="000000"/>
                <w:szCs w:val="21"/>
              </w:rPr>
              <w:t>和资料员证</w:t>
            </w:r>
          </w:p>
        </w:tc>
        <w:tc>
          <w:tcPr>
            <w:tcW w:w="2456" w:type="dxa"/>
            <w:tcMar>
              <w:left w:w="0" w:type="dxa"/>
              <w:right w:w="0" w:type="dxa"/>
            </w:tcMar>
            <w:vAlign w:val="center"/>
          </w:tcPr>
          <w:p>
            <w:pPr>
              <w:spacing w:line="240" w:lineRule="exact"/>
              <w:jc w:val="center"/>
              <w:rPr>
                <w:rFonts w:hAnsi="宋体"/>
                <w:color w:val="000000"/>
                <w:szCs w:val="21"/>
              </w:rPr>
            </w:pPr>
            <w:r>
              <w:rPr>
                <w:rFonts w:hint="eastAsia" w:asciiTheme="minorEastAsia" w:hAnsiTheme="minorEastAsia" w:eastAsiaTheme="minorEastAsia"/>
                <w:szCs w:val="21"/>
              </w:rPr>
              <w:t>具有类似项目相关工作</w:t>
            </w:r>
            <w:r>
              <w:rPr>
                <w:rFonts w:asciiTheme="minorEastAsia" w:hAnsiTheme="minorEastAsia" w:eastAsiaTheme="minorEastAsia"/>
                <w:szCs w:val="21"/>
              </w:rPr>
              <w:t>经验</w:t>
            </w:r>
          </w:p>
        </w:tc>
        <w:tc>
          <w:tcPr>
            <w:tcW w:w="1088" w:type="dxa"/>
            <w:tcMar>
              <w:left w:w="0" w:type="dxa"/>
              <w:right w:w="0" w:type="dxa"/>
            </w:tcMar>
            <w:vAlign w:val="center"/>
          </w:tcPr>
          <w:p>
            <w:pPr>
              <w:spacing w:line="240" w:lineRule="exact"/>
              <w:jc w:val="center"/>
              <w:rPr>
                <w:color w:val="000000"/>
                <w:szCs w:val="21"/>
              </w:rPr>
            </w:pPr>
            <w:r>
              <w:rPr>
                <w:rFonts w:hint="eastAsia"/>
                <w:color w:val="000000"/>
                <w:szCs w:val="21"/>
              </w:rPr>
              <w:t>2人</w:t>
            </w:r>
          </w:p>
        </w:tc>
      </w:tr>
    </w:tbl>
    <w:p>
      <w:pPr>
        <w:ind w:firstLine="420" w:firstLineChars="200"/>
        <w:rPr>
          <w:rFonts w:ascii="宋体" w:hAnsi="宋体"/>
          <w:szCs w:val="21"/>
        </w:rPr>
      </w:pPr>
      <w:r>
        <w:rPr>
          <w:rFonts w:hint="eastAsia" w:ascii="宋体" w:hAnsi="宋体"/>
          <w:szCs w:val="21"/>
        </w:rPr>
        <w:t>注：</w:t>
      </w:r>
    </w:p>
    <w:p>
      <w:pPr>
        <w:ind w:firstLine="422" w:firstLineChars="200"/>
        <w:rPr>
          <w:rFonts w:ascii="宋体" w:hAnsi="宋体"/>
          <w:b/>
          <w:bCs/>
          <w:szCs w:val="21"/>
        </w:rPr>
      </w:pPr>
      <w:r>
        <w:rPr>
          <w:rFonts w:hint="eastAsia" w:ascii="宋体" w:hAnsi="宋体"/>
          <w:b/>
          <w:bCs/>
          <w:szCs w:val="21"/>
        </w:rPr>
        <w:t>1.表格中要求的“一：总监理工程师、二：总监理工程师代表、</w:t>
      </w:r>
      <w:r>
        <w:rPr>
          <w:rFonts w:hint="eastAsia" w:asciiTheme="minorEastAsia" w:hAnsiTheme="minorEastAsia" w:eastAsiaTheme="minorEastAsia"/>
          <w:b/>
          <w:bCs/>
          <w:szCs w:val="21"/>
        </w:rPr>
        <w:t>三：</w:t>
      </w:r>
      <w:r>
        <w:rPr>
          <w:rFonts w:asciiTheme="minorEastAsia" w:hAnsiTheme="minorEastAsia" w:eastAsiaTheme="minorEastAsia"/>
          <w:b/>
          <w:bCs/>
          <w:kern w:val="0"/>
          <w:szCs w:val="21"/>
        </w:rPr>
        <w:t>专业监理工程师</w:t>
      </w:r>
      <w:r>
        <w:rPr>
          <w:rFonts w:hint="eastAsia" w:asciiTheme="minorEastAsia" w:hAnsiTheme="minorEastAsia" w:eastAsiaTheme="minorEastAsia"/>
          <w:b/>
          <w:bCs/>
          <w:kern w:val="0"/>
          <w:szCs w:val="21"/>
        </w:rPr>
        <w:t>”在开标时提交原件进行审查打分；</w:t>
      </w:r>
    </w:p>
    <w:p>
      <w:pPr>
        <w:ind w:firstLine="420" w:firstLineChars="200"/>
        <w:rPr>
          <w:rFonts w:ascii="宋体" w:hAnsi="宋体"/>
          <w:szCs w:val="21"/>
        </w:rPr>
      </w:pPr>
      <w:r>
        <w:rPr>
          <w:rFonts w:hint="eastAsia" w:ascii="宋体" w:hAnsi="宋体"/>
          <w:szCs w:val="21"/>
        </w:rPr>
        <w:t>2.施工高峰阶段，以上人员数量不能满足现场实际需要的，监理人应按照委托人要求无条件增加监理人员；</w:t>
      </w:r>
    </w:p>
    <w:p>
      <w:pPr>
        <w:ind w:firstLine="420" w:firstLineChars="200"/>
        <w:rPr>
          <w:rFonts w:ascii="宋体" w:hAnsi="宋体"/>
          <w:szCs w:val="21"/>
        </w:rPr>
      </w:pPr>
      <w:r>
        <w:rPr>
          <w:rFonts w:hint="eastAsia" w:ascii="宋体" w:hAnsi="宋体"/>
          <w:szCs w:val="21"/>
        </w:rPr>
        <w:t>3.投标人无需在投标文件中填写“四、其他专业监理工程师及人员”中人员信息，但需提供配置表；合同签订前，投标人须按本表要求配置“其他专业监理工程师及人员”中人员，且人员须经招标人同意。</w:t>
      </w:r>
    </w:p>
    <w:p>
      <w:pPr>
        <w:ind w:firstLine="420"/>
        <w:rPr>
          <w:rFonts w:ascii="宋体" w:hAnsi="宋体"/>
          <w:szCs w:val="21"/>
        </w:rPr>
      </w:pPr>
    </w:p>
    <w:p/>
    <w:p/>
    <w:p>
      <w:bookmarkStart w:id="719" w:name="_Toc498503000"/>
      <w:r>
        <w:br w:type="page"/>
      </w:r>
    </w:p>
    <w:p>
      <w:pPr>
        <w:pStyle w:val="2"/>
      </w:pPr>
      <w:bookmarkStart w:id="720" w:name="_Toc26785"/>
      <w:r>
        <w:t>附表</w:t>
      </w:r>
      <w:r>
        <w:rPr>
          <w:rFonts w:hint="eastAsia"/>
        </w:rPr>
        <w:t>3：</w:t>
      </w:r>
      <w:r>
        <w:t>拟投入监理工作条件要求</w:t>
      </w:r>
      <w:bookmarkEnd w:id="719"/>
      <w:bookmarkEnd w:id="720"/>
    </w:p>
    <w:p>
      <w:pPr>
        <w:adjustRightInd w:val="0"/>
        <w:snapToGrid w:val="0"/>
        <w:spacing w:line="400" w:lineRule="exact"/>
        <w:ind w:firstLine="424" w:firstLineChars="202"/>
        <w:rPr>
          <w:szCs w:val="21"/>
        </w:rPr>
      </w:pPr>
      <w:r>
        <w:rPr>
          <w:szCs w:val="21"/>
        </w:rPr>
        <w:t>1</w:t>
      </w:r>
      <w:r>
        <w:rPr>
          <w:rFonts w:hAnsi="宋体"/>
          <w:szCs w:val="21"/>
        </w:rPr>
        <w:t>、交通工具：汽车</w:t>
      </w:r>
      <w:r>
        <w:rPr>
          <w:rFonts w:hint="eastAsia"/>
          <w:szCs w:val="21"/>
        </w:rPr>
        <w:t>至少5</w:t>
      </w:r>
      <w:r>
        <w:rPr>
          <w:rFonts w:hAnsi="宋体"/>
          <w:szCs w:val="21"/>
        </w:rPr>
        <w:t>辆，车辆须满足在项目实施期间正常使用的要求。</w:t>
      </w:r>
    </w:p>
    <w:p>
      <w:pPr>
        <w:adjustRightInd w:val="0"/>
        <w:snapToGrid w:val="0"/>
        <w:spacing w:line="400" w:lineRule="exact"/>
        <w:ind w:firstLine="424" w:firstLineChars="202"/>
        <w:rPr>
          <w:szCs w:val="21"/>
        </w:rPr>
      </w:pPr>
      <w:r>
        <w:rPr>
          <w:szCs w:val="21"/>
        </w:rPr>
        <w:t>2、办公设备：计算机 P4 配置或以上，具备宽带上网条件每人 1 台，传真机 1 台，激光或喷墨打印机 2 台（其中一台可打印 A3 幅面），复印机 1 台，数码照相机 2 台</w:t>
      </w:r>
      <w:r>
        <w:rPr>
          <w:rFonts w:hint="eastAsia"/>
          <w:szCs w:val="21"/>
        </w:rPr>
        <w:t>。</w:t>
      </w:r>
    </w:p>
    <w:p>
      <w:pPr>
        <w:adjustRightInd w:val="0"/>
        <w:snapToGrid w:val="0"/>
        <w:spacing w:line="400" w:lineRule="exact"/>
        <w:ind w:firstLine="424" w:firstLineChars="202"/>
        <w:rPr>
          <w:szCs w:val="21"/>
        </w:rPr>
      </w:pPr>
      <w:r>
        <w:rPr>
          <w:szCs w:val="21"/>
        </w:rPr>
        <w:t>3、通讯设施：办公电话</w:t>
      </w:r>
      <w:r>
        <w:rPr>
          <w:rFonts w:hint="eastAsia"/>
          <w:szCs w:val="21"/>
        </w:rPr>
        <w:t>5</w:t>
      </w:r>
      <w:r>
        <w:rPr>
          <w:szCs w:val="21"/>
        </w:rPr>
        <w:t>部，投入人员每人需配备手机 1 部，现场监理须配备对讲机。</w:t>
      </w:r>
    </w:p>
    <w:p>
      <w:pPr>
        <w:adjustRightInd w:val="0"/>
        <w:snapToGrid w:val="0"/>
        <w:spacing w:line="400" w:lineRule="exact"/>
        <w:ind w:firstLine="424" w:firstLineChars="202"/>
        <w:rPr>
          <w:szCs w:val="21"/>
        </w:rPr>
      </w:pPr>
      <w:r>
        <w:rPr>
          <w:szCs w:val="21"/>
        </w:rPr>
        <w:t>4、工作依据和工具：有关质量检验评定标准、施工技术规范和试验检测规程 1 套；有关建设监理的法律法规和规范性文件 1 套；监理人员每人配备 5 米卷尺一个，靠尺（2M）一个，焊缝检测尺一套，每人配备一套相关施工技术规范、质量检验评定标准、标准图集等工作依据和计算器等工具，每人配备一个工具包，包括质量检验评定标准 1 套、笔记本 1 个、笔 1 支、计算器一个等；其它日常检测必备仪器见附表。</w:t>
      </w:r>
    </w:p>
    <w:p>
      <w:pPr>
        <w:adjustRightInd w:val="0"/>
        <w:snapToGrid w:val="0"/>
        <w:ind w:firstLine="420"/>
        <w:rPr>
          <w:rFonts w:hAnsi="宋体"/>
          <w:szCs w:val="21"/>
        </w:rPr>
      </w:pPr>
      <w:r>
        <w:rPr>
          <w:szCs w:val="21"/>
        </w:rPr>
        <w:t>5</w:t>
      </w:r>
      <w:r>
        <w:rPr>
          <w:rFonts w:hAnsi="宋体"/>
          <w:szCs w:val="21"/>
        </w:rPr>
        <w:t>、其他必要的辅助人员、工作设备、设施或工具。</w:t>
      </w:r>
    </w:p>
    <w:p>
      <w:pPr>
        <w:adjustRightInd w:val="0"/>
        <w:snapToGrid w:val="0"/>
        <w:ind w:firstLine="422"/>
        <w:rPr>
          <w:b/>
          <w:szCs w:val="21"/>
        </w:rPr>
      </w:pPr>
      <w:r>
        <w:rPr>
          <w:rFonts w:hint="eastAsia"/>
          <w:b/>
          <w:szCs w:val="21"/>
        </w:rPr>
        <w:t>附表：</w:t>
      </w:r>
    </w:p>
    <w:tbl>
      <w:tblPr>
        <w:tblStyle w:val="28"/>
        <w:tblW w:w="774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3617"/>
        <w:gridCol w:w="1641"/>
        <w:gridCol w:w="14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序号</w:t>
            </w:r>
          </w:p>
        </w:tc>
        <w:tc>
          <w:tcPr>
            <w:tcW w:w="3617" w:type="dxa"/>
            <w:vAlign w:val="center"/>
          </w:tcPr>
          <w:p>
            <w:pPr>
              <w:ind w:leftChars="-38" w:hanging="79" w:hangingChars="38"/>
              <w:jc w:val="center"/>
              <w:rPr>
                <w:rFonts w:ascii="宋体" w:hAnsi="宋体" w:cs="宋体"/>
                <w:bCs/>
                <w:szCs w:val="21"/>
              </w:rPr>
            </w:pPr>
            <w:r>
              <w:rPr>
                <w:rFonts w:hint="eastAsia" w:ascii="宋体" w:hAnsi="宋体" w:cs="宋体"/>
                <w:bCs/>
                <w:szCs w:val="21"/>
              </w:rPr>
              <w:t>设备名称</w:t>
            </w:r>
          </w:p>
        </w:tc>
        <w:tc>
          <w:tcPr>
            <w:tcW w:w="1641" w:type="dxa"/>
            <w:vAlign w:val="center"/>
          </w:tcPr>
          <w:p>
            <w:pPr>
              <w:jc w:val="center"/>
              <w:rPr>
                <w:rFonts w:ascii="宋体" w:hAnsi="宋体" w:cs="宋体"/>
                <w:bCs/>
                <w:szCs w:val="21"/>
              </w:rPr>
            </w:pPr>
            <w:r>
              <w:rPr>
                <w:rFonts w:hint="eastAsia" w:ascii="宋体" w:hAnsi="宋体" w:cs="宋体"/>
                <w:bCs/>
                <w:szCs w:val="21"/>
              </w:rPr>
              <w:t>数量</w:t>
            </w:r>
          </w:p>
        </w:tc>
        <w:tc>
          <w:tcPr>
            <w:tcW w:w="1404" w:type="dxa"/>
            <w:vAlign w:val="center"/>
          </w:tcPr>
          <w:p>
            <w:pPr>
              <w:ind w:firstLine="4" w:firstLineChars="2"/>
              <w:jc w:val="center"/>
              <w:rPr>
                <w:rFonts w:ascii="宋体" w:hAnsi="宋体" w:cs="宋体"/>
                <w:bCs/>
                <w:szCs w:val="21"/>
              </w:rPr>
            </w:pPr>
            <w:r>
              <w:rPr>
                <w:rFonts w:hint="eastAsia" w:ascii="宋体" w:hAnsi="宋体" w:cs="宋体"/>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1</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混凝土回弹仪</w:t>
            </w:r>
          </w:p>
        </w:tc>
        <w:tc>
          <w:tcPr>
            <w:tcW w:w="1641" w:type="dxa"/>
            <w:vAlign w:val="center"/>
          </w:tcPr>
          <w:p>
            <w:pPr>
              <w:jc w:val="center"/>
              <w:rPr>
                <w:rFonts w:ascii="宋体" w:hAnsi="宋体" w:cs="宋体"/>
                <w:bCs/>
                <w:szCs w:val="21"/>
              </w:rPr>
            </w:pPr>
            <w:r>
              <w:rPr>
                <w:rFonts w:hint="eastAsia" w:ascii="宋体" w:hAnsi="宋体" w:cs="宋体"/>
                <w:bCs/>
                <w:szCs w:val="21"/>
              </w:rPr>
              <w:t>5</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2</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游标卡尺</w:t>
            </w:r>
          </w:p>
        </w:tc>
        <w:tc>
          <w:tcPr>
            <w:tcW w:w="1641" w:type="dxa"/>
            <w:vAlign w:val="center"/>
          </w:tcPr>
          <w:p>
            <w:pPr>
              <w:jc w:val="center"/>
              <w:rPr>
                <w:rFonts w:ascii="宋体" w:hAnsi="宋体" w:cs="宋体"/>
                <w:bCs/>
                <w:szCs w:val="21"/>
              </w:rPr>
            </w:pPr>
            <w:r>
              <w:rPr>
                <w:rFonts w:hint="eastAsia" w:ascii="宋体" w:hAnsi="宋体" w:cs="宋体"/>
                <w:bCs/>
                <w:szCs w:val="21"/>
              </w:rPr>
              <w:t>3</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3</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扭力扳手</w:t>
            </w:r>
          </w:p>
        </w:tc>
        <w:tc>
          <w:tcPr>
            <w:tcW w:w="1641" w:type="dxa"/>
            <w:vAlign w:val="center"/>
          </w:tcPr>
          <w:p>
            <w:pPr>
              <w:jc w:val="center"/>
              <w:rPr>
                <w:rFonts w:ascii="宋体" w:hAnsi="宋体" w:cs="宋体"/>
                <w:bCs/>
                <w:szCs w:val="21"/>
              </w:rPr>
            </w:pPr>
            <w:r>
              <w:rPr>
                <w:rFonts w:hint="eastAsia" w:ascii="宋体" w:hAnsi="宋体" w:cs="宋体"/>
                <w:bCs/>
                <w:szCs w:val="21"/>
              </w:rPr>
              <w:t>3</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4</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水平尺</w:t>
            </w:r>
          </w:p>
        </w:tc>
        <w:tc>
          <w:tcPr>
            <w:tcW w:w="1641" w:type="dxa"/>
            <w:vAlign w:val="center"/>
          </w:tcPr>
          <w:p>
            <w:pPr>
              <w:jc w:val="center"/>
              <w:rPr>
                <w:rFonts w:ascii="宋体" w:hAnsi="宋体" w:cs="宋体"/>
                <w:bCs/>
                <w:szCs w:val="21"/>
              </w:rPr>
            </w:pPr>
            <w:r>
              <w:rPr>
                <w:rFonts w:hint="eastAsia" w:ascii="宋体" w:hAnsi="宋体" w:cs="宋体"/>
                <w:bCs/>
                <w:szCs w:val="21"/>
              </w:rPr>
              <w:t>4</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5</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经纬仪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6</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水准仪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7</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全站仪</w:t>
            </w:r>
          </w:p>
        </w:tc>
        <w:tc>
          <w:tcPr>
            <w:tcW w:w="1641" w:type="dxa"/>
            <w:vAlign w:val="center"/>
          </w:tcPr>
          <w:p>
            <w:pPr>
              <w:jc w:val="center"/>
              <w:rPr>
                <w:rFonts w:ascii="宋体" w:hAnsi="宋体" w:cs="宋体"/>
                <w:bCs/>
                <w:szCs w:val="21"/>
              </w:rPr>
            </w:pPr>
            <w:r>
              <w:rPr>
                <w:rFonts w:hint="eastAsia" w:ascii="宋体" w:hAnsi="宋体" w:cs="宋体"/>
                <w:bCs/>
                <w:szCs w:val="21"/>
              </w:rPr>
              <w:t>3</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8</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扫描仪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9</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万用表</w:t>
            </w:r>
          </w:p>
        </w:tc>
        <w:tc>
          <w:tcPr>
            <w:tcW w:w="1641" w:type="dxa"/>
            <w:vAlign w:val="center"/>
          </w:tcPr>
          <w:p>
            <w:pPr>
              <w:jc w:val="center"/>
              <w:rPr>
                <w:rFonts w:ascii="宋体" w:hAnsi="宋体" w:cs="宋体"/>
                <w:bCs/>
                <w:szCs w:val="21"/>
              </w:rPr>
            </w:pPr>
            <w:r>
              <w:rPr>
                <w:rFonts w:hint="eastAsia" w:ascii="宋体" w:hAnsi="宋体" w:cs="宋体"/>
                <w:bCs/>
                <w:szCs w:val="21"/>
              </w:rPr>
              <w:t>4</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10</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漏电断路器测试仪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11</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接地电阻检测仪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12</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数码相位测试仪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13</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绝缘电阻测试仪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14</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金属结构及焊缝质量检测仪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15</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钢管壁厚超声波检测仪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16</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数显超声波测厚仪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17</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钢筋保护层测试仪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18</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灌砂仪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19</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核子密度仪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20</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噪声频谱分析仪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21</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内径千分尺</w:t>
            </w:r>
          </w:p>
        </w:tc>
        <w:tc>
          <w:tcPr>
            <w:tcW w:w="1641" w:type="dxa"/>
            <w:vAlign w:val="center"/>
          </w:tcPr>
          <w:p>
            <w:pPr>
              <w:jc w:val="center"/>
              <w:rPr>
                <w:rFonts w:ascii="宋体" w:hAnsi="宋体" w:cs="宋体"/>
                <w:bCs/>
                <w:szCs w:val="21"/>
              </w:rPr>
            </w:pPr>
            <w:r>
              <w:rPr>
                <w:rFonts w:hint="eastAsia" w:ascii="宋体" w:hAnsi="宋体" w:cs="宋体"/>
                <w:bCs/>
                <w:szCs w:val="21"/>
              </w:rPr>
              <w:t>3</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22</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外径千分尺</w:t>
            </w:r>
          </w:p>
        </w:tc>
        <w:tc>
          <w:tcPr>
            <w:tcW w:w="1641" w:type="dxa"/>
            <w:vAlign w:val="center"/>
          </w:tcPr>
          <w:p>
            <w:pPr>
              <w:jc w:val="center"/>
              <w:rPr>
                <w:rFonts w:ascii="宋体" w:hAnsi="宋体" w:cs="宋体"/>
                <w:bCs/>
                <w:szCs w:val="21"/>
              </w:rPr>
            </w:pPr>
            <w:r>
              <w:rPr>
                <w:rFonts w:hint="eastAsia" w:ascii="宋体" w:hAnsi="宋体" w:cs="宋体"/>
                <w:bCs/>
                <w:szCs w:val="21"/>
              </w:rPr>
              <w:t>3</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23</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塞尺</w:t>
            </w:r>
          </w:p>
        </w:tc>
        <w:tc>
          <w:tcPr>
            <w:tcW w:w="1641" w:type="dxa"/>
            <w:vAlign w:val="center"/>
          </w:tcPr>
          <w:p>
            <w:pPr>
              <w:jc w:val="center"/>
              <w:rPr>
                <w:rFonts w:ascii="宋体" w:hAnsi="宋体" w:cs="宋体"/>
                <w:bCs/>
                <w:szCs w:val="21"/>
              </w:rPr>
            </w:pPr>
            <w:r>
              <w:rPr>
                <w:rFonts w:hint="eastAsia" w:ascii="宋体" w:hAnsi="宋体" w:cs="宋体"/>
                <w:bCs/>
                <w:szCs w:val="21"/>
              </w:rPr>
              <w:t>4</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24</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框式水平仪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25</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网络分析仪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26</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气囊</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27</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环刀</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28</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螺纹规</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29</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测速仪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30</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测振仪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31</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硬度仪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32</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多功能检测仪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33</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水灰比测定仪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34</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沥青针入度仪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35</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电动击实仪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36</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量砂测平仪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37</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弯沉仪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38</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测距仪</w:t>
            </w:r>
          </w:p>
        </w:tc>
        <w:tc>
          <w:tcPr>
            <w:tcW w:w="1641" w:type="dxa"/>
            <w:vAlign w:val="center"/>
          </w:tcPr>
          <w:p>
            <w:pPr>
              <w:jc w:val="center"/>
              <w:rPr>
                <w:rFonts w:ascii="宋体" w:hAnsi="宋体" w:cs="宋体"/>
                <w:bCs/>
                <w:szCs w:val="21"/>
              </w:rPr>
            </w:pPr>
            <w:r>
              <w:rPr>
                <w:rFonts w:hint="eastAsia" w:ascii="宋体" w:hAnsi="宋体" w:cs="宋体"/>
                <w:bCs/>
                <w:szCs w:val="21"/>
              </w:rPr>
              <w:t>5</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39</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网络综合测试仪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40</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地阻测试仪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41</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频谱分析仪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42</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管道内窥镜</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43</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焊检尺</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44</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直流双臂电桥</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45</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数字兆欧表</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46</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倾斜仪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47</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其它设备</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bl>
    <w:p/>
    <w:p/>
    <w:p/>
    <w:p/>
    <w:p/>
    <w:p/>
    <w:p/>
    <w:p/>
    <w:p/>
    <w:p/>
    <w:p/>
    <w:p/>
    <w:p/>
    <w:p/>
    <w:p/>
    <w:p/>
    <w:p/>
    <w:p/>
    <w:p/>
    <w:p/>
    <w:p/>
    <w:p/>
    <w:p/>
    <w:bookmarkEnd w:id="711"/>
    <w:bookmarkEnd w:id="715"/>
    <w:bookmarkEnd w:id="716"/>
    <w:p>
      <w:pPr>
        <w:pStyle w:val="2"/>
      </w:pPr>
      <w:bookmarkStart w:id="721" w:name="_Toc25210"/>
      <w:bookmarkStart w:id="722" w:name="_Toc30186"/>
      <w:bookmarkStart w:id="723" w:name="_Toc498503005"/>
      <w:r>
        <w:t>1.评标方法</w:t>
      </w:r>
      <w:bookmarkEnd w:id="721"/>
      <w:bookmarkEnd w:id="722"/>
      <w:bookmarkEnd w:id="723"/>
    </w:p>
    <w:p>
      <w:pPr>
        <w:autoSpaceDE w:val="0"/>
        <w:autoSpaceDN w:val="0"/>
        <w:adjustRightInd w:val="0"/>
        <w:spacing w:before="56" w:line="360" w:lineRule="auto"/>
        <w:ind w:right="98" w:firstLine="420"/>
        <w:jc w:val="left"/>
        <w:rPr>
          <w:rFonts w:asciiTheme="minorEastAsia" w:hAnsiTheme="minorEastAsia" w:eastAsiaTheme="minorEastAsia"/>
          <w:kern w:val="0"/>
          <w:sz w:val="24"/>
        </w:rPr>
      </w:pPr>
      <w:r>
        <w:rPr>
          <w:rFonts w:asciiTheme="minorEastAsia" w:hAnsiTheme="minorEastAsia" w:eastAsiaTheme="minorEastAsia"/>
          <w:kern w:val="0"/>
          <w:sz w:val="24"/>
        </w:rPr>
        <w:t>评标委员会对满足招标文件实质性要求的投标文件</w:t>
      </w:r>
      <w:r>
        <w:rPr>
          <w:rFonts w:asciiTheme="minorEastAsia" w:hAnsiTheme="minorEastAsia" w:eastAsiaTheme="minorEastAsia"/>
          <w:sz w:val="24"/>
        </w:rPr>
        <w:t>按公平、公正、科学、择优的原则</w:t>
      </w:r>
      <w:r>
        <w:rPr>
          <w:rFonts w:asciiTheme="minorEastAsia" w:hAnsiTheme="minorEastAsia" w:eastAsiaTheme="minorEastAsia"/>
          <w:spacing w:val="-47"/>
          <w:kern w:val="0"/>
          <w:sz w:val="24"/>
        </w:rPr>
        <w:t>，</w:t>
      </w:r>
      <w:r>
        <w:rPr>
          <w:rFonts w:asciiTheme="minorEastAsia" w:hAnsiTheme="minorEastAsia" w:eastAsiaTheme="minorEastAsia"/>
          <w:kern w:val="0"/>
          <w:sz w:val="24"/>
        </w:rPr>
        <w:t xml:space="preserve">按照本章第 </w:t>
      </w:r>
      <w:r>
        <w:rPr>
          <w:rFonts w:asciiTheme="minorEastAsia" w:hAnsiTheme="minorEastAsia" w:eastAsiaTheme="minorEastAsia"/>
          <w:spacing w:val="1"/>
          <w:kern w:val="0"/>
          <w:sz w:val="24"/>
        </w:rPr>
        <w:t>2</w:t>
      </w:r>
      <w:r>
        <w:rPr>
          <w:rFonts w:asciiTheme="minorEastAsia" w:hAnsiTheme="minorEastAsia" w:eastAsiaTheme="minorEastAsia"/>
          <w:spacing w:val="-1"/>
          <w:kern w:val="0"/>
          <w:sz w:val="24"/>
        </w:rPr>
        <w:t>.</w:t>
      </w:r>
      <w:r>
        <w:rPr>
          <w:rFonts w:asciiTheme="minorEastAsia" w:hAnsiTheme="minorEastAsia" w:eastAsiaTheme="minorEastAsia"/>
          <w:kern w:val="0"/>
          <w:sz w:val="24"/>
        </w:rPr>
        <w:t>2款</w:t>
      </w:r>
      <w:r>
        <w:rPr>
          <w:rFonts w:asciiTheme="minorEastAsia" w:hAnsiTheme="minorEastAsia" w:eastAsiaTheme="minorEastAsia"/>
          <w:spacing w:val="-1"/>
          <w:kern w:val="0"/>
          <w:sz w:val="24"/>
        </w:rPr>
        <w:t>规</w:t>
      </w:r>
      <w:r>
        <w:rPr>
          <w:rFonts w:asciiTheme="minorEastAsia" w:hAnsiTheme="minorEastAsia" w:eastAsiaTheme="minorEastAsia"/>
          <w:kern w:val="0"/>
          <w:sz w:val="24"/>
        </w:rPr>
        <w:t>定的评分标准进行打分</w:t>
      </w:r>
      <w:r>
        <w:rPr>
          <w:rFonts w:asciiTheme="minorEastAsia" w:hAnsiTheme="minorEastAsia" w:eastAsiaTheme="minorEastAsia"/>
          <w:spacing w:val="-20"/>
          <w:kern w:val="0"/>
          <w:sz w:val="24"/>
        </w:rPr>
        <w:t>，</w:t>
      </w:r>
      <w:r>
        <w:rPr>
          <w:rFonts w:asciiTheme="minorEastAsia" w:hAnsiTheme="minorEastAsia" w:eastAsiaTheme="minorEastAsia"/>
          <w:kern w:val="0"/>
          <w:sz w:val="24"/>
        </w:rPr>
        <w:t>并按得分由高到低顺序推荐中标候选人</w:t>
      </w:r>
      <w:r>
        <w:rPr>
          <w:rFonts w:asciiTheme="minorEastAsia" w:hAnsiTheme="minorEastAsia" w:eastAsiaTheme="minorEastAsia"/>
          <w:spacing w:val="-31"/>
          <w:kern w:val="0"/>
          <w:sz w:val="24"/>
        </w:rPr>
        <w:t>，</w:t>
      </w:r>
      <w:r>
        <w:rPr>
          <w:rFonts w:asciiTheme="minorEastAsia" w:hAnsiTheme="minorEastAsia" w:eastAsiaTheme="minorEastAsia"/>
          <w:kern w:val="0"/>
          <w:sz w:val="24"/>
        </w:rPr>
        <w:t>但投标报价低于其成本的除外</w:t>
      </w:r>
      <w:r>
        <w:rPr>
          <w:rFonts w:asciiTheme="minorEastAsia" w:hAnsiTheme="minorEastAsia" w:eastAsiaTheme="minorEastAsia"/>
          <w:spacing w:val="-31"/>
          <w:kern w:val="0"/>
          <w:sz w:val="24"/>
        </w:rPr>
        <w:t>。</w:t>
      </w:r>
      <w:r>
        <w:rPr>
          <w:rFonts w:asciiTheme="minorEastAsia" w:hAnsiTheme="minorEastAsia" w:eastAsiaTheme="minorEastAsia"/>
          <w:kern w:val="0"/>
          <w:sz w:val="24"/>
        </w:rPr>
        <w:t>综合评分相等时</w:t>
      </w:r>
      <w:r>
        <w:rPr>
          <w:rFonts w:asciiTheme="minorEastAsia" w:hAnsiTheme="minorEastAsia" w:eastAsiaTheme="minorEastAsia"/>
          <w:spacing w:val="-31"/>
          <w:kern w:val="0"/>
          <w:sz w:val="24"/>
        </w:rPr>
        <w:t>，</w:t>
      </w:r>
      <w:r>
        <w:rPr>
          <w:rFonts w:asciiTheme="minorEastAsia" w:hAnsiTheme="minorEastAsia" w:eastAsiaTheme="minorEastAsia"/>
          <w:kern w:val="0"/>
          <w:sz w:val="24"/>
        </w:rPr>
        <w:t>以投标报价低的优先；投标报价也相等的，</w:t>
      </w:r>
      <w:r>
        <w:rPr>
          <w:rFonts w:asciiTheme="minorEastAsia" w:hAnsiTheme="minorEastAsia" w:eastAsiaTheme="minorEastAsia"/>
          <w:sz w:val="24"/>
        </w:rPr>
        <w:t>由评标委员会根据业绩等因素择优确定。</w:t>
      </w:r>
    </w:p>
    <w:p>
      <w:pPr>
        <w:pStyle w:val="2"/>
      </w:pPr>
      <w:bookmarkStart w:id="724" w:name="_Toc498503006"/>
      <w:bookmarkStart w:id="725" w:name="_Toc15265"/>
      <w:bookmarkStart w:id="726" w:name="_Toc31063"/>
      <w:r>
        <w:t>2.评审标准</w:t>
      </w:r>
      <w:bookmarkEnd w:id="724"/>
      <w:bookmarkEnd w:id="725"/>
      <w:bookmarkEnd w:id="726"/>
    </w:p>
    <w:p>
      <w:pPr>
        <w:pStyle w:val="4"/>
      </w:pPr>
      <w:bookmarkStart w:id="727" w:name="_Toc499204913"/>
      <w:bookmarkStart w:id="728" w:name="_Toc21747"/>
      <w:bookmarkStart w:id="729" w:name="_Toc19287"/>
      <w:bookmarkStart w:id="730" w:name="_Toc498503007"/>
      <w:bookmarkStart w:id="731" w:name="_Toc27388"/>
      <w:bookmarkStart w:id="732" w:name="_Toc499311128"/>
      <w:r>
        <w:t>2.1初步评审标准</w:t>
      </w:r>
      <w:bookmarkEnd w:id="727"/>
      <w:bookmarkEnd w:id="728"/>
      <w:bookmarkEnd w:id="729"/>
      <w:bookmarkEnd w:id="730"/>
      <w:bookmarkEnd w:id="731"/>
      <w:bookmarkEnd w:id="732"/>
    </w:p>
    <w:p>
      <w:pPr>
        <w:autoSpaceDE w:val="0"/>
        <w:autoSpaceDN w:val="0"/>
        <w:adjustRightInd w:val="0"/>
        <w:spacing w:before="64" w:line="360" w:lineRule="auto"/>
        <w:ind w:left="-2" w:leftChars="-1" w:right="-20" w:firstLine="486" w:firstLineChars="201"/>
        <w:jc w:val="left"/>
        <w:rPr>
          <w:rFonts w:asciiTheme="minorEastAsia" w:hAnsiTheme="minorEastAsia" w:eastAsiaTheme="minorEastAsia"/>
          <w:kern w:val="0"/>
          <w:sz w:val="24"/>
        </w:rPr>
      </w:pPr>
      <w:r>
        <w:rPr>
          <w:rFonts w:asciiTheme="minorEastAsia" w:hAnsiTheme="minorEastAsia" w:eastAsiaTheme="minorEastAsia"/>
          <w:spacing w:val="1"/>
          <w:kern w:val="0"/>
          <w:sz w:val="24"/>
        </w:rPr>
        <w:t>2</w:t>
      </w:r>
      <w:r>
        <w:rPr>
          <w:rFonts w:asciiTheme="minorEastAsia" w:hAnsiTheme="minorEastAsia" w:eastAsiaTheme="minorEastAsia"/>
          <w:kern w:val="0"/>
          <w:sz w:val="24"/>
        </w:rPr>
        <w:t>.1.1形式</w:t>
      </w:r>
      <w:r>
        <w:rPr>
          <w:rFonts w:asciiTheme="minorEastAsia" w:hAnsiTheme="minorEastAsia" w:eastAsiaTheme="minorEastAsia"/>
          <w:spacing w:val="-1"/>
          <w:kern w:val="0"/>
          <w:sz w:val="24"/>
        </w:rPr>
        <w:t>评</w:t>
      </w:r>
      <w:r>
        <w:rPr>
          <w:rFonts w:asciiTheme="minorEastAsia" w:hAnsiTheme="minorEastAsia" w:eastAsiaTheme="minorEastAsia"/>
          <w:kern w:val="0"/>
          <w:sz w:val="24"/>
        </w:rPr>
        <w:t>审标准：见评标办法前附表</w:t>
      </w:r>
      <w:r>
        <w:rPr>
          <w:rFonts w:hint="eastAsia" w:asciiTheme="minorEastAsia" w:hAnsiTheme="minorEastAsia" w:eastAsiaTheme="minorEastAsia"/>
          <w:kern w:val="0"/>
          <w:sz w:val="24"/>
        </w:rPr>
        <w:t>；</w:t>
      </w:r>
    </w:p>
    <w:p>
      <w:pPr>
        <w:autoSpaceDE w:val="0"/>
        <w:autoSpaceDN w:val="0"/>
        <w:adjustRightInd w:val="0"/>
        <w:spacing w:before="64" w:line="360" w:lineRule="auto"/>
        <w:ind w:left="-2" w:leftChars="-1" w:right="-20" w:firstLine="486" w:firstLineChars="201"/>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2.1.2资格评审标准：见评标办法前附表</w:t>
      </w:r>
      <w:r>
        <w:rPr>
          <w:rFonts w:hint="eastAsia" w:asciiTheme="minorEastAsia" w:hAnsiTheme="minorEastAsia" w:eastAsiaTheme="minorEastAsia"/>
          <w:spacing w:val="1"/>
          <w:kern w:val="0"/>
          <w:sz w:val="24"/>
        </w:rPr>
        <w:t>；</w:t>
      </w:r>
    </w:p>
    <w:p>
      <w:pPr>
        <w:autoSpaceDE w:val="0"/>
        <w:autoSpaceDN w:val="0"/>
        <w:adjustRightInd w:val="0"/>
        <w:spacing w:before="64" w:line="360" w:lineRule="auto"/>
        <w:ind w:left="-2" w:leftChars="-1" w:right="-20" w:firstLine="486" w:firstLineChars="201"/>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 xml:space="preserve">2.1.3 </w:t>
      </w:r>
      <w:r>
        <w:rPr>
          <w:rFonts w:hint="eastAsia" w:asciiTheme="minorEastAsia" w:hAnsiTheme="minorEastAsia" w:eastAsiaTheme="minorEastAsia"/>
          <w:spacing w:val="1"/>
          <w:kern w:val="0"/>
          <w:sz w:val="24"/>
        </w:rPr>
        <w:t>响</w:t>
      </w:r>
      <w:r>
        <w:rPr>
          <w:rFonts w:asciiTheme="minorEastAsia" w:hAnsiTheme="minorEastAsia" w:eastAsiaTheme="minorEastAsia"/>
          <w:spacing w:val="1"/>
          <w:kern w:val="0"/>
          <w:sz w:val="24"/>
        </w:rPr>
        <w:t>应性评审标准：见评标办法前附表。</w:t>
      </w:r>
    </w:p>
    <w:p>
      <w:pPr>
        <w:pStyle w:val="4"/>
      </w:pPr>
      <w:bookmarkStart w:id="733" w:name="_Toc499204914"/>
      <w:bookmarkStart w:id="734" w:name="_Toc13388"/>
      <w:bookmarkStart w:id="735" w:name="_Toc18798"/>
      <w:bookmarkStart w:id="736" w:name="_Toc28682"/>
      <w:bookmarkStart w:id="737" w:name="_Toc498503008"/>
      <w:bookmarkStart w:id="738" w:name="_Toc499311129"/>
      <w:r>
        <w:t>2.2分值构成与评分标准</w:t>
      </w:r>
      <w:bookmarkEnd w:id="733"/>
      <w:bookmarkEnd w:id="734"/>
      <w:bookmarkEnd w:id="735"/>
      <w:bookmarkEnd w:id="736"/>
      <w:bookmarkEnd w:id="737"/>
      <w:bookmarkEnd w:id="738"/>
    </w:p>
    <w:p>
      <w:pPr>
        <w:autoSpaceDE w:val="0"/>
        <w:autoSpaceDN w:val="0"/>
        <w:adjustRightInd w:val="0"/>
        <w:spacing w:before="64" w:line="360" w:lineRule="auto"/>
        <w:ind w:left="-2" w:leftChars="-1" w:right="-20" w:firstLine="486" w:firstLineChars="201"/>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2.2.1分值构成</w:t>
      </w:r>
    </w:p>
    <w:p>
      <w:pPr>
        <w:autoSpaceDE w:val="0"/>
        <w:autoSpaceDN w:val="0"/>
        <w:adjustRightInd w:val="0"/>
        <w:spacing w:before="72" w:line="360" w:lineRule="auto"/>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w:t>
      </w:r>
      <w:r>
        <w:rPr>
          <w:rFonts w:asciiTheme="minorEastAsia" w:hAnsiTheme="minorEastAsia" w:eastAsiaTheme="minorEastAsia"/>
          <w:spacing w:val="1"/>
          <w:kern w:val="0"/>
          <w:sz w:val="24"/>
        </w:rPr>
        <w:t>1</w:t>
      </w:r>
      <w:r>
        <w:rPr>
          <w:rFonts w:asciiTheme="minorEastAsia" w:hAnsiTheme="minorEastAsia" w:eastAsiaTheme="minorEastAsia"/>
          <w:kern w:val="0"/>
          <w:sz w:val="24"/>
        </w:rPr>
        <w:t>）监理大纲：见评标办法前附表；</w:t>
      </w:r>
    </w:p>
    <w:p>
      <w:pPr>
        <w:autoSpaceDE w:val="0"/>
        <w:autoSpaceDN w:val="0"/>
        <w:adjustRightInd w:val="0"/>
        <w:spacing w:before="70" w:line="360" w:lineRule="auto"/>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w:t>
      </w:r>
      <w:r>
        <w:rPr>
          <w:rFonts w:asciiTheme="minorEastAsia" w:hAnsiTheme="minorEastAsia" w:eastAsiaTheme="minorEastAsia"/>
          <w:spacing w:val="1"/>
          <w:kern w:val="0"/>
          <w:sz w:val="24"/>
        </w:rPr>
        <w:t>2</w:t>
      </w:r>
      <w:r>
        <w:rPr>
          <w:rFonts w:asciiTheme="minorEastAsia" w:hAnsiTheme="minorEastAsia" w:eastAsiaTheme="minorEastAsia"/>
          <w:kern w:val="0"/>
          <w:sz w:val="24"/>
        </w:rPr>
        <w:t>）商务</w:t>
      </w:r>
      <w:r>
        <w:rPr>
          <w:rFonts w:hint="eastAsia" w:asciiTheme="minorEastAsia" w:hAnsiTheme="minorEastAsia" w:eastAsiaTheme="minorEastAsia"/>
          <w:kern w:val="0"/>
          <w:sz w:val="24"/>
        </w:rPr>
        <w:t>部分</w:t>
      </w:r>
      <w:r>
        <w:rPr>
          <w:rFonts w:asciiTheme="minorEastAsia" w:hAnsiTheme="minorEastAsia" w:eastAsiaTheme="minorEastAsia"/>
          <w:kern w:val="0"/>
          <w:sz w:val="24"/>
        </w:rPr>
        <w:t>：见评标办法前附表；</w:t>
      </w:r>
    </w:p>
    <w:p>
      <w:pPr>
        <w:autoSpaceDE w:val="0"/>
        <w:autoSpaceDN w:val="0"/>
        <w:adjustRightInd w:val="0"/>
        <w:spacing w:before="70" w:line="360" w:lineRule="auto"/>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（3）投标报价：见评标办法前附表。</w:t>
      </w:r>
    </w:p>
    <w:p>
      <w:pPr>
        <w:autoSpaceDE w:val="0"/>
        <w:autoSpaceDN w:val="0"/>
        <w:adjustRightInd w:val="0"/>
        <w:spacing w:before="64" w:line="360" w:lineRule="auto"/>
        <w:ind w:left="-2" w:leftChars="-1" w:right="-20" w:firstLine="486" w:firstLineChars="201"/>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2.2.2 评分标准</w:t>
      </w:r>
    </w:p>
    <w:p>
      <w:pPr>
        <w:autoSpaceDE w:val="0"/>
        <w:autoSpaceDN w:val="0"/>
        <w:adjustRightInd w:val="0"/>
        <w:spacing w:before="72" w:line="360" w:lineRule="auto"/>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（1）监理大纲评分标准：见评标办法前附表；</w:t>
      </w:r>
    </w:p>
    <w:p>
      <w:pPr>
        <w:autoSpaceDE w:val="0"/>
        <w:autoSpaceDN w:val="0"/>
        <w:adjustRightInd w:val="0"/>
        <w:spacing w:before="72" w:line="360" w:lineRule="auto"/>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（2）商务</w:t>
      </w:r>
      <w:r>
        <w:rPr>
          <w:rFonts w:hint="eastAsia" w:asciiTheme="minorEastAsia" w:hAnsiTheme="minorEastAsia" w:eastAsiaTheme="minorEastAsia"/>
          <w:kern w:val="0"/>
          <w:sz w:val="24"/>
        </w:rPr>
        <w:t>部分</w:t>
      </w:r>
      <w:r>
        <w:rPr>
          <w:rFonts w:asciiTheme="minorEastAsia" w:hAnsiTheme="minorEastAsia" w:eastAsiaTheme="minorEastAsia"/>
          <w:kern w:val="0"/>
          <w:sz w:val="24"/>
        </w:rPr>
        <w:t>评分标准：见评标办法前附表；</w:t>
      </w:r>
    </w:p>
    <w:p>
      <w:pPr>
        <w:autoSpaceDE w:val="0"/>
        <w:autoSpaceDN w:val="0"/>
        <w:adjustRightInd w:val="0"/>
        <w:spacing w:before="72" w:line="360" w:lineRule="auto"/>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（3）投标报价评分标准：见评标办法前附表。</w:t>
      </w:r>
    </w:p>
    <w:p>
      <w:pPr>
        <w:pStyle w:val="2"/>
      </w:pPr>
      <w:bookmarkStart w:id="739" w:name="_Toc31443"/>
      <w:bookmarkStart w:id="740" w:name="_Toc498503009"/>
      <w:bookmarkStart w:id="741" w:name="_Toc13907"/>
      <w:r>
        <w:t>3.评标程序</w:t>
      </w:r>
      <w:bookmarkEnd w:id="739"/>
      <w:bookmarkEnd w:id="740"/>
      <w:bookmarkEnd w:id="741"/>
    </w:p>
    <w:p>
      <w:pPr>
        <w:spacing w:line="360" w:lineRule="auto"/>
        <w:ind w:firstLine="422"/>
        <w:rPr>
          <w:rFonts w:asciiTheme="minorEastAsia" w:hAnsiTheme="minorEastAsia" w:eastAsiaTheme="minorEastAsia"/>
          <w:b/>
          <w:sz w:val="24"/>
        </w:rPr>
      </w:pPr>
      <w:bookmarkStart w:id="742" w:name="_Toc2120"/>
      <w:r>
        <w:rPr>
          <w:rFonts w:asciiTheme="minorEastAsia" w:hAnsiTheme="minorEastAsia" w:eastAsiaTheme="minorEastAsia"/>
          <w:b/>
          <w:bCs/>
          <w:sz w:val="24"/>
        </w:rPr>
        <w:t>投标人递交投标文件时，须</w:t>
      </w:r>
      <w:r>
        <w:rPr>
          <w:rFonts w:hint="eastAsia" w:asciiTheme="minorEastAsia" w:hAnsiTheme="minorEastAsia" w:eastAsiaTheme="minorEastAsia"/>
          <w:b/>
          <w:bCs/>
          <w:sz w:val="24"/>
        </w:rPr>
        <w:t>同时递交</w:t>
      </w:r>
      <w:r>
        <w:rPr>
          <w:rFonts w:asciiTheme="minorEastAsia" w:hAnsiTheme="minorEastAsia" w:eastAsiaTheme="minorEastAsia"/>
          <w:b/>
          <w:bCs/>
          <w:sz w:val="24"/>
        </w:rPr>
        <w:t>招标文件第六章</w:t>
      </w:r>
      <w:r>
        <w:rPr>
          <w:rFonts w:hint="eastAsia" w:asciiTheme="minorEastAsia" w:hAnsiTheme="minorEastAsia" w:eastAsiaTheme="minorEastAsia"/>
          <w:b/>
          <w:bCs/>
          <w:sz w:val="24"/>
        </w:rPr>
        <w:t>《</w:t>
      </w:r>
      <w:r>
        <w:rPr>
          <w:rFonts w:asciiTheme="minorEastAsia" w:hAnsiTheme="minorEastAsia" w:eastAsiaTheme="minorEastAsia"/>
          <w:b/>
          <w:bCs/>
          <w:sz w:val="24"/>
        </w:rPr>
        <w:t>投标人递交</w:t>
      </w:r>
      <w:r>
        <w:rPr>
          <w:rFonts w:hint="eastAsia" w:asciiTheme="minorEastAsia" w:hAnsiTheme="minorEastAsia" w:eastAsiaTheme="minorEastAsia"/>
          <w:b/>
          <w:bCs/>
          <w:sz w:val="24"/>
        </w:rPr>
        <w:t>资料</w:t>
      </w:r>
      <w:r>
        <w:rPr>
          <w:rFonts w:asciiTheme="minorEastAsia" w:hAnsiTheme="minorEastAsia" w:eastAsiaTheme="minorEastAsia"/>
          <w:b/>
          <w:bCs/>
          <w:sz w:val="24"/>
        </w:rPr>
        <w:t>原件清单</w:t>
      </w:r>
      <w:r>
        <w:rPr>
          <w:rFonts w:hint="eastAsia" w:asciiTheme="minorEastAsia" w:hAnsiTheme="minorEastAsia" w:eastAsiaTheme="minorEastAsia"/>
          <w:b/>
          <w:bCs/>
          <w:sz w:val="24"/>
        </w:rPr>
        <w:t>》</w:t>
      </w:r>
      <w:r>
        <w:rPr>
          <w:rFonts w:asciiTheme="minorEastAsia" w:hAnsiTheme="minorEastAsia" w:eastAsiaTheme="minorEastAsia"/>
          <w:b/>
          <w:bCs/>
          <w:sz w:val="24"/>
        </w:rPr>
        <w:t>及其所提到的全部资料的原件，评标委员会依据投标人提供的清单表及原件对</w:t>
      </w:r>
      <w:r>
        <w:rPr>
          <w:rFonts w:hint="eastAsia" w:asciiTheme="minorEastAsia" w:hAnsiTheme="minorEastAsia" w:eastAsiaTheme="minorEastAsia"/>
          <w:b/>
          <w:bCs/>
          <w:sz w:val="24"/>
        </w:rPr>
        <w:t>相关内容</w:t>
      </w:r>
      <w:r>
        <w:rPr>
          <w:rFonts w:asciiTheme="minorEastAsia" w:hAnsiTheme="minorEastAsia" w:eastAsiaTheme="minorEastAsia"/>
          <w:b/>
          <w:bCs/>
          <w:sz w:val="24"/>
        </w:rPr>
        <w:t>进行评审</w:t>
      </w:r>
      <w:r>
        <w:rPr>
          <w:rFonts w:asciiTheme="minorEastAsia" w:hAnsiTheme="minorEastAsia" w:eastAsiaTheme="minorEastAsia"/>
          <w:b/>
          <w:spacing w:val="1"/>
          <w:kern w:val="0"/>
          <w:sz w:val="24"/>
        </w:rPr>
        <w:t>。</w:t>
      </w:r>
    </w:p>
    <w:p>
      <w:pPr>
        <w:pStyle w:val="4"/>
      </w:pPr>
      <w:bookmarkStart w:id="743" w:name="_Toc13313"/>
      <w:bookmarkStart w:id="744" w:name="_Toc498503010"/>
      <w:bookmarkStart w:id="745" w:name="_Toc30397"/>
      <w:bookmarkStart w:id="746" w:name="_Toc499204916"/>
      <w:bookmarkStart w:id="747" w:name="_Toc499311131"/>
      <w:r>
        <w:t>3.1初步评审</w:t>
      </w:r>
      <w:bookmarkEnd w:id="742"/>
      <w:bookmarkEnd w:id="743"/>
      <w:bookmarkEnd w:id="744"/>
      <w:bookmarkEnd w:id="745"/>
      <w:bookmarkEnd w:id="746"/>
      <w:bookmarkEnd w:id="747"/>
    </w:p>
    <w:p>
      <w:pPr>
        <w:autoSpaceDE w:val="0"/>
        <w:autoSpaceDN w:val="0"/>
        <w:adjustRightInd w:val="0"/>
        <w:spacing w:before="64" w:line="360" w:lineRule="auto"/>
        <w:ind w:left="1" w:right="-20" w:firstLine="423" w:firstLineChars="175"/>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3.1.1评标委员会依据本章第 2.1 款规定的标准对投标文件进行初步评审。有一项不符合评审标准的，作</w:t>
      </w:r>
      <w:r>
        <w:rPr>
          <w:rFonts w:hint="eastAsia" w:asciiTheme="minorEastAsia" w:hAnsiTheme="minorEastAsia" w:eastAsiaTheme="minorEastAsia"/>
          <w:spacing w:val="1"/>
          <w:kern w:val="0"/>
          <w:sz w:val="24"/>
        </w:rPr>
        <w:t>否决投标</w:t>
      </w:r>
      <w:r>
        <w:rPr>
          <w:rFonts w:asciiTheme="minorEastAsia" w:hAnsiTheme="minorEastAsia" w:eastAsiaTheme="minorEastAsia"/>
          <w:spacing w:val="1"/>
          <w:kern w:val="0"/>
          <w:sz w:val="24"/>
        </w:rPr>
        <w:t>处理。</w:t>
      </w:r>
    </w:p>
    <w:p>
      <w:pPr>
        <w:autoSpaceDE w:val="0"/>
        <w:autoSpaceDN w:val="0"/>
        <w:adjustRightInd w:val="0"/>
        <w:spacing w:before="72" w:line="360" w:lineRule="auto"/>
        <w:ind w:left="1" w:right="-20" w:firstLine="423" w:firstLineChars="175"/>
        <w:jc w:val="left"/>
        <w:rPr>
          <w:rFonts w:asciiTheme="minorEastAsia" w:hAnsiTheme="minorEastAsia" w:eastAsiaTheme="minorEastAsia"/>
          <w:kern w:val="0"/>
          <w:sz w:val="24"/>
        </w:rPr>
      </w:pPr>
      <w:r>
        <w:rPr>
          <w:rFonts w:asciiTheme="minorEastAsia" w:hAnsiTheme="minorEastAsia" w:eastAsiaTheme="minorEastAsia"/>
          <w:spacing w:val="1"/>
          <w:kern w:val="0"/>
          <w:sz w:val="24"/>
        </w:rPr>
        <w:t>3.1.2投标人有以下情形之一的，作</w:t>
      </w:r>
      <w:r>
        <w:rPr>
          <w:rFonts w:hint="eastAsia" w:asciiTheme="minorEastAsia" w:hAnsiTheme="minorEastAsia" w:eastAsiaTheme="minorEastAsia"/>
          <w:spacing w:val="1"/>
          <w:kern w:val="0"/>
          <w:sz w:val="24"/>
        </w:rPr>
        <w:t>否决投标</w:t>
      </w:r>
      <w:r>
        <w:rPr>
          <w:rFonts w:asciiTheme="minorEastAsia" w:hAnsiTheme="minorEastAsia" w:eastAsiaTheme="minorEastAsia"/>
          <w:spacing w:val="1"/>
          <w:kern w:val="0"/>
          <w:sz w:val="24"/>
        </w:rPr>
        <w:t>处理：</w:t>
      </w:r>
    </w:p>
    <w:p>
      <w:pPr>
        <w:autoSpaceDE w:val="0"/>
        <w:autoSpaceDN w:val="0"/>
        <w:adjustRightInd w:val="0"/>
        <w:spacing w:before="72" w:line="360" w:lineRule="auto"/>
        <w:ind w:left="1" w:right="-20" w:firstLine="420" w:firstLineChars="175"/>
        <w:jc w:val="left"/>
        <w:rPr>
          <w:rFonts w:asciiTheme="minorEastAsia" w:hAnsiTheme="minorEastAsia" w:eastAsiaTheme="minorEastAsia"/>
          <w:kern w:val="0"/>
          <w:sz w:val="24"/>
        </w:rPr>
      </w:pPr>
      <w:r>
        <w:rPr>
          <w:rFonts w:asciiTheme="minorEastAsia" w:hAnsiTheme="minorEastAsia" w:eastAsiaTheme="minorEastAsia"/>
          <w:kern w:val="0"/>
          <w:sz w:val="24"/>
        </w:rPr>
        <w:t>（</w:t>
      </w:r>
      <w:r>
        <w:rPr>
          <w:rFonts w:hint="eastAsia" w:asciiTheme="minorEastAsia" w:hAnsiTheme="minorEastAsia" w:eastAsiaTheme="minorEastAsia"/>
          <w:kern w:val="0"/>
          <w:sz w:val="24"/>
        </w:rPr>
        <w:t>1</w:t>
      </w:r>
      <w:r>
        <w:rPr>
          <w:rFonts w:asciiTheme="minorEastAsia" w:hAnsiTheme="minorEastAsia" w:eastAsiaTheme="minorEastAsia"/>
          <w:kern w:val="0"/>
          <w:sz w:val="24"/>
        </w:rPr>
        <w:t>）附件B：</w:t>
      </w:r>
      <w:r>
        <w:rPr>
          <w:rFonts w:hint="eastAsia" w:asciiTheme="minorEastAsia" w:hAnsiTheme="minorEastAsia" w:eastAsiaTheme="minorEastAsia"/>
          <w:kern w:val="0"/>
          <w:sz w:val="24"/>
        </w:rPr>
        <w:t>否决投标</w:t>
      </w:r>
      <w:r>
        <w:rPr>
          <w:rFonts w:asciiTheme="minorEastAsia" w:hAnsiTheme="minorEastAsia" w:eastAsiaTheme="minorEastAsia"/>
          <w:kern w:val="0"/>
          <w:sz w:val="24"/>
        </w:rPr>
        <w:t>条件规定的任何一种情形的；</w:t>
      </w:r>
    </w:p>
    <w:p>
      <w:pPr>
        <w:autoSpaceDE w:val="0"/>
        <w:autoSpaceDN w:val="0"/>
        <w:adjustRightInd w:val="0"/>
        <w:spacing w:before="64" w:line="360" w:lineRule="auto"/>
        <w:ind w:left="1" w:right="-20" w:firstLine="423" w:firstLineChars="175"/>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3.1.3 投标报价有算术错误的，评标委员会按以下原则对投标报价进行修正，修正的价格经投标人书面确认后具有约束力。投标人不接受修正价格的，其投标作</w:t>
      </w:r>
      <w:r>
        <w:rPr>
          <w:rFonts w:hint="eastAsia" w:asciiTheme="minorEastAsia" w:hAnsiTheme="minorEastAsia" w:eastAsiaTheme="minorEastAsia"/>
          <w:spacing w:val="1"/>
          <w:kern w:val="0"/>
          <w:sz w:val="24"/>
        </w:rPr>
        <w:t>否决投标</w:t>
      </w:r>
      <w:r>
        <w:rPr>
          <w:rFonts w:asciiTheme="minorEastAsia" w:hAnsiTheme="minorEastAsia" w:eastAsiaTheme="minorEastAsia"/>
          <w:spacing w:val="1"/>
          <w:kern w:val="0"/>
          <w:sz w:val="24"/>
        </w:rPr>
        <w:t>处理。</w:t>
      </w:r>
    </w:p>
    <w:p>
      <w:pPr>
        <w:autoSpaceDE w:val="0"/>
        <w:autoSpaceDN w:val="0"/>
        <w:adjustRightInd w:val="0"/>
        <w:spacing w:before="72" w:line="360" w:lineRule="auto"/>
        <w:ind w:left="1" w:right="-20" w:firstLine="420" w:firstLineChars="175"/>
        <w:jc w:val="left"/>
        <w:rPr>
          <w:rFonts w:asciiTheme="minorEastAsia" w:hAnsiTheme="minorEastAsia" w:eastAsiaTheme="minorEastAsia"/>
          <w:kern w:val="0"/>
          <w:sz w:val="24"/>
        </w:rPr>
      </w:pPr>
      <w:r>
        <w:rPr>
          <w:rFonts w:asciiTheme="minorEastAsia" w:hAnsiTheme="minorEastAsia" w:eastAsiaTheme="minorEastAsia"/>
          <w:kern w:val="0"/>
          <w:sz w:val="24"/>
        </w:rPr>
        <w:t>（1）投标文件中</w:t>
      </w:r>
      <w:r>
        <w:rPr>
          <w:rFonts w:hint="eastAsia" w:asciiTheme="minorEastAsia" w:hAnsiTheme="minorEastAsia" w:eastAsiaTheme="minorEastAsia"/>
          <w:kern w:val="0"/>
          <w:sz w:val="24"/>
        </w:rPr>
        <w:t>投标报价</w:t>
      </w:r>
      <w:r>
        <w:rPr>
          <w:rFonts w:asciiTheme="minorEastAsia" w:hAnsiTheme="minorEastAsia" w:eastAsiaTheme="minorEastAsia"/>
          <w:kern w:val="0"/>
          <w:sz w:val="24"/>
        </w:rPr>
        <w:t>的大写</w:t>
      </w:r>
      <w:r>
        <w:rPr>
          <w:rFonts w:hint="eastAsia" w:asciiTheme="minorEastAsia" w:hAnsiTheme="minorEastAsia" w:eastAsiaTheme="minorEastAsia"/>
          <w:kern w:val="0"/>
          <w:sz w:val="24"/>
        </w:rPr>
        <w:t>方式</w:t>
      </w:r>
      <w:r>
        <w:rPr>
          <w:rFonts w:asciiTheme="minorEastAsia" w:hAnsiTheme="minorEastAsia" w:eastAsiaTheme="minorEastAsia"/>
          <w:kern w:val="0"/>
          <w:sz w:val="24"/>
        </w:rPr>
        <w:t>与小写</w:t>
      </w:r>
      <w:r>
        <w:rPr>
          <w:rFonts w:hint="eastAsia" w:asciiTheme="minorEastAsia" w:hAnsiTheme="minorEastAsia" w:eastAsiaTheme="minorEastAsia"/>
          <w:kern w:val="0"/>
          <w:sz w:val="24"/>
        </w:rPr>
        <w:t>方式</w:t>
      </w:r>
      <w:r>
        <w:rPr>
          <w:rFonts w:asciiTheme="minorEastAsia" w:hAnsiTheme="minorEastAsia" w:eastAsiaTheme="minorEastAsia"/>
          <w:kern w:val="0"/>
          <w:sz w:val="24"/>
        </w:rPr>
        <w:t>不一致的，以大写</w:t>
      </w:r>
      <w:r>
        <w:rPr>
          <w:rFonts w:hint="eastAsia" w:asciiTheme="minorEastAsia" w:hAnsiTheme="minorEastAsia" w:eastAsiaTheme="minorEastAsia"/>
          <w:kern w:val="0"/>
          <w:sz w:val="24"/>
        </w:rPr>
        <w:t>方式</w:t>
      </w:r>
      <w:r>
        <w:rPr>
          <w:rFonts w:asciiTheme="minorEastAsia" w:hAnsiTheme="minorEastAsia" w:eastAsiaTheme="minorEastAsia"/>
          <w:kern w:val="0"/>
          <w:sz w:val="24"/>
        </w:rPr>
        <w:t>为准</w:t>
      </w:r>
      <w:r>
        <w:rPr>
          <w:rFonts w:hint="eastAsia" w:asciiTheme="minorEastAsia" w:hAnsiTheme="minorEastAsia" w:eastAsiaTheme="minorEastAsia"/>
          <w:kern w:val="0"/>
          <w:sz w:val="24"/>
        </w:rPr>
        <w:t>。</w:t>
      </w:r>
    </w:p>
    <w:p>
      <w:pPr>
        <w:autoSpaceDE w:val="0"/>
        <w:autoSpaceDN w:val="0"/>
        <w:adjustRightInd w:val="0"/>
        <w:spacing w:before="72" w:line="360" w:lineRule="auto"/>
        <w:ind w:left="1" w:right="-20" w:firstLine="420" w:firstLineChars="175"/>
        <w:jc w:val="left"/>
        <w:rPr>
          <w:rFonts w:asciiTheme="minorEastAsia" w:hAnsiTheme="minorEastAsia" w:eastAsiaTheme="minorEastAsia"/>
          <w:kern w:val="0"/>
          <w:sz w:val="24"/>
        </w:rPr>
      </w:pPr>
      <w:r>
        <w:rPr>
          <w:rFonts w:hint="eastAsia" w:asciiTheme="minorEastAsia" w:hAnsiTheme="minorEastAsia" w:eastAsiaTheme="minorEastAsia"/>
          <w:kern w:val="0"/>
          <w:sz w:val="24"/>
        </w:rPr>
        <w:t>（2）无论出现何种情况，</w:t>
      </w:r>
      <w:r>
        <w:rPr>
          <w:rFonts w:asciiTheme="minorEastAsia" w:hAnsiTheme="minorEastAsia" w:eastAsiaTheme="minorEastAsia"/>
          <w:kern w:val="0"/>
          <w:sz w:val="24"/>
        </w:rPr>
        <w:t>投标文件中</w:t>
      </w:r>
      <w:r>
        <w:rPr>
          <w:rFonts w:hint="eastAsia" w:asciiTheme="minorEastAsia" w:hAnsiTheme="minorEastAsia" w:eastAsiaTheme="minorEastAsia"/>
          <w:kern w:val="0"/>
          <w:sz w:val="24"/>
        </w:rPr>
        <w:t>投标报价均以所报费率为准。</w:t>
      </w:r>
    </w:p>
    <w:p>
      <w:pPr>
        <w:autoSpaceDE w:val="0"/>
        <w:autoSpaceDN w:val="0"/>
        <w:adjustRightInd w:val="0"/>
        <w:spacing w:before="72" w:line="360" w:lineRule="auto"/>
        <w:ind w:left="1" w:right="-20" w:firstLine="423" w:firstLineChars="175"/>
        <w:jc w:val="left"/>
        <w:rPr>
          <w:rFonts w:asciiTheme="minorEastAsia" w:hAnsiTheme="minorEastAsia" w:eastAsiaTheme="minorEastAsia"/>
          <w:kern w:val="0"/>
          <w:sz w:val="24"/>
        </w:rPr>
      </w:pPr>
      <w:r>
        <w:rPr>
          <w:rFonts w:asciiTheme="minorEastAsia" w:hAnsiTheme="minorEastAsia" w:eastAsiaTheme="minorEastAsia"/>
          <w:spacing w:val="1"/>
          <w:kern w:val="0"/>
          <w:sz w:val="24"/>
        </w:rPr>
        <w:t>3.</w:t>
      </w:r>
      <w:r>
        <w:rPr>
          <w:rFonts w:hint="eastAsia" w:asciiTheme="minorEastAsia" w:hAnsiTheme="minorEastAsia" w:eastAsiaTheme="minorEastAsia"/>
          <w:spacing w:val="1"/>
          <w:kern w:val="0"/>
          <w:sz w:val="24"/>
        </w:rPr>
        <w:t>1</w:t>
      </w:r>
      <w:r>
        <w:rPr>
          <w:rFonts w:asciiTheme="minorEastAsia" w:hAnsiTheme="minorEastAsia" w:eastAsiaTheme="minorEastAsia"/>
          <w:spacing w:val="1"/>
          <w:kern w:val="0"/>
          <w:sz w:val="24"/>
        </w:rPr>
        <w:t>.4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w:t>
      </w:r>
      <w:r>
        <w:rPr>
          <w:rFonts w:hint="eastAsia" w:asciiTheme="minorEastAsia" w:hAnsiTheme="minorEastAsia" w:eastAsiaTheme="minorEastAsia"/>
          <w:spacing w:val="1"/>
          <w:kern w:val="0"/>
          <w:sz w:val="24"/>
        </w:rPr>
        <w:t>否决投标</w:t>
      </w:r>
      <w:r>
        <w:rPr>
          <w:rFonts w:asciiTheme="minorEastAsia" w:hAnsiTheme="minorEastAsia" w:eastAsiaTheme="minorEastAsia"/>
          <w:spacing w:val="1"/>
          <w:kern w:val="0"/>
          <w:sz w:val="24"/>
        </w:rPr>
        <w:t>处理。</w:t>
      </w:r>
    </w:p>
    <w:p>
      <w:pPr>
        <w:pStyle w:val="4"/>
      </w:pPr>
      <w:bookmarkStart w:id="748" w:name="_Toc3900"/>
      <w:bookmarkStart w:id="749" w:name="_Toc499204917"/>
      <w:bookmarkStart w:id="750" w:name="_Toc498503011"/>
      <w:bookmarkStart w:id="751" w:name="_Toc499311132"/>
      <w:bookmarkStart w:id="752" w:name="_Toc18654"/>
      <w:bookmarkStart w:id="753" w:name="_Toc9084"/>
      <w:r>
        <w:t>3.2详细评审</w:t>
      </w:r>
      <w:bookmarkEnd w:id="748"/>
      <w:bookmarkEnd w:id="749"/>
      <w:bookmarkEnd w:id="750"/>
      <w:bookmarkEnd w:id="751"/>
      <w:bookmarkEnd w:id="752"/>
      <w:bookmarkEnd w:id="753"/>
    </w:p>
    <w:p>
      <w:pPr>
        <w:autoSpaceDE w:val="0"/>
        <w:autoSpaceDN w:val="0"/>
        <w:adjustRightInd w:val="0"/>
        <w:spacing w:before="64" w:line="360" w:lineRule="auto"/>
        <w:ind w:left="1" w:right="-20" w:firstLine="423" w:firstLineChars="175"/>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3.2.1评标委员会按本章第2.2款规定的量化因素和分值进行打分，并计算出综合评估得分。</w:t>
      </w:r>
    </w:p>
    <w:p>
      <w:pPr>
        <w:autoSpaceDE w:val="0"/>
        <w:autoSpaceDN w:val="0"/>
        <w:adjustRightInd w:val="0"/>
        <w:spacing w:before="72" w:line="360" w:lineRule="auto"/>
        <w:ind w:left="1" w:right="-200"/>
        <w:jc w:val="left"/>
        <w:rPr>
          <w:rFonts w:asciiTheme="minorEastAsia" w:hAnsiTheme="minorEastAsia" w:eastAsiaTheme="minorEastAsia"/>
          <w:kern w:val="0"/>
          <w:sz w:val="24"/>
        </w:rPr>
      </w:pPr>
      <w:r>
        <w:rPr>
          <w:rFonts w:asciiTheme="minorEastAsia" w:hAnsiTheme="minorEastAsia" w:eastAsiaTheme="minorEastAsia"/>
          <w:kern w:val="0"/>
          <w:sz w:val="24"/>
        </w:rPr>
        <w:t>（1）按本章第2.2.2（1）目规定的评审因素和分值对监理大纲打分计算出得分A</w:t>
      </w:r>
      <w:r>
        <w:rPr>
          <w:rFonts w:hint="eastAsia" w:asciiTheme="minorEastAsia" w:hAnsiTheme="minorEastAsia" w:eastAsiaTheme="minorEastAsia"/>
          <w:kern w:val="0"/>
          <w:sz w:val="24"/>
        </w:rPr>
        <w:t>。</w:t>
      </w:r>
    </w:p>
    <w:p>
      <w:pPr>
        <w:autoSpaceDE w:val="0"/>
        <w:autoSpaceDN w:val="0"/>
        <w:adjustRightInd w:val="0"/>
        <w:spacing w:before="72" w:line="360" w:lineRule="auto"/>
        <w:ind w:left="1" w:right="-200"/>
        <w:jc w:val="left"/>
        <w:rPr>
          <w:rFonts w:asciiTheme="minorEastAsia" w:hAnsiTheme="minorEastAsia" w:eastAsiaTheme="minorEastAsia"/>
          <w:kern w:val="0"/>
          <w:sz w:val="24"/>
        </w:rPr>
      </w:pPr>
      <w:r>
        <w:rPr>
          <w:rFonts w:asciiTheme="minorEastAsia" w:hAnsiTheme="minorEastAsia" w:eastAsiaTheme="minorEastAsia"/>
          <w:kern w:val="0"/>
          <w:sz w:val="24"/>
        </w:rPr>
        <w:t>（2）按本章第2.2.2（2）目规定的评审因素和分值对商务文件打分计算出得分B</w:t>
      </w:r>
      <w:r>
        <w:rPr>
          <w:rFonts w:hint="eastAsia" w:asciiTheme="minorEastAsia" w:hAnsiTheme="minorEastAsia" w:eastAsiaTheme="minorEastAsia"/>
          <w:kern w:val="0"/>
          <w:sz w:val="24"/>
        </w:rPr>
        <w:t>。</w:t>
      </w:r>
    </w:p>
    <w:p>
      <w:pPr>
        <w:autoSpaceDE w:val="0"/>
        <w:autoSpaceDN w:val="0"/>
        <w:adjustRightInd w:val="0"/>
        <w:spacing w:before="72" w:line="360" w:lineRule="auto"/>
        <w:ind w:left="1" w:right="-200"/>
        <w:jc w:val="left"/>
        <w:rPr>
          <w:rFonts w:asciiTheme="minorEastAsia" w:hAnsiTheme="minorEastAsia" w:eastAsiaTheme="minorEastAsia"/>
          <w:kern w:val="0"/>
          <w:sz w:val="24"/>
        </w:rPr>
      </w:pPr>
      <w:r>
        <w:rPr>
          <w:rFonts w:asciiTheme="minorEastAsia" w:hAnsiTheme="minorEastAsia" w:eastAsiaTheme="minorEastAsia"/>
          <w:kern w:val="0"/>
          <w:sz w:val="24"/>
        </w:rPr>
        <w:t>（3）按本章第2.2.2（3）目规定的评审因素和分值对投标报价打分计算出得分C</w:t>
      </w:r>
      <w:r>
        <w:rPr>
          <w:rFonts w:hint="eastAsia" w:asciiTheme="minorEastAsia" w:hAnsiTheme="minorEastAsia" w:eastAsiaTheme="minorEastAsia"/>
          <w:kern w:val="0"/>
          <w:sz w:val="24"/>
        </w:rPr>
        <w:t>。</w:t>
      </w:r>
    </w:p>
    <w:p>
      <w:pPr>
        <w:autoSpaceDE w:val="0"/>
        <w:autoSpaceDN w:val="0"/>
        <w:adjustRightInd w:val="0"/>
        <w:spacing w:before="64" w:line="360" w:lineRule="auto"/>
        <w:ind w:left="1" w:right="-20" w:firstLine="423" w:firstLineChars="175"/>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3.2.2评分分值计算保留小数点后两位，小数点后第三位</w:t>
      </w:r>
      <w:r>
        <w:rPr>
          <w:rFonts w:hint="eastAsia" w:asciiTheme="minorEastAsia" w:hAnsiTheme="minorEastAsia" w:eastAsiaTheme="minorEastAsia"/>
          <w:spacing w:val="1"/>
          <w:kern w:val="0"/>
          <w:sz w:val="24"/>
        </w:rPr>
        <w:t>“</w:t>
      </w:r>
      <w:r>
        <w:rPr>
          <w:rFonts w:asciiTheme="minorEastAsia" w:hAnsiTheme="minorEastAsia" w:eastAsiaTheme="minorEastAsia"/>
          <w:spacing w:val="1"/>
          <w:kern w:val="0"/>
          <w:sz w:val="24"/>
        </w:rPr>
        <w:t>四舍五入</w:t>
      </w:r>
      <w:r>
        <w:rPr>
          <w:rFonts w:hint="eastAsia" w:asciiTheme="minorEastAsia" w:hAnsiTheme="minorEastAsia" w:eastAsiaTheme="minorEastAsia"/>
          <w:spacing w:val="1"/>
          <w:kern w:val="0"/>
          <w:sz w:val="24"/>
        </w:rPr>
        <w:t>”</w:t>
      </w:r>
      <w:r>
        <w:rPr>
          <w:rFonts w:asciiTheme="minorEastAsia" w:hAnsiTheme="minorEastAsia" w:eastAsiaTheme="minorEastAsia"/>
          <w:spacing w:val="1"/>
          <w:kern w:val="0"/>
          <w:sz w:val="24"/>
        </w:rPr>
        <w:t>。</w:t>
      </w:r>
    </w:p>
    <w:p>
      <w:pPr>
        <w:autoSpaceDE w:val="0"/>
        <w:autoSpaceDN w:val="0"/>
        <w:adjustRightInd w:val="0"/>
        <w:spacing w:before="64" w:line="360" w:lineRule="auto"/>
        <w:ind w:left="1" w:right="-20" w:firstLine="423" w:firstLineChars="175"/>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3.2.3投标人得分=A+B+C。</w:t>
      </w:r>
    </w:p>
    <w:p>
      <w:pPr>
        <w:pStyle w:val="4"/>
        <w:ind w:left="1" w:firstLine="422" w:firstLineChars="175"/>
      </w:pPr>
      <w:bookmarkStart w:id="754" w:name="_Toc499204918"/>
      <w:bookmarkStart w:id="755" w:name="_Toc498503012"/>
      <w:bookmarkStart w:id="756" w:name="_Toc4890"/>
      <w:bookmarkStart w:id="757" w:name="_Toc31343"/>
      <w:bookmarkStart w:id="758" w:name="_Toc499311133"/>
      <w:bookmarkStart w:id="759" w:name="_Toc23740"/>
      <w:r>
        <w:t>3.3投标文件的澄清和补正</w:t>
      </w:r>
      <w:bookmarkEnd w:id="754"/>
      <w:bookmarkEnd w:id="755"/>
      <w:bookmarkEnd w:id="756"/>
      <w:bookmarkEnd w:id="757"/>
      <w:bookmarkEnd w:id="758"/>
      <w:bookmarkEnd w:id="759"/>
    </w:p>
    <w:p>
      <w:pPr>
        <w:autoSpaceDE w:val="0"/>
        <w:autoSpaceDN w:val="0"/>
        <w:adjustRightInd w:val="0"/>
        <w:spacing w:before="64" w:line="360" w:lineRule="auto"/>
        <w:ind w:left="1" w:right="-20" w:firstLine="423" w:firstLineChars="175"/>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3.3.1在评标过程中，评标委员会可以书面形式要求投标人对所提交投标文件中不明确的内容进行书面澄清或说明，或者对细微偏差进行补正。评标委员会不接受投标人主动提出的澄清、说明或补正。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pacing w:before="64" w:line="360" w:lineRule="auto"/>
        <w:ind w:left="1" w:right="-20" w:firstLine="423" w:firstLineChars="175"/>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3.3.2澄清、说明和补正不得改变投标文件的实质性内容（算术性错误修正的除外）。投标人的书面澄清、说明和补正属于投标文件的组成部分。</w:t>
      </w:r>
    </w:p>
    <w:p>
      <w:pPr>
        <w:autoSpaceDE w:val="0"/>
        <w:autoSpaceDN w:val="0"/>
        <w:adjustRightInd w:val="0"/>
        <w:spacing w:before="64" w:line="360" w:lineRule="auto"/>
        <w:ind w:left="1" w:right="-20" w:firstLine="423" w:firstLineChars="175"/>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3.3.3评标委员会对投标人提交的澄清、说明或补正有疑问的，可以要求投标人进一步澄清、说明或补正，直至满足评标委员会的要求。</w:t>
      </w:r>
    </w:p>
    <w:p>
      <w:pPr>
        <w:pStyle w:val="4"/>
        <w:ind w:left="1" w:firstLine="422" w:firstLineChars="175"/>
      </w:pPr>
      <w:bookmarkStart w:id="760" w:name="_Toc498503013"/>
      <w:bookmarkStart w:id="761" w:name="_Toc499204919"/>
      <w:bookmarkStart w:id="762" w:name="_Toc21218"/>
      <w:bookmarkStart w:id="763" w:name="_Toc7362"/>
      <w:bookmarkStart w:id="764" w:name="_Toc3157"/>
      <w:bookmarkStart w:id="765" w:name="_Toc499311134"/>
      <w:r>
        <w:t>3.4评标结果</w:t>
      </w:r>
      <w:bookmarkEnd w:id="760"/>
      <w:bookmarkEnd w:id="761"/>
      <w:bookmarkEnd w:id="762"/>
      <w:bookmarkEnd w:id="763"/>
      <w:bookmarkEnd w:id="764"/>
      <w:bookmarkEnd w:id="765"/>
    </w:p>
    <w:p>
      <w:pPr>
        <w:autoSpaceDE w:val="0"/>
        <w:autoSpaceDN w:val="0"/>
        <w:adjustRightInd w:val="0"/>
        <w:spacing w:before="64" w:line="360" w:lineRule="auto"/>
        <w:ind w:left="1" w:right="-20" w:firstLine="423" w:firstLineChars="175"/>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3.4.1除第二章</w:t>
      </w:r>
      <w:r>
        <w:rPr>
          <w:rFonts w:hint="eastAsia" w:asciiTheme="minorEastAsia" w:hAnsiTheme="minorEastAsia" w:eastAsiaTheme="minorEastAsia"/>
          <w:spacing w:val="1"/>
          <w:kern w:val="0"/>
          <w:sz w:val="24"/>
        </w:rPr>
        <w:t>“</w:t>
      </w:r>
      <w:r>
        <w:rPr>
          <w:rFonts w:asciiTheme="minorEastAsia" w:hAnsiTheme="minorEastAsia" w:eastAsiaTheme="minorEastAsia"/>
          <w:spacing w:val="1"/>
          <w:kern w:val="0"/>
          <w:sz w:val="24"/>
        </w:rPr>
        <w:t>投标人须知</w:t>
      </w:r>
      <w:r>
        <w:rPr>
          <w:rFonts w:hint="eastAsia" w:asciiTheme="minorEastAsia" w:hAnsiTheme="minorEastAsia" w:eastAsiaTheme="minorEastAsia"/>
          <w:spacing w:val="1"/>
          <w:kern w:val="0"/>
          <w:sz w:val="24"/>
        </w:rPr>
        <w:t>”</w:t>
      </w:r>
      <w:r>
        <w:rPr>
          <w:rFonts w:asciiTheme="minorEastAsia" w:hAnsiTheme="minorEastAsia" w:eastAsiaTheme="minorEastAsia"/>
          <w:spacing w:val="1"/>
          <w:kern w:val="0"/>
          <w:sz w:val="24"/>
        </w:rPr>
        <w:t>前附表授权直接确定中标人外，评标委员会按照得分由高到低的顺序</w:t>
      </w:r>
      <w:r>
        <w:rPr>
          <w:rFonts w:hint="eastAsia" w:asciiTheme="minorEastAsia" w:hAnsiTheme="minorEastAsia" w:eastAsiaTheme="minorEastAsia"/>
          <w:spacing w:val="1"/>
          <w:kern w:val="0"/>
          <w:sz w:val="24"/>
        </w:rPr>
        <w:t>并依据第二章“投标人须知”前附表第7.1款要求推荐中标候选人</w:t>
      </w:r>
      <w:r>
        <w:rPr>
          <w:rFonts w:asciiTheme="minorEastAsia" w:hAnsiTheme="minorEastAsia" w:eastAsiaTheme="minorEastAsia"/>
          <w:spacing w:val="1"/>
          <w:kern w:val="0"/>
          <w:sz w:val="24"/>
        </w:rPr>
        <w:t>。</w:t>
      </w:r>
    </w:p>
    <w:p>
      <w:pPr>
        <w:autoSpaceDE w:val="0"/>
        <w:autoSpaceDN w:val="0"/>
        <w:adjustRightInd w:val="0"/>
        <w:spacing w:before="64" w:line="360" w:lineRule="auto"/>
        <w:ind w:left="1" w:right="-20" w:firstLine="423" w:firstLineChars="175"/>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3.4.2评标委员会完成评标后，应当向招标人提交书面评标报告。</w:t>
      </w:r>
    </w:p>
    <w:p/>
    <w:p/>
    <w:p/>
    <w:p/>
    <w:p/>
    <w:p/>
    <w:p/>
    <w:p/>
    <w:p/>
    <w:p/>
    <w:p/>
    <w:p/>
    <w:p/>
    <w:p/>
    <w:p/>
    <w:p/>
    <w:p/>
    <w:p/>
    <w:p/>
    <w:p/>
    <w:p/>
    <w:p/>
    <w:p/>
    <w:p/>
    <w:p/>
    <w:p/>
    <w:p/>
    <w:p/>
    <w:p/>
    <w:p/>
    <w:p/>
    <w:p/>
    <w:p/>
    <w:p/>
    <w:p/>
    <w:p/>
    <w:p>
      <w:pPr>
        <w:pStyle w:val="2"/>
      </w:pPr>
      <w:bookmarkStart w:id="766" w:name="_Toc21868"/>
      <w:bookmarkStart w:id="767" w:name="_Toc25874"/>
      <w:bookmarkStart w:id="768" w:name="_Toc14971"/>
      <w:bookmarkStart w:id="769" w:name="_Toc25413"/>
      <w:bookmarkStart w:id="770" w:name="_Toc17461"/>
      <w:bookmarkStart w:id="771" w:name="_Toc11599"/>
      <w:bookmarkStart w:id="772" w:name="_Toc498503014"/>
      <w:bookmarkStart w:id="773" w:name="_Toc25006"/>
      <w:r>
        <w:t>附件A：评标详细程序</w:t>
      </w:r>
      <w:bookmarkEnd w:id="766"/>
      <w:bookmarkEnd w:id="767"/>
      <w:bookmarkEnd w:id="768"/>
      <w:bookmarkEnd w:id="769"/>
      <w:bookmarkEnd w:id="770"/>
      <w:bookmarkEnd w:id="771"/>
      <w:bookmarkEnd w:id="772"/>
      <w:bookmarkEnd w:id="773"/>
    </w:p>
    <w:p>
      <w:pPr>
        <w:pStyle w:val="4"/>
      </w:pPr>
      <w:bookmarkStart w:id="774" w:name="_Toc27375"/>
      <w:bookmarkStart w:id="775" w:name="_Toc343"/>
      <w:bookmarkStart w:id="776" w:name="_Toc499204921"/>
      <w:bookmarkStart w:id="777" w:name="_Toc4421"/>
      <w:bookmarkStart w:id="778" w:name="_Toc27781"/>
      <w:bookmarkStart w:id="779" w:name="_Toc16157"/>
      <w:bookmarkStart w:id="780" w:name="_Toc296520749"/>
      <w:bookmarkStart w:id="781" w:name="_Toc23546"/>
      <w:bookmarkStart w:id="782" w:name="_Toc499311136"/>
      <w:bookmarkStart w:id="783" w:name="_Toc498503015"/>
      <w:r>
        <w:t>1.总则</w:t>
      </w:r>
      <w:bookmarkEnd w:id="774"/>
      <w:bookmarkEnd w:id="775"/>
      <w:bookmarkEnd w:id="776"/>
      <w:bookmarkEnd w:id="777"/>
      <w:bookmarkEnd w:id="778"/>
      <w:bookmarkEnd w:id="779"/>
      <w:bookmarkEnd w:id="780"/>
      <w:bookmarkEnd w:id="781"/>
      <w:bookmarkEnd w:id="782"/>
      <w:bookmarkEnd w:id="783"/>
    </w:p>
    <w:p>
      <w:pPr>
        <w:autoSpaceDE w:val="0"/>
        <w:autoSpaceDN w:val="0"/>
        <w:adjustRightInd w:val="0"/>
        <w:spacing w:before="10" w:line="360" w:lineRule="auto"/>
        <w:ind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1.1为加强</w:t>
      </w:r>
      <w:r>
        <w:rPr>
          <w:rFonts w:hint="eastAsia" w:asciiTheme="minorEastAsia" w:hAnsiTheme="minorEastAsia" w:eastAsiaTheme="minorEastAsia"/>
          <w:spacing w:val="1"/>
          <w:kern w:val="0"/>
          <w:sz w:val="24"/>
        </w:rPr>
        <w:t>郑州机场至许昌市域铁路工程许昌段建设项目(施工总承包)监理（第三标段）</w:t>
      </w:r>
      <w:r>
        <w:rPr>
          <w:rFonts w:asciiTheme="minorEastAsia" w:hAnsiTheme="minorEastAsia" w:eastAsiaTheme="minorEastAsia"/>
          <w:spacing w:val="1"/>
          <w:kern w:val="0"/>
          <w:sz w:val="24"/>
        </w:rPr>
        <w:t>的评标工作，以期达到工程质量合格、造价合理、工期适当的总目标，依据《中华人民共和国招标投标法》及相关法规、文件特制定本评标办法。</w:t>
      </w:r>
    </w:p>
    <w:p>
      <w:pPr>
        <w:autoSpaceDE w:val="0"/>
        <w:autoSpaceDN w:val="0"/>
        <w:adjustRightInd w:val="0"/>
        <w:spacing w:before="10" w:line="360" w:lineRule="auto"/>
        <w:ind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1.2本工程评标委员会按公平、公正、科学、择优的原则进行评标。</w:t>
      </w:r>
    </w:p>
    <w:p>
      <w:pPr>
        <w:autoSpaceDE w:val="0"/>
        <w:autoSpaceDN w:val="0"/>
        <w:adjustRightInd w:val="0"/>
        <w:spacing w:before="10" w:line="360" w:lineRule="auto"/>
        <w:ind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1.3</w:t>
      </w:r>
      <w:r>
        <w:rPr>
          <w:rFonts w:hint="eastAsia" w:asciiTheme="minorEastAsia" w:hAnsiTheme="minorEastAsia" w:eastAsiaTheme="minorEastAsia"/>
          <w:spacing w:val="1"/>
          <w:kern w:val="0"/>
          <w:sz w:val="24"/>
        </w:rPr>
        <w:t xml:space="preserve"> 许昌</w:t>
      </w:r>
      <w:r>
        <w:rPr>
          <w:rFonts w:asciiTheme="minorEastAsia" w:hAnsiTheme="minorEastAsia" w:eastAsiaTheme="minorEastAsia"/>
          <w:spacing w:val="1"/>
          <w:kern w:val="0"/>
          <w:sz w:val="24"/>
        </w:rPr>
        <w:t>市建设工程招标投标管理部门对工程的开标、评标、定标实施监督管理。</w:t>
      </w:r>
      <w:bookmarkStart w:id="784" w:name="_Toc10117"/>
      <w:bookmarkStart w:id="785" w:name="_Toc13889"/>
      <w:bookmarkStart w:id="786" w:name="_Toc296520750"/>
      <w:bookmarkStart w:id="787" w:name="_Toc11485"/>
    </w:p>
    <w:p>
      <w:pPr>
        <w:pStyle w:val="4"/>
      </w:pPr>
      <w:bookmarkStart w:id="788" w:name="_Toc3597"/>
      <w:bookmarkStart w:id="789" w:name="_Toc499204922"/>
      <w:bookmarkStart w:id="790" w:name="_Toc499311137"/>
      <w:bookmarkStart w:id="791" w:name="_Toc9247"/>
      <w:bookmarkStart w:id="792" w:name="_Toc15621"/>
      <w:bookmarkStart w:id="793" w:name="_Toc498503016"/>
      <w:r>
        <w:t>2.评标委员会的组成和工作</w:t>
      </w:r>
      <w:bookmarkEnd w:id="784"/>
      <w:bookmarkEnd w:id="785"/>
      <w:bookmarkEnd w:id="786"/>
      <w:bookmarkEnd w:id="787"/>
      <w:bookmarkEnd w:id="788"/>
      <w:bookmarkEnd w:id="789"/>
      <w:bookmarkEnd w:id="790"/>
      <w:bookmarkEnd w:id="791"/>
      <w:bookmarkEnd w:id="792"/>
      <w:bookmarkEnd w:id="793"/>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2.1招标人依据有关法律法规组成评标委员会。</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2.2招标人将按国家、河南省和</w:t>
      </w:r>
      <w:r>
        <w:rPr>
          <w:rFonts w:hint="eastAsia" w:asciiTheme="minorEastAsia" w:hAnsiTheme="minorEastAsia" w:eastAsiaTheme="minorEastAsia"/>
          <w:spacing w:val="1"/>
          <w:kern w:val="0"/>
          <w:sz w:val="24"/>
        </w:rPr>
        <w:t>许昌</w:t>
      </w:r>
      <w:r>
        <w:rPr>
          <w:rFonts w:asciiTheme="minorEastAsia" w:hAnsiTheme="minorEastAsia" w:eastAsiaTheme="minorEastAsia"/>
          <w:spacing w:val="1"/>
          <w:kern w:val="0"/>
          <w:sz w:val="24"/>
        </w:rPr>
        <w:t>市有关法律法规的要求</w:t>
      </w:r>
      <w:r>
        <w:rPr>
          <w:rFonts w:hint="eastAsia" w:asciiTheme="minorEastAsia" w:hAnsiTheme="minorEastAsia" w:eastAsiaTheme="minorEastAsia"/>
          <w:spacing w:val="1"/>
          <w:kern w:val="0"/>
          <w:sz w:val="24"/>
        </w:rPr>
        <w:t>及招标文件的规定</w:t>
      </w:r>
      <w:r>
        <w:rPr>
          <w:rFonts w:asciiTheme="minorEastAsia" w:hAnsiTheme="minorEastAsia" w:eastAsiaTheme="minorEastAsia"/>
          <w:spacing w:val="1"/>
          <w:kern w:val="0"/>
          <w:sz w:val="24"/>
        </w:rPr>
        <w:t>，组建评标委员会，其中技术经济专家由招标人从满足本工程需要的专家库抽取。</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2.3保密与纪律要求：评审期间，评审人员必须严格遵守保密规定，不得泄露与评审有关的情况，不得索贿受贿，不得参加影响公正评审的任何活动。评审人员与投标人存在经济利益关系的，应主动提出回避。</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2.4评审活动接受</w:t>
      </w:r>
      <w:r>
        <w:rPr>
          <w:rFonts w:hint="eastAsia" w:asciiTheme="minorEastAsia" w:hAnsiTheme="minorEastAsia" w:eastAsiaTheme="minorEastAsia"/>
          <w:spacing w:val="1"/>
          <w:kern w:val="0"/>
          <w:sz w:val="24"/>
        </w:rPr>
        <w:t>许昌</w:t>
      </w:r>
      <w:r>
        <w:rPr>
          <w:rFonts w:asciiTheme="minorEastAsia" w:hAnsiTheme="minorEastAsia" w:eastAsiaTheme="minorEastAsia"/>
          <w:spacing w:val="1"/>
          <w:kern w:val="0"/>
          <w:sz w:val="24"/>
        </w:rPr>
        <w:t>市建设工程招标投标管理部门和招标人纪检监察部门的监督管理。</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2.5投标人不得采取任何方式干扰评审工作。</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2.6评标委员会代表招标人，对实质上符合招标要求的投标文件进行评审。</w:t>
      </w:r>
      <w:bookmarkStart w:id="794" w:name="_Toc3750"/>
      <w:bookmarkStart w:id="795" w:name="_Toc296520751"/>
      <w:bookmarkStart w:id="796" w:name="_Toc10989"/>
      <w:bookmarkStart w:id="797" w:name="_Toc26542"/>
    </w:p>
    <w:p>
      <w:pPr>
        <w:pStyle w:val="4"/>
      </w:pPr>
      <w:bookmarkStart w:id="798" w:name="_Toc499204923"/>
      <w:bookmarkStart w:id="799" w:name="_Toc17593"/>
      <w:bookmarkStart w:id="800" w:name="_Toc21314"/>
      <w:bookmarkStart w:id="801" w:name="_Toc499311138"/>
      <w:bookmarkStart w:id="802" w:name="_Toc11567"/>
      <w:bookmarkStart w:id="803" w:name="_Toc498503017"/>
      <w:r>
        <w:t>3.评标程序</w:t>
      </w:r>
      <w:bookmarkEnd w:id="794"/>
      <w:bookmarkEnd w:id="795"/>
      <w:bookmarkEnd w:id="796"/>
      <w:bookmarkEnd w:id="797"/>
      <w:bookmarkEnd w:id="798"/>
      <w:bookmarkEnd w:id="799"/>
      <w:bookmarkEnd w:id="800"/>
      <w:bookmarkEnd w:id="801"/>
      <w:bookmarkEnd w:id="802"/>
      <w:bookmarkEnd w:id="803"/>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3.1评标准备与初步评审</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3.2详细评审</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3.3投标文件的澄清和补正</w:t>
      </w:r>
    </w:p>
    <w:p>
      <w:pPr>
        <w:autoSpaceDE w:val="0"/>
        <w:autoSpaceDN w:val="0"/>
        <w:adjustRightInd w:val="0"/>
        <w:spacing w:before="10" w:line="360" w:lineRule="auto"/>
        <w:ind w:left="120" w:right="-89" w:firstLine="424"/>
        <w:jc w:val="left"/>
        <w:rPr>
          <w:rFonts w:asciiTheme="minorEastAsia" w:hAnsiTheme="minorEastAsia" w:eastAsiaTheme="minorEastAsia"/>
          <w:sz w:val="24"/>
        </w:rPr>
      </w:pPr>
      <w:r>
        <w:rPr>
          <w:rFonts w:asciiTheme="minorEastAsia" w:hAnsiTheme="minorEastAsia" w:eastAsiaTheme="minorEastAsia"/>
          <w:spacing w:val="1"/>
          <w:kern w:val="0"/>
          <w:sz w:val="24"/>
        </w:rPr>
        <w:t>3.4推荐中标候选人与定标</w:t>
      </w:r>
      <w:bookmarkStart w:id="804" w:name="_Toc25639"/>
      <w:bookmarkStart w:id="805" w:name="_Toc21706"/>
      <w:bookmarkStart w:id="806" w:name="_Toc296520752"/>
      <w:bookmarkStart w:id="807" w:name="_Toc17174"/>
    </w:p>
    <w:p>
      <w:pPr>
        <w:pStyle w:val="4"/>
      </w:pPr>
      <w:bookmarkStart w:id="808" w:name="_Toc499204924"/>
      <w:bookmarkStart w:id="809" w:name="_Toc499311139"/>
      <w:bookmarkStart w:id="810" w:name="_Toc2117"/>
      <w:bookmarkStart w:id="811" w:name="_Toc498503018"/>
      <w:bookmarkStart w:id="812" w:name="_Toc27843"/>
      <w:bookmarkStart w:id="813" w:name="_Toc30315"/>
      <w:r>
        <w:t>4.评标准备与初步评审</w:t>
      </w:r>
      <w:bookmarkEnd w:id="804"/>
      <w:bookmarkEnd w:id="805"/>
      <w:bookmarkEnd w:id="806"/>
      <w:bookmarkEnd w:id="807"/>
      <w:bookmarkEnd w:id="808"/>
      <w:bookmarkEnd w:id="809"/>
      <w:bookmarkEnd w:id="810"/>
      <w:bookmarkEnd w:id="811"/>
      <w:bookmarkEnd w:id="812"/>
      <w:bookmarkEnd w:id="813"/>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4.1评标委员会进入评标室后，首先应当推选评标委员会主任，由其组织和引导成员按照约定程序进行评标。</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4.2熟悉相关的文字资料，包括工程概况、招标范围、评标办法、评标表格等。</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4.3评标委员会首先进行初步评审，对通过初步评审的文件进行算术性修正。修正原则为：</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（1）投标文件中的大写金额与小写金额不一致的，以大写金额为准</w:t>
      </w:r>
      <w:r>
        <w:rPr>
          <w:rFonts w:hint="eastAsia" w:asciiTheme="minorEastAsia" w:hAnsiTheme="minorEastAsia" w:eastAsiaTheme="minorEastAsia"/>
          <w:spacing w:val="1"/>
          <w:kern w:val="0"/>
          <w:sz w:val="24"/>
        </w:rPr>
        <w:t>。</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4.4评标委员会认为需要时，可书面通知投标人，要求其澄清投标报价或其他问题，或者要求补充某些资料，但评标委员会不能提出或允许更改投标文件中的价格或其它实质性内容。对此，投标人不得拒绝。有关要求澄清的答复，应以书面形式提供。</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4.5</w:t>
      </w:r>
      <w:bookmarkStart w:id="814" w:name="_Toc296520754"/>
      <w:bookmarkStart w:id="815" w:name="_Toc11208"/>
      <w:r>
        <w:rPr>
          <w:rFonts w:asciiTheme="minorEastAsia" w:hAnsiTheme="minorEastAsia" w:eastAsiaTheme="minorEastAsia"/>
          <w:spacing w:val="1"/>
          <w:kern w:val="0"/>
          <w:sz w:val="24"/>
        </w:rPr>
        <w:t>初步评审项目见评标办法前附表。未通过初步评审的投标人不得进入下一步评审。初步评审中的资格审查由评标委员会按评标办法前附表的要求进行。</w:t>
      </w:r>
      <w:bookmarkStart w:id="816" w:name="_Toc19140"/>
      <w:bookmarkStart w:id="817" w:name="_Toc25227"/>
    </w:p>
    <w:p>
      <w:pPr>
        <w:pStyle w:val="4"/>
      </w:pPr>
      <w:bookmarkStart w:id="818" w:name="_Toc499311140"/>
      <w:bookmarkStart w:id="819" w:name="_Toc499204925"/>
      <w:bookmarkStart w:id="820" w:name="_Toc498503019"/>
      <w:bookmarkStart w:id="821" w:name="_Toc31043"/>
      <w:bookmarkStart w:id="822" w:name="_Toc24576"/>
      <w:bookmarkStart w:id="823" w:name="_Toc19719"/>
      <w:r>
        <w:t>5.详细评审</w:t>
      </w:r>
      <w:bookmarkEnd w:id="814"/>
      <w:bookmarkEnd w:id="815"/>
      <w:bookmarkEnd w:id="816"/>
      <w:bookmarkEnd w:id="817"/>
      <w:bookmarkEnd w:id="818"/>
      <w:bookmarkEnd w:id="819"/>
      <w:bookmarkEnd w:id="820"/>
      <w:bookmarkEnd w:id="821"/>
      <w:bookmarkEnd w:id="822"/>
      <w:bookmarkEnd w:id="823"/>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5.1 经初步评审的投标文件，评标委员会应当根据招标文件确定的评标标准和方法，对监理大纲、商务</w:t>
      </w:r>
      <w:r>
        <w:rPr>
          <w:rFonts w:hint="eastAsia" w:asciiTheme="minorEastAsia" w:hAnsiTheme="minorEastAsia" w:eastAsiaTheme="minorEastAsia"/>
          <w:spacing w:val="1"/>
          <w:kern w:val="0"/>
          <w:sz w:val="24"/>
        </w:rPr>
        <w:t>部分</w:t>
      </w:r>
      <w:r>
        <w:rPr>
          <w:rFonts w:asciiTheme="minorEastAsia" w:hAnsiTheme="minorEastAsia" w:eastAsiaTheme="minorEastAsia"/>
          <w:spacing w:val="1"/>
          <w:kern w:val="0"/>
          <w:sz w:val="24"/>
        </w:rPr>
        <w:t>、投标报价进行评审。</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5.2 详细评审采用综合评</w:t>
      </w:r>
      <w:r>
        <w:rPr>
          <w:rFonts w:hint="eastAsia" w:asciiTheme="minorEastAsia" w:hAnsiTheme="minorEastAsia" w:eastAsiaTheme="minorEastAsia"/>
          <w:spacing w:val="1"/>
          <w:kern w:val="0"/>
          <w:sz w:val="24"/>
        </w:rPr>
        <w:t>估</w:t>
      </w:r>
      <w:r>
        <w:rPr>
          <w:rFonts w:asciiTheme="minorEastAsia" w:hAnsiTheme="minorEastAsia" w:eastAsiaTheme="minorEastAsia"/>
          <w:spacing w:val="1"/>
          <w:kern w:val="0"/>
          <w:sz w:val="24"/>
        </w:rPr>
        <w:t>法，即按照规定的评分标准，对投标文件进行综合评分。</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5.3 评分标准：总分100分，详见评标办法前附表。</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5.4 评标委员会</w:t>
      </w:r>
      <w:r>
        <w:rPr>
          <w:rFonts w:hint="eastAsia" w:asciiTheme="minorEastAsia" w:hAnsiTheme="minorEastAsia" w:eastAsiaTheme="minorEastAsia"/>
          <w:spacing w:val="1"/>
          <w:kern w:val="0"/>
          <w:sz w:val="24"/>
        </w:rPr>
        <w:t>按照详细评审最终得分（以全部评委打分的算术平均值为准）由高至低的次序对投标人进行排序</w:t>
      </w:r>
      <w:r>
        <w:rPr>
          <w:rFonts w:asciiTheme="minorEastAsia" w:hAnsiTheme="minorEastAsia" w:eastAsiaTheme="minorEastAsia"/>
          <w:spacing w:val="1"/>
          <w:kern w:val="0"/>
          <w:sz w:val="24"/>
        </w:rPr>
        <w:t>，编制评标报告，按照得分高低推荐排名前三位的投标人为中标候选人；评标委员会按照得分由高到低的顺序</w:t>
      </w:r>
      <w:r>
        <w:rPr>
          <w:rFonts w:hint="eastAsia" w:asciiTheme="minorEastAsia" w:hAnsiTheme="minorEastAsia" w:eastAsiaTheme="minorEastAsia"/>
          <w:spacing w:val="1"/>
          <w:kern w:val="0"/>
          <w:sz w:val="24"/>
        </w:rPr>
        <w:t>及招标文件第一章投标须知前附表第7.1款规定</w:t>
      </w:r>
      <w:r>
        <w:rPr>
          <w:rFonts w:asciiTheme="minorEastAsia" w:hAnsiTheme="minorEastAsia" w:eastAsiaTheme="minorEastAsia"/>
          <w:spacing w:val="1"/>
          <w:kern w:val="0"/>
          <w:sz w:val="24"/>
        </w:rPr>
        <w:t>推荐中标候选人。</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5.5 招标人将按照评标委员会提交的评标报告，确定中标人，并将评标报告和中标结果报</w:t>
      </w:r>
      <w:r>
        <w:rPr>
          <w:rFonts w:hint="eastAsia" w:asciiTheme="minorEastAsia" w:hAnsiTheme="minorEastAsia" w:eastAsiaTheme="minorEastAsia"/>
          <w:spacing w:val="1"/>
          <w:kern w:val="0"/>
          <w:sz w:val="24"/>
        </w:rPr>
        <w:t>许昌</w:t>
      </w:r>
      <w:r>
        <w:rPr>
          <w:rFonts w:asciiTheme="minorEastAsia" w:hAnsiTheme="minorEastAsia" w:eastAsiaTheme="minorEastAsia"/>
          <w:spacing w:val="1"/>
          <w:kern w:val="0"/>
          <w:sz w:val="24"/>
        </w:rPr>
        <w:t>市建设工程招标投标管理部门进行备案和公示。</w:t>
      </w:r>
    </w:p>
    <w:p>
      <w:pPr>
        <w:pStyle w:val="4"/>
      </w:pPr>
      <w:bookmarkStart w:id="824" w:name="_Toc7599"/>
      <w:bookmarkStart w:id="825" w:name="_Toc499311141"/>
      <w:bookmarkStart w:id="826" w:name="_Toc498503020"/>
      <w:bookmarkStart w:id="827" w:name="_Toc4673"/>
      <w:bookmarkStart w:id="828" w:name="_Toc27438"/>
      <w:bookmarkStart w:id="829" w:name="_Toc499204926"/>
      <w:bookmarkStart w:id="830" w:name="_Toc2514"/>
      <w:bookmarkStart w:id="831" w:name="_Toc10589"/>
      <w:r>
        <w:t>6.定标原则和方法</w:t>
      </w:r>
      <w:bookmarkEnd w:id="824"/>
      <w:bookmarkEnd w:id="825"/>
      <w:bookmarkEnd w:id="826"/>
      <w:bookmarkEnd w:id="827"/>
      <w:bookmarkEnd w:id="828"/>
      <w:bookmarkEnd w:id="829"/>
      <w:bookmarkEnd w:id="830"/>
      <w:bookmarkEnd w:id="831"/>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6.1除第二章</w:t>
      </w:r>
      <w:r>
        <w:rPr>
          <w:rFonts w:hint="eastAsia" w:asciiTheme="minorEastAsia" w:hAnsiTheme="minorEastAsia" w:eastAsiaTheme="minorEastAsia"/>
          <w:spacing w:val="1"/>
          <w:kern w:val="0"/>
          <w:sz w:val="24"/>
        </w:rPr>
        <w:t>“</w:t>
      </w:r>
      <w:r>
        <w:rPr>
          <w:rFonts w:asciiTheme="minorEastAsia" w:hAnsiTheme="minorEastAsia" w:eastAsiaTheme="minorEastAsia"/>
          <w:spacing w:val="1"/>
          <w:kern w:val="0"/>
          <w:sz w:val="24"/>
        </w:rPr>
        <w:t>投标人须知</w:t>
      </w:r>
      <w:r>
        <w:rPr>
          <w:rFonts w:hint="eastAsia" w:asciiTheme="minorEastAsia" w:hAnsiTheme="minorEastAsia" w:eastAsiaTheme="minorEastAsia"/>
          <w:spacing w:val="1"/>
          <w:kern w:val="0"/>
          <w:sz w:val="24"/>
        </w:rPr>
        <w:t>”</w:t>
      </w:r>
      <w:r>
        <w:rPr>
          <w:rFonts w:asciiTheme="minorEastAsia" w:hAnsiTheme="minorEastAsia" w:eastAsiaTheme="minorEastAsia"/>
          <w:spacing w:val="1"/>
          <w:kern w:val="0"/>
          <w:sz w:val="24"/>
        </w:rPr>
        <w:t>前附表授权直接确定中标人外，评标委员会按照得分由高到低的顺序</w:t>
      </w:r>
      <w:r>
        <w:rPr>
          <w:rFonts w:hint="eastAsia" w:asciiTheme="minorEastAsia" w:hAnsiTheme="minorEastAsia" w:eastAsiaTheme="minorEastAsia"/>
          <w:spacing w:val="1"/>
          <w:kern w:val="0"/>
          <w:sz w:val="24"/>
        </w:rPr>
        <w:t>并依据第二章“投标人须知”前附表第7.1款要求推荐中标候选人</w:t>
      </w:r>
      <w:r>
        <w:rPr>
          <w:rFonts w:asciiTheme="minorEastAsia" w:hAnsiTheme="minorEastAsia" w:eastAsiaTheme="minorEastAsia"/>
          <w:spacing w:val="1"/>
          <w:kern w:val="0"/>
          <w:sz w:val="24"/>
        </w:rPr>
        <w:t>。</w:t>
      </w:r>
    </w:p>
    <w:p>
      <w:pPr>
        <w:autoSpaceDE w:val="0"/>
        <w:autoSpaceDN w:val="0"/>
        <w:adjustRightInd w:val="0"/>
        <w:spacing w:before="10" w:line="360" w:lineRule="auto"/>
        <w:ind w:left="120" w:right="-89" w:firstLine="420"/>
        <w:jc w:val="left"/>
        <w:rPr>
          <w:rFonts w:asciiTheme="minorEastAsia" w:hAnsiTheme="minorEastAsia" w:eastAsiaTheme="minorEastAsia"/>
          <w:spacing w:val="1"/>
          <w:kern w:val="0"/>
          <w:sz w:val="24"/>
        </w:rPr>
      </w:pPr>
      <w:r>
        <w:rPr>
          <w:rFonts w:hint="eastAsia" w:asciiTheme="minorEastAsia" w:hAnsiTheme="minorEastAsia" w:eastAsiaTheme="minorEastAsia"/>
          <w:sz w:val="24"/>
        </w:rPr>
        <w:t>6.2如果评标委员会根据规定作否决投标处理后，有效投标不足三个，且少于第二章“投标人须知”前附表第</w:t>
      </w:r>
      <w:r>
        <w:rPr>
          <w:rFonts w:asciiTheme="minorEastAsia" w:hAnsiTheme="minorEastAsia" w:eastAsiaTheme="minorEastAsia"/>
          <w:sz w:val="24"/>
        </w:rPr>
        <w:t>7.1</w:t>
      </w:r>
      <w:r>
        <w:rPr>
          <w:rFonts w:hint="eastAsia" w:asciiTheme="minorEastAsia" w:hAnsiTheme="minorEastAsia" w:eastAsiaTheme="minorEastAsia"/>
          <w:sz w:val="24"/>
        </w:rPr>
        <w:t>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6.</w:t>
      </w:r>
      <w:r>
        <w:rPr>
          <w:rFonts w:hint="eastAsia" w:asciiTheme="minorEastAsia" w:hAnsiTheme="minorEastAsia" w:eastAsiaTheme="minorEastAsia"/>
          <w:spacing w:val="1"/>
          <w:kern w:val="0"/>
          <w:sz w:val="24"/>
        </w:rPr>
        <w:t>3</w:t>
      </w:r>
      <w:r>
        <w:rPr>
          <w:rFonts w:asciiTheme="minorEastAsia" w:hAnsiTheme="minorEastAsia" w:eastAsiaTheme="minorEastAsia"/>
          <w:spacing w:val="1"/>
          <w:kern w:val="0"/>
          <w:sz w:val="24"/>
        </w:rPr>
        <w:t>招标人应当选择评标委员会推荐排名第一的中标候选人作为中标人，如果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4"/>
      </w:pPr>
      <w:bookmarkStart w:id="832" w:name="_Toc11201"/>
      <w:bookmarkStart w:id="833" w:name="_Toc499311142"/>
      <w:bookmarkStart w:id="834" w:name="_Toc30882"/>
      <w:bookmarkStart w:id="835" w:name="_Toc30064"/>
      <w:bookmarkStart w:id="836" w:name="_Toc499204927"/>
      <w:bookmarkStart w:id="837" w:name="_Toc498503021"/>
      <w:bookmarkStart w:id="838" w:name="_Toc765"/>
      <w:bookmarkStart w:id="839" w:name="_Toc5053"/>
      <w:r>
        <w:t>7. 附则</w:t>
      </w:r>
      <w:bookmarkEnd w:id="832"/>
      <w:bookmarkEnd w:id="833"/>
      <w:bookmarkEnd w:id="834"/>
      <w:bookmarkEnd w:id="835"/>
      <w:bookmarkEnd w:id="836"/>
      <w:bookmarkEnd w:id="837"/>
      <w:bookmarkEnd w:id="838"/>
      <w:bookmarkEnd w:id="839"/>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7.1通知评标结果</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7.1.1评标结束后，招标人将评标结果报经</w:t>
      </w:r>
      <w:r>
        <w:rPr>
          <w:rFonts w:hint="eastAsia" w:asciiTheme="minorEastAsia" w:hAnsiTheme="minorEastAsia" w:eastAsiaTheme="minorEastAsia"/>
          <w:spacing w:val="1"/>
          <w:kern w:val="0"/>
          <w:sz w:val="24"/>
        </w:rPr>
        <w:t>许昌</w:t>
      </w:r>
      <w:r>
        <w:rPr>
          <w:rFonts w:asciiTheme="minorEastAsia" w:hAnsiTheme="minorEastAsia" w:eastAsiaTheme="minorEastAsia"/>
          <w:spacing w:val="1"/>
          <w:kern w:val="0"/>
          <w:sz w:val="24"/>
        </w:rPr>
        <w:t>市建设工程招标投标管理部门备案和公示后，即向中标人发出</w:t>
      </w:r>
      <w:r>
        <w:rPr>
          <w:rFonts w:hint="eastAsia" w:asciiTheme="minorEastAsia" w:hAnsiTheme="minorEastAsia" w:eastAsiaTheme="minorEastAsia"/>
          <w:spacing w:val="1"/>
          <w:kern w:val="0"/>
          <w:sz w:val="24"/>
        </w:rPr>
        <w:t>“</w:t>
      </w:r>
      <w:r>
        <w:rPr>
          <w:rFonts w:asciiTheme="minorEastAsia" w:hAnsiTheme="minorEastAsia" w:eastAsiaTheme="minorEastAsia"/>
          <w:spacing w:val="1"/>
          <w:kern w:val="0"/>
          <w:sz w:val="24"/>
        </w:rPr>
        <w:t>中标通知书</w:t>
      </w:r>
      <w:r>
        <w:rPr>
          <w:rFonts w:hint="eastAsia" w:asciiTheme="minorEastAsia" w:hAnsiTheme="minorEastAsia" w:eastAsiaTheme="minorEastAsia"/>
          <w:spacing w:val="1"/>
          <w:kern w:val="0"/>
          <w:sz w:val="24"/>
        </w:rPr>
        <w:t>”</w:t>
      </w:r>
      <w:r>
        <w:rPr>
          <w:rFonts w:asciiTheme="minorEastAsia" w:hAnsiTheme="minorEastAsia" w:eastAsiaTheme="minorEastAsia"/>
          <w:spacing w:val="1"/>
          <w:kern w:val="0"/>
          <w:sz w:val="24"/>
        </w:rPr>
        <w:t>，向未中标人通报评标结果，时间不得超过投标有效期。</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7.2解释权</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7.2.1本评标办法由招标人负责解释。</w:t>
      </w:r>
    </w:p>
    <w:p/>
    <w:p/>
    <w:p/>
    <w:p/>
    <w:p/>
    <w:p/>
    <w:p/>
    <w:p/>
    <w:p/>
    <w:p/>
    <w:p/>
    <w:p/>
    <w:p/>
    <w:p/>
    <w:p/>
    <w:p/>
    <w:p/>
    <w:p/>
    <w:p/>
    <w:p/>
    <w:p/>
    <w:p/>
    <w:p/>
    <w:p/>
    <w:p/>
    <w:p/>
    <w:p/>
    <w:p/>
    <w:p/>
    <w:p/>
    <w:p>
      <w:pPr>
        <w:pStyle w:val="2"/>
      </w:pPr>
      <w:bookmarkStart w:id="840" w:name="_Toc2320"/>
      <w:bookmarkStart w:id="841" w:name="_Toc291427638"/>
      <w:bookmarkStart w:id="842" w:name="_Toc498503022"/>
      <w:bookmarkStart w:id="843" w:name="_Toc16060"/>
      <w:r>
        <w:t>附件B：</w:t>
      </w:r>
      <w:bookmarkEnd w:id="840"/>
      <w:bookmarkEnd w:id="841"/>
      <w:r>
        <w:rPr>
          <w:rFonts w:hint="eastAsia"/>
        </w:rPr>
        <w:t>否决投标</w:t>
      </w:r>
      <w:r>
        <w:t>条件</w:t>
      </w:r>
      <w:bookmarkEnd w:id="842"/>
      <w:bookmarkEnd w:id="843"/>
    </w:p>
    <w:p>
      <w:pPr>
        <w:spacing w:line="360" w:lineRule="auto"/>
        <w:ind w:firstLine="482"/>
        <w:jc w:val="center"/>
        <w:rPr>
          <w:rFonts w:asciiTheme="minorEastAsia" w:hAnsiTheme="minorEastAsia" w:eastAsiaTheme="minorEastAsia"/>
          <w:b/>
          <w:sz w:val="24"/>
        </w:rPr>
      </w:pPr>
      <w:r>
        <w:rPr>
          <w:rFonts w:hint="eastAsia" w:asciiTheme="minorEastAsia" w:hAnsiTheme="minorEastAsia" w:eastAsiaTheme="minorEastAsia"/>
          <w:b/>
          <w:sz w:val="24"/>
        </w:rPr>
        <w:t>否决投标</w:t>
      </w:r>
      <w:r>
        <w:rPr>
          <w:rFonts w:asciiTheme="minorEastAsia" w:hAnsiTheme="minorEastAsia" w:eastAsiaTheme="minorEastAsia"/>
          <w:b/>
          <w:sz w:val="24"/>
        </w:rPr>
        <w:t>条件</w:t>
      </w:r>
    </w:p>
    <w:p>
      <w:pPr>
        <w:pStyle w:val="4"/>
      </w:pPr>
      <w:bookmarkStart w:id="844" w:name="_Toc24150"/>
      <w:bookmarkStart w:id="845" w:name="_Toc498503023"/>
      <w:bookmarkStart w:id="846" w:name="_Toc15325"/>
      <w:bookmarkStart w:id="847" w:name="_Toc13338"/>
      <w:bookmarkStart w:id="848" w:name="_Toc499311144"/>
      <w:bookmarkStart w:id="849" w:name="_Toc291427639"/>
      <w:bookmarkStart w:id="850" w:name="_Toc499204929"/>
      <w:bookmarkStart w:id="851" w:name="_Toc291496657"/>
      <w:bookmarkStart w:id="852" w:name="_Toc293403341"/>
      <w:r>
        <w:t>B0.总则</w:t>
      </w:r>
      <w:bookmarkEnd w:id="844"/>
      <w:bookmarkEnd w:id="845"/>
      <w:bookmarkEnd w:id="846"/>
      <w:bookmarkEnd w:id="847"/>
      <w:bookmarkEnd w:id="848"/>
      <w:bookmarkEnd w:id="849"/>
      <w:bookmarkEnd w:id="850"/>
      <w:bookmarkEnd w:id="851"/>
      <w:bookmarkEnd w:id="852"/>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本附件所集中列示的</w:t>
      </w:r>
      <w:r>
        <w:rPr>
          <w:rFonts w:hint="eastAsia" w:asciiTheme="minorEastAsia" w:hAnsiTheme="minorEastAsia" w:eastAsiaTheme="minorEastAsia"/>
          <w:sz w:val="24"/>
        </w:rPr>
        <w:t>否决投标</w:t>
      </w:r>
      <w:r>
        <w:rPr>
          <w:rFonts w:asciiTheme="minorEastAsia" w:hAnsiTheme="minorEastAsia" w:eastAsiaTheme="minorEastAsia"/>
          <w:sz w:val="24"/>
        </w:rPr>
        <w:t>条件，是本章</w:t>
      </w:r>
      <w:r>
        <w:rPr>
          <w:rFonts w:hint="eastAsia" w:asciiTheme="minorEastAsia" w:hAnsiTheme="minorEastAsia" w:eastAsiaTheme="minorEastAsia"/>
          <w:sz w:val="24"/>
        </w:rPr>
        <w:t>“</w:t>
      </w:r>
      <w:r>
        <w:rPr>
          <w:rFonts w:asciiTheme="minorEastAsia" w:hAnsiTheme="minorEastAsia" w:eastAsiaTheme="minorEastAsia"/>
          <w:sz w:val="24"/>
        </w:rPr>
        <w:t>评标办法</w:t>
      </w:r>
      <w:r>
        <w:rPr>
          <w:rFonts w:hint="eastAsia" w:asciiTheme="minorEastAsia" w:hAnsiTheme="minorEastAsia" w:eastAsiaTheme="minorEastAsia"/>
          <w:sz w:val="24"/>
        </w:rPr>
        <w:t>”</w:t>
      </w:r>
      <w:r>
        <w:rPr>
          <w:rFonts w:asciiTheme="minorEastAsia" w:hAnsiTheme="minorEastAsia" w:eastAsiaTheme="minorEastAsia"/>
          <w:sz w:val="24"/>
        </w:rPr>
        <w:t>的组成部分，是对第二章</w:t>
      </w:r>
      <w:r>
        <w:rPr>
          <w:rFonts w:hint="eastAsia" w:asciiTheme="minorEastAsia" w:hAnsiTheme="minorEastAsia" w:eastAsiaTheme="minorEastAsia"/>
          <w:sz w:val="24"/>
        </w:rPr>
        <w:t>“</w:t>
      </w:r>
      <w:r>
        <w:rPr>
          <w:rFonts w:asciiTheme="minorEastAsia" w:hAnsiTheme="minorEastAsia" w:eastAsiaTheme="minorEastAsia"/>
          <w:sz w:val="24"/>
        </w:rPr>
        <w:t>投标人须知</w:t>
      </w:r>
      <w:r>
        <w:rPr>
          <w:rFonts w:hint="eastAsia" w:asciiTheme="minorEastAsia" w:hAnsiTheme="minorEastAsia" w:eastAsiaTheme="minorEastAsia"/>
          <w:sz w:val="24"/>
        </w:rPr>
        <w:t>”</w:t>
      </w:r>
      <w:r>
        <w:rPr>
          <w:rFonts w:asciiTheme="minorEastAsia" w:hAnsiTheme="minorEastAsia" w:eastAsiaTheme="minorEastAsia"/>
          <w:sz w:val="24"/>
        </w:rPr>
        <w:t>和本章正文部分所规定的</w:t>
      </w:r>
      <w:r>
        <w:rPr>
          <w:rFonts w:hint="eastAsia" w:asciiTheme="minorEastAsia" w:hAnsiTheme="minorEastAsia" w:eastAsiaTheme="minorEastAsia"/>
          <w:sz w:val="24"/>
        </w:rPr>
        <w:t>否决投标</w:t>
      </w:r>
      <w:r>
        <w:rPr>
          <w:rFonts w:asciiTheme="minorEastAsia" w:hAnsiTheme="minorEastAsia" w:eastAsiaTheme="minorEastAsia"/>
          <w:sz w:val="24"/>
        </w:rPr>
        <w:t>条件的总结和补充，如果出现相互矛盾的情况，以第二章</w:t>
      </w:r>
      <w:r>
        <w:rPr>
          <w:rFonts w:hint="eastAsia" w:asciiTheme="minorEastAsia" w:hAnsiTheme="minorEastAsia" w:eastAsiaTheme="minorEastAsia"/>
          <w:sz w:val="24"/>
        </w:rPr>
        <w:t>“</w:t>
      </w:r>
      <w:r>
        <w:rPr>
          <w:rFonts w:asciiTheme="minorEastAsia" w:hAnsiTheme="minorEastAsia" w:eastAsiaTheme="minorEastAsia"/>
          <w:sz w:val="24"/>
        </w:rPr>
        <w:t>投标人须知</w:t>
      </w:r>
      <w:r>
        <w:rPr>
          <w:rFonts w:hint="eastAsia" w:asciiTheme="minorEastAsia" w:hAnsiTheme="minorEastAsia" w:eastAsiaTheme="minorEastAsia"/>
          <w:sz w:val="24"/>
        </w:rPr>
        <w:t>”</w:t>
      </w:r>
      <w:r>
        <w:rPr>
          <w:rFonts w:asciiTheme="minorEastAsia" w:hAnsiTheme="minorEastAsia" w:eastAsiaTheme="minorEastAsia"/>
          <w:sz w:val="24"/>
        </w:rPr>
        <w:t>和本章正文部分的规定为准。</w:t>
      </w:r>
    </w:p>
    <w:p>
      <w:pPr>
        <w:pStyle w:val="4"/>
      </w:pPr>
      <w:bookmarkStart w:id="853" w:name="_Toc499311145"/>
      <w:bookmarkStart w:id="854" w:name="_Toc499204930"/>
      <w:bookmarkStart w:id="855" w:name="_Toc498503024"/>
      <w:bookmarkStart w:id="856" w:name="_Toc19385"/>
      <w:bookmarkStart w:id="857" w:name="_Toc293403342"/>
      <w:bookmarkStart w:id="858" w:name="_Toc291427640"/>
      <w:bookmarkStart w:id="859" w:name="_Toc27969"/>
      <w:bookmarkStart w:id="860" w:name="_Toc291496658"/>
      <w:bookmarkStart w:id="861" w:name="_Toc8928"/>
      <w:r>
        <w:t>B1.</w:t>
      </w:r>
      <w:r>
        <w:rPr>
          <w:rFonts w:hint="eastAsia"/>
        </w:rPr>
        <w:t>否决投标</w:t>
      </w:r>
      <w:r>
        <w:t>条件</w:t>
      </w:r>
      <w:bookmarkEnd w:id="853"/>
      <w:bookmarkEnd w:id="854"/>
      <w:bookmarkEnd w:id="855"/>
      <w:bookmarkEnd w:id="856"/>
      <w:bookmarkEnd w:id="857"/>
      <w:bookmarkEnd w:id="858"/>
      <w:bookmarkEnd w:id="859"/>
      <w:bookmarkEnd w:id="860"/>
      <w:bookmarkEnd w:id="861"/>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投标人或其投标文件有下列情形之一的，其投标作</w:t>
      </w:r>
      <w:r>
        <w:rPr>
          <w:rFonts w:hint="eastAsia" w:asciiTheme="minorEastAsia" w:hAnsiTheme="minorEastAsia" w:eastAsiaTheme="minorEastAsia"/>
          <w:sz w:val="24"/>
        </w:rPr>
        <w:t>否决投标</w:t>
      </w:r>
      <w:r>
        <w:rPr>
          <w:rFonts w:asciiTheme="minorEastAsia" w:hAnsiTheme="minorEastAsia" w:eastAsiaTheme="minorEastAsia"/>
          <w:sz w:val="24"/>
        </w:rPr>
        <w:t>处理：</w:t>
      </w:r>
    </w:p>
    <w:p>
      <w:pPr>
        <w:spacing w:line="360" w:lineRule="auto"/>
        <w:ind w:firstLine="484" w:firstLineChars="202"/>
        <w:jc w:val="left"/>
        <w:rPr>
          <w:rFonts w:asciiTheme="minorEastAsia" w:hAnsiTheme="minorEastAsia" w:eastAsiaTheme="minorEastAsia"/>
          <w:sz w:val="24"/>
        </w:rPr>
      </w:pPr>
      <w:r>
        <w:rPr>
          <w:rFonts w:asciiTheme="minorEastAsia" w:hAnsiTheme="minorEastAsia" w:eastAsiaTheme="minorEastAsia"/>
          <w:sz w:val="24"/>
        </w:rPr>
        <w:t>B1.1 有第二章</w:t>
      </w:r>
      <w:r>
        <w:rPr>
          <w:rFonts w:hint="eastAsia" w:asciiTheme="minorEastAsia" w:hAnsiTheme="minorEastAsia" w:eastAsiaTheme="minorEastAsia"/>
          <w:sz w:val="24"/>
        </w:rPr>
        <w:t>“</w:t>
      </w:r>
      <w:r>
        <w:rPr>
          <w:rFonts w:asciiTheme="minorEastAsia" w:hAnsiTheme="minorEastAsia" w:eastAsiaTheme="minorEastAsia"/>
          <w:sz w:val="24"/>
        </w:rPr>
        <w:t>投标人须知</w:t>
      </w:r>
      <w:r>
        <w:rPr>
          <w:rFonts w:hint="eastAsia" w:asciiTheme="minorEastAsia" w:hAnsiTheme="minorEastAsia" w:eastAsiaTheme="minorEastAsia"/>
          <w:sz w:val="24"/>
        </w:rPr>
        <w:t>”</w:t>
      </w:r>
      <w:r>
        <w:rPr>
          <w:rFonts w:asciiTheme="minorEastAsia" w:hAnsiTheme="minorEastAsia" w:eastAsiaTheme="minorEastAsia"/>
          <w:sz w:val="24"/>
        </w:rPr>
        <w:t>第1.4.3项规定的任何一种情形的。</w:t>
      </w:r>
    </w:p>
    <w:p>
      <w:pPr>
        <w:spacing w:line="360" w:lineRule="auto"/>
        <w:ind w:firstLine="484" w:firstLineChars="202"/>
        <w:jc w:val="left"/>
        <w:rPr>
          <w:rFonts w:asciiTheme="minorEastAsia" w:hAnsiTheme="minorEastAsia" w:eastAsiaTheme="minorEastAsia"/>
          <w:sz w:val="24"/>
        </w:rPr>
      </w:pPr>
      <w:r>
        <w:rPr>
          <w:rFonts w:asciiTheme="minorEastAsia" w:hAnsiTheme="minorEastAsia" w:eastAsiaTheme="minorEastAsia"/>
          <w:sz w:val="24"/>
        </w:rPr>
        <w:t>B1.2 有串通投标或弄虚作假或有其他违法行为的。</w:t>
      </w:r>
    </w:p>
    <w:p>
      <w:pPr>
        <w:spacing w:line="360" w:lineRule="auto"/>
        <w:ind w:firstLine="484" w:firstLineChars="202"/>
        <w:jc w:val="left"/>
        <w:rPr>
          <w:rFonts w:asciiTheme="minorEastAsia" w:hAnsiTheme="minorEastAsia" w:eastAsiaTheme="minorEastAsia"/>
          <w:sz w:val="24"/>
        </w:rPr>
      </w:pPr>
      <w:r>
        <w:rPr>
          <w:rFonts w:asciiTheme="minorEastAsia" w:hAnsiTheme="minorEastAsia" w:eastAsiaTheme="minorEastAsia"/>
          <w:sz w:val="24"/>
        </w:rPr>
        <w:t>B1.3 不按评标委员会要求澄清、说明或补正的。</w:t>
      </w:r>
    </w:p>
    <w:p>
      <w:pPr>
        <w:spacing w:line="360" w:lineRule="auto"/>
        <w:ind w:firstLine="484" w:firstLineChars="202"/>
        <w:jc w:val="left"/>
        <w:rPr>
          <w:rFonts w:asciiTheme="minorEastAsia" w:hAnsiTheme="minorEastAsia" w:eastAsiaTheme="minorEastAsia"/>
          <w:sz w:val="24"/>
        </w:rPr>
      </w:pPr>
      <w:r>
        <w:rPr>
          <w:rFonts w:asciiTheme="minorEastAsia" w:hAnsiTheme="minorEastAsia" w:eastAsiaTheme="minorEastAsia"/>
          <w:sz w:val="24"/>
        </w:rPr>
        <w:t>B1.4 评标委员会认定投标人以低于成本报价竞标的。</w:t>
      </w:r>
    </w:p>
    <w:p>
      <w:pPr>
        <w:spacing w:line="360" w:lineRule="auto"/>
        <w:ind w:firstLine="484" w:firstLineChars="202"/>
        <w:jc w:val="left"/>
        <w:rPr>
          <w:rFonts w:asciiTheme="minorEastAsia" w:hAnsiTheme="minorEastAsia" w:eastAsiaTheme="minorEastAsia"/>
          <w:sz w:val="24"/>
        </w:rPr>
      </w:pPr>
      <w:r>
        <w:rPr>
          <w:rFonts w:asciiTheme="minorEastAsia" w:hAnsiTheme="minorEastAsia" w:eastAsiaTheme="minorEastAsia"/>
          <w:sz w:val="24"/>
        </w:rPr>
        <w:t>B1.5 投标文件内容不全或关键字迹模糊、无法辨认的。</w:t>
      </w:r>
    </w:p>
    <w:p>
      <w:pPr>
        <w:spacing w:line="360" w:lineRule="auto"/>
        <w:ind w:firstLine="484" w:firstLineChars="202"/>
        <w:jc w:val="left"/>
        <w:rPr>
          <w:rFonts w:asciiTheme="minorEastAsia" w:hAnsiTheme="minorEastAsia" w:eastAsiaTheme="minorEastAsia"/>
          <w:sz w:val="24"/>
        </w:rPr>
      </w:pPr>
      <w:r>
        <w:rPr>
          <w:rFonts w:asciiTheme="minorEastAsia" w:hAnsiTheme="minorEastAsia" w:eastAsiaTheme="minorEastAsia"/>
          <w:sz w:val="24"/>
        </w:rPr>
        <w:t>B1.6 投标人递交两份或多份内容不同的投标文件，或在一份投标文件中，有两个或多个报价且未书面声明哪一个有效的，按招标文件规定提供可选择性方案报价的除外。</w:t>
      </w:r>
    </w:p>
    <w:p>
      <w:pPr>
        <w:spacing w:line="360" w:lineRule="auto"/>
        <w:ind w:firstLine="484" w:firstLineChars="202"/>
        <w:rPr>
          <w:rFonts w:asciiTheme="minorEastAsia" w:hAnsiTheme="minorEastAsia" w:eastAsiaTheme="minorEastAsia"/>
          <w:sz w:val="24"/>
        </w:rPr>
      </w:pPr>
      <w:r>
        <w:rPr>
          <w:rFonts w:asciiTheme="minorEastAsia" w:hAnsiTheme="minorEastAsia" w:eastAsiaTheme="minorEastAsia"/>
          <w:bCs/>
          <w:sz w:val="24"/>
        </w:rPr>
        <w:t>B1.</w:t>
      </w:r>
      <w:r>
        <w:rPr>
          <w:rFonts w:hint="eastAsia" w:asciiTheme="minorEastAsia" w:hAnsiTheme="minorEastAsia" w:eastAsiaTheme="minorEastAsia"/>
          <w:bCs/>
          <w:sz w:val="24"/>
        </w:rPr>
        <w:t>7</w:t>
      </w:r>
      <w:r>
        <w:rPr>
          <w:rFonts w:hint="eastAsia" w:asciiTheme="minorEastAsia" w:hAnsiTheme="minorEastAsia" w:eastAsiaTheme="minorEastAsia"/>
          <w:sz w:val="24"/>
        </w:rPr>
        <w:t>同一个投标人投多个标段时，在不同标段的《投标函》中承诺的标段第一中标候选人顺序不一致的。</w:t>
      </w:r>
    </w:p>
    <w:p>
      <w:pPr>
        <w:pStyle w:val="9"/>
        <w:spacing w:line="360" w:lineRule="auto"/>
        <w:ind w:firstLine="484" w:firstLineChars="202"/>
        <w:rPr>
          <w:rFonts w:asciiTheme="minorEastAsia" w:hAnsiTheme="minorEastAsia" w:eastAsiaTheme="minorEastAsia"/>
          <w:sz w:val="24"/>
        </w:rPr>
      </w:pPr>
      <w:r>
        <w:rPr>
          <w:rFonts w:asciiTheme="minorEastAsia" w:hAnsiTheme="minorEastAsia" w:eastAsiaTheme="minorEastAsia"/>
          <w:sz w:val="24"/>
        </w:rPr>
        <w:t>B1</w:t>
      </w:r>
      <w:r>
        <w:rPr>
          <w:rFonts w:hint="eastAsia" w:asciiTheme="minorEastAsia" w:hAnsiTheme="minorEastAsia" w:eastAsiaTheme="minorEastAsia"/>
          <w:sz w:val="24"/>
        </w:rPr>
        <w:t>.8</w:t>
      </w:r>
      <w:r>
        <w:rPr>
          <w:rFonts w:asciiTheme="minorEastAsia" w:hAnsiTheme="minorEastAsia" w:eastAsiaTheme="minorEastAsia"/>
          <w:sz w:val="24"/>
        </w:rPr>
        <w:t>在形式评审、资格评审、响应性评审中，评标委员会认定投标人的投标不符合评标办法前附表中规定的任何一项评审标准的。</w:t>
      </w:r>
    </w:p>
    <w:p>
      <w:pPr>
        <w:pStyle w:val="9"/>
        <w:spacing w:line="360" w:lineRule="auto"/>
        <w:rPr>
          <w:rFonts w:asciiTheme="minorEastAsia" w:hAnsiTheme="minorEastAsia" w:eastAsiaTheme="minorEastAsia"/>
          <w:sz w:val="24"/>
        </w:rPr>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3"/>
      </w:pPr>
      <w:bookmarkStart w:id="862" w:name="_Toc20445"/>
      <w:bookmarkStart w:id="863" w:name="_Toc496098711"/>
      <w:r>
        <w:rPr>
          <w:rFonts w:hint="eastAsia"/>
        </w:rPr>
        <w:t xml:space="preserve">第四章 </w:t>
      </w:r>
      <w:r>
        <w:t>合同条款及格式</w:t>
      </w:r>
      <w:bookmarkEnd w:id="862"/>
      <w:bookmarkEnd w:id="863"/>
    </w:p>
    <w:p>
      <w:pPr>
        <w:pStyle w:val="2"/>
        <w:spacing w:line="288" w:lineRule="auto"/>
        <w:jc w:val="center"/>
      </w:pPr>
      <w:bookmarkStart w:id="864" w:name="_Toc27436"/>
      <w:bookmarkStart w:id="865" w:name="_Toc20460"/>
      <w:bookmarkStart w:id="866" w:name="_Toc496098712"/>
      <w:r>
        <w:rPr>
          <w:rFonts w:hint="eastAsia"/>
        </w:rPr>
        <w:t>第一部分  协议书</w:t>
      </w:r>
      <w:bookmarkEnd w:id="864"/>
      <w:bookmarkEnd w:id="865"/>
      <w:bookmarkEnd w:id="866"/>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委托人（全称）：</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监理人（全称）：</w:t>
      </w:r>
    </w:p>
    <w:p>
      <w:pPr>
        <w:adjustRightInd w:val="0"/>
        <w:snapToGrid w:val="0"/>
        <w:spacing w:line="288" w:lineRule="auto"/>
        <w:ind w:firstLine="420"/>
        <w:rPr>
          <w:rFonts w:asciiTheme="minorEastAsia" w:hAnsiTheme="minorEastAsia" w:eastAsiaTheme="minorEastAsia"/>
          <w:bCs/>
          <w:sz w:val="24"/>
          <w:u w:val="single"/>
        </w:rPr>
      </w:pPr>
      <w:r>
        <w:rPr>
          <w:rFonts w:asciiTheme="minorEastAsia" w:hAnsiTheme="minorEastAsia" w:eastAsiaTheme="minorEastAsia"/>
          <w:bCs/>
          <w:sz w:val="24"/>
        </w:rPr>
        <w:t>根据《中华人民共和国合同法》、《中华人民共和国建筑法》及其他有关法律、法规，遵循平等、自愿、公平和诚信的原则，双方就下述工程委托监理与相关服务事项协商一致，订立本合同。</w:t>
      </w:r>
    </w:p>
    <w:p>
      <w:pPr>
        <w:spacing w:line="288" w:lineRule="auto"/>
        <w:ind w:firstLine="422"/>
        <w:rPr>
          <w:rFonts w:asciiTheme="minorEastAsia" w:hAnsiTheme="minorEastAsia" w:eastAsiaTheme="minorEastAsia"/>
          <w:b/>
          <w:bCs/>
          <w:sz w:val="24"/>
        </w:rPr>
      </w:pPr>
      <w:r>
        <w:rPr>
          <w:rFonts w:hint="eastAsia" w:asciiTheme="minorEastAsia" w:hAnsiTheme="minorEastAsia" w:eastAsiaTheme="minorEastAsia"/>
          <w:b/>
          <w:bCs/>
          <w:sz w:val="24"/>
        </w:rPr>
        <w:t>一、工程概况</w:t>
      </w:r>
    </w:p>
    <w:p>
      <w:pPr>
        <w:adjustRightInd w:val="0"/>
        <w:snapToGrid w:val="0"/>
        <w:spacing w:line="288" w:lineRule="auto"/>
        <w:ind w:firstLine="475" w:firstLineChars="198"/>
        <w:rPr>
          <w:rFonts w:asciiTheme="minorEastAsia" w:hAnsiTheme="minorEastAsia" w:eastAsiaTheme="minorEastAsia"/>
          <w:bCs/>
          <w:sz w:val="24"/>
        </w:rPr>
      </w:pPr>
      <w:r>
        <w:rPr>
          <w:rFonts w:asciiTheme="minorEastAsia" w:hAnsiTheme="minorEastAsia" w:eastAsiaTheme="minorEastAsia"/>
          <w:bCs/>
          <w:sz w:val="24"/>
        </w:rPr>
        <w:t>1. 工程名称：；</w:t>
      </w:r>
    </w:p>
    <w:p>
      <w:pPr>
        <w:adjustRightInd w:val="0"/>
        <w:snapToGrid w:val="0"/>
        <w:spacing w:line="288" w:lineRule="auto"/>
        <w:ind w:firstLine="475" w:firstLineChars="198"/>
        <w:rPr>
          <w:rFonts w:asciiTheme="minorEastAsia" w:hAnsiTheme="minorEastAsia" w:eastAsiaTheme="minorEastAsia"/>
          <w:bCs/>
          <w:sz w:val="24"/>
        </w:rPr>
      </w:pPr>
      <w:r>
        <w:rPr>
          <w:rFonts w:asciiTheme="minorEastAsia" w:hAnsiTheme="minorEastAsia" w:eastAsiaTheme="minorEastAsia"/>
          <w:bCs/>
          <w:sz w:val="24"/>
        </w:rPr>
        <w:t>2. 工程地点：；</w:t>
      </w:r>
    </w:p>
    <w:p>
      <w:pPr>
        <w:adjustRightInd w:val="0"/>
        <w:snapToGrid w:val="0"/>
        <w:spacing w:line="288" w:lineRule="auto"/>
        <w:ind w:firstLine="475" w:firstLineChars="198"/>
        <w:rPr>
          <w:rFonts w:asciiTheme="minorEastAsia" w:hAnsiTheme="minorEastAsia" w:eastAsiaTheme="minorEastAsia"/>
          <w:bCs/>
          <w:sz w:val="24"/>
        </w:rPr>
      </w:pPr>
      <w:r>
        <w:rPr>
          <w:rFonts w:asciiTheme="minorEastAsia" w:hAnsiTheme="minorEastAsia" w:eastAsiaTheme="minorEastAsia"/>
          <w:bCs/>
          <w:sz w:val="24"/>
        </w:rPr>
        <w:t>3. 工程规模：；</w:t>
      </w:r>
    </w:p>
    <w:p>
      <w:pPr>
        <w:adjustRightInd w:val="0"/>
        <w:snapToGrid w:val="0"/>
        <w:spacing w:line="288" w:lineRule="auto"/>
        <w:ind w:firstLine="475" w:firstLineChars="198"/>
        <w:jc w:val="left"/>
        <w:rPr>
          <w:rFonts w:asciiTheme="minorEastAsia" w:hAnsiTheme="minorEastAsia" w:eastAsiaTheme="minorEastAsia"/>
          <w:bCs/>
          <w:sz w:val="24"/>
        </w:rPr>
      </w:pPr>
      <w:r>
        <w:rPr>
          <w:rFonts w:asciiTheme="minorEastAsia" w:hAnsiTheme="minorEastAsia" w:eastAsiaTheme="minorEastAsia"/>
          <w:bCs/>
          <w:sz w:val="24"/>
        </w:rPr>
        <w:t xml:space="preserve">4. </w:t>
      </w:r>
      <w:r>
        <w:rPr>
          <w:rFonts w:hint="eastAsia" w:asciiTheme="minorEastAsia" w:hAnsiTheme="minorEastAsia" w:eastAsiaTheme="minorEastAsia"/>
          <w:bCs/>
          <w:sz w:val="24"/>
        </w:rPr>
        <w:t>施工及甲供材料设备合同估算额</w:t>
      </w:r>
      <w:r>
        <w:rPr>
          <w:rFonts w:asciiTheme="minorEastAsia" w:hAnsiTheme="minorEastAsia" w:eastAsiaTheme="minorEastAsia"/>
          <w:bCs/>
          <w:sz w:val="24"/>
        </w:rPr>
        <w:t>：</w:t>
      </w:r>
      <w:r>
        <w:rPr>
          <w:rFonts w:hint="eastAsia" w:asciiTheme="minorEastAsia" w:hAnsiTheme="minorEastAsia" w:eastAsiaTheme="minorEastAsia"/>
          <w:bCs/>
          <w:sz w:val="24"/>
        </w:rPr>
        <w:t>；</w:t>
      </w:r>
    </w:p>
    <w:p>
      <w:pPr>
        <w:adjustRightInd w:val="0"/>
        <w:snapToGrid w:val="0"/>
        <w:spacing w:line="288" w:lineRule="auto"/>
        <w:ind w:firstLine="475" w:firstLineChars="198"/>
        <w:jc w:val="left"/>
        <w:rPr>
          <w:rFonts w:asciiTheme="minorEastAsia" w:hAnsiTheme="minorEastAsia" w:eastAsiaTheme="minorEastAsia"/>
          <w:bCs/>
          <w:sz w:val="24"/>
        </w:rPr>
      </w:pPr>
      <w:r>
        <w:rPr>
          <w:rFonts w:asciiTheme="minorEastAsia" w:hAnsiTheme="minorEastAsia" w:eastAsiaTheme="minorEastAsia"/>
          <w:bCs/>
          <w:sz w:val="24"/>
        </w:rPr>
        <w:t>5.资金来源：</w:t>
      </w:r>
      <w:r>
        <w:rPr>
          <w:rFonts w:asciiTheme="minorEastAsia" w:hAnsiTheme="minorEastAsia" w:eastAsiaTheme="minorEastAsia"/>
          <w:bCs/>
          <w:sz w:val="24"/>
          <w:u w:val="single"/>
        </w:rPr>
        <w:t>　　　　　　　　</w:t>
      </w:r>
      <w:r>
        <w:rPr>
          <w:rFonts w:asciiTheme="minorEastAsia" w:hAnsiTheme="minorEastAsia" w:eastAsiaTheme="minorEastAsia"/>
          <w:bCs/>
          <w:sz w:val="24"/>
        </w:rPr>
        <w:t>。</w:t>
      </w:r>
    </w:p>
    <w:p>
      <w:pPr>
        <w:spacing w:line="288" w:lineRule="auto"/>
        <w:ind w:firstLine="422"/>
        <w:rPr>
          <w:rFonts w:asciiTheme="minorEastAsia" w:hAnsiTheme="minorEastAsia" w:eastAsiaTheme="minorEastAsia"/>
          <w:b/>
          <w:bCs/>
          <w:sz w:val="24"/>
        </w:rPr>
      </w:pPr>
      <w:r>
        <w:rPr>
          <w:rFonts w:hint="eastAsia" w:asciiTheme="minorEastAsia" w:hAnsiTheme="minorEastAsia" w:eastAsiaTheme="minorEastAsia"/>
          <w:b/>
          <w:bCs/>
          <w:sz w:val="24"/>
        </w:rPr>
        <w:t>二、词语限定</w:t>
      </w:r>
    </w:p>
    <w:p>
      <w:pPr>
        <w:adjustRightInd w:val="0"/>
        <w:snapToGrid w:val="0"/>
        <w:spacing w:line="288" w:lineRule="auto"/>
        <w:ind w:firstLine="475" w:firstLineChars="198"/>
        <w:rPr>
          <w:rFonts w:asciiTheme="minorEastAsia" w:hAnsiTheme="minorEastAsia" w:eastAsiaTheme="minorEastAsia"/>
          <w:bCs/>
          <w:sz w:val="24"/>
        </w:rPr>
      </w:pPr>
      <w:r>
        <w:rPr>
          <w:rFonts w:asciiTheme="minorEastAsia" w:hAnsiTheme="minorEastAsia" w:eastAsiaTheme="minorEastAsia"/>
          <w:bCs/>
          <w:sz w:val="24"/>
        </w:rPr>
        <w:t>协议书中相关词语的含义与通用条件中的定义与解释相同。</w:t>
      </w:r>
    </w:p>
    <w:p>
      <w:pPr>
        <w:spacing w:line="288" w:lineRule="auto"/>
        <w:ind w:firstLine="422"/>
        <w:rPr>
          <w:rFonts w:asciiTheme="minorEastAsia" w:hAnsiTheme="minorEastAsia" w:eastAsiaTheme="minorEastAsia"/>
          <w:b/>
          <w:bCs/>
          <w:sz w:val="24"/>
        </w:rPr>
      </w:pPr>
      <w:r>
        <w:rPr>
          <w:rFonts w:hint="eastAsia" w:asciiTheme="minorEastAsia" w:hAnsiTheme="minorEastAsia" w:eastAsiaTheme="minorEastAsia"/>
          <w:b/>
          <w:bCs/>
          <w:sz w:val="24"/>
        </w:rPr>
        <w:t>三、组成本合同的文件</w:t>
      </w:r>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w:t>
      </w:r>
      <w:r>
        <w:rPr>
          <w:rFonts w:hint="eastAsia" w:asciiTheme="minorEastAsia" w:hAnsiTheme="minorEastAsia" w:eastAsiaTheme="minorEastAsia"/>
          <w:bCs/>
          <w:sz w:val="24"/>
        </w:rPr>
        <w:t>合同</w:t>
      </w:r>
      <w:r>
        <w:rPr>
          <w:rFonts w:asciiTheme="minorEastAsia" w:hAnsiTheme="minorEastAsia" w:eastAsiaTheme="minorEastAsia"/>
          <w:bCs/>
          <w:sz w:val="24"/>
        </w:rPr>
        <w:t>协议书；</w:t>
      </w:r>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（2）中标通知书；</w:t>
      </w:r>
    </w:p>
    <w:p>
      <w:pPr>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3</w:t>
      </w:r>
      <w:r>
        <w:rPr>
          <w:rFonts w:hint="eastAsia" w:asciiTheme="minorEastAsia" w:hAnsiTheme="minorEastAsia" w:eastAsiaTheme="minorEastAsia"/>
          <w:bCs/>
          <w:sz w:val="24"/>
        </w:rPr>
        <w:t>）</w:t>
      </w:r>
      <w:r>
        <w:rPr>
          <w:rFonts w:asciiTheme="minorEastAsia" w:hAnsiTheme="minorEastAsia" w:eastAsiaTheme="minorEastAsia"/>
          <w:bCs/>
          <w:sz w:val="24"/>
        </w:rPr>
        <w:t>投标函</w:t>
      </w:r>
      <w:r>
        <w:rPr>
          <w:rFonts w:hint="eastAsia" w:asciiTheme="minorEastAsia" w:hAnsiTheme="minorEastAsia" w:eastAsiaTheme="minorEastAsia"/>
          <w:bCs/>
          <w:sz w:val="24"/>
        </w:rPr>
        <w:t>、</w:t>
      </w:r>
      <w:r>
        <w:rPr>
          <w:rFonts w:asciiTheme="minorEastAsia" w:hAnsiTheme="minorEastAsia" w:eastAsiaTheme="minorEastAsia"/>
          <w:bCs/>
          <w:sz w:val="24"/>
        </w:rPr>
        <w:t>投标函附录</w:t>
      </w:r>
      <w:r>
        <w:rPr>
          <w:rFonts w:hint="eastAsia" w:asciiTheme="minorEastAsia" w:hAnsiTheme="minorEastAsia" w:eastAsiaTheme="minorEastAsia"/>
          <w:bCs/>
          <w:sz w:val="24"/>
        </w:rPr>
        <w:t>、</w:t>
      </w:r>
      <w:r>
        <w:rPr>
          <w:rFonts w:asciiTheme="minorEastAsia" w:hAnsiTheme="minorEastAsia" w:eastAsiaTheme="minorEastAsia"/>
          <w:bCs/>
          <w:sz w:val="24"/>
        </w:rPr>
        <w:t>评标期间</w:t>
      </w:r>
      <w:r>
        <w:rPr>
          <w:rFonts w:hint="eastAsia" w:asciiTheme="minorEastAsia" w:hAnsiTheme="minorEastAsia" w:eastAsiaTheme="minorEastAsia"/>
          <w:bCs/>
          <w:sz w:val="24"/>
        </w:rPr>
        <w:t>和</w:t>
      </w:r>
      <w:r>
        <w:rPr>
          <w:rFonts w:asciiTheme="minorEastAsia" w:hAnsiTheme="minorEastAsia" w:eastAsiaTheme="minorEastAsia"/>
          <w:bCs/>
          <w:sz w:val="24"/>
        </w:rPr>
        <w:t>合同谈判过程中的</w:t>
      </w:r>
      <w:r>
        <w:rPr>
          <w:rFonts w:hint="eastAsia" w:asciiTheme="minorEastAsia" w:hAnsiTheme="minorEastAsia" w:eastAsiaTheme="minorEastAsia"/>
          <w:bCs/>
          <w:sz w:val="24"/>
        </w:rPr>
        <w:t>澄清及</w:t>
      </w:r>
      <w:r>
        <w:rPr>
          <w:rFonts w:asciiTheme="minorEastAsia" w:hAnsiTheme="minorEastAsia" w:eastAsiaTheme="minorEastAsia"/>
          <w:bCs/>
          <w:sz w:val="24"/>
        </w:rPr>
        <w:t>承诺</w:t>
      </w:r>
      <w:r>
        <w:rPr>
          <w:rFonts w:hint="eastAsia" w:asciiTheme="minorEastAsia" w:hAnsiTheme="minorEastAsia" w:eastAsiaTheme="minorEastAsia"/>
          <w:bCs/>
          <w:sz w:val="24"/>
        </w:rPr>
        <w:t>函</w:t>
      </w:r>
      <w:r>
        <w:rPr>
          <w:rFonts w:asciiTheme="minorEastAsia" w:hAnsiTheme="minorEastAsia" w:eastAsiaTheme="minorEastAsia"/>
          <w:bCs/>
          <w:sz w:val="24"/>
        </w:rPr>
        <w:t>；</w:t>
      </w:r>
    </w:p>
    <w:p>
      <w:pPr>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4）专用条件</w:t>
      </w:r>
      <w:r>
        <w:rPr>
          <w:rFonts w:hint="eastAsia" w:asciiTheme="minorEastAsia" w:hAnsiTheme="minorEastAsia" w:eastAsiaTheme="minorEastAsia"/>
          <w:bCs/>
          <w:sz w:val="24"/>
        </w:rPr>
        <w:t>及</w:t>
      </w:r>
      <w:r>
        <w:rPr>
          <w:rFonts w:asciiTheme="minorEastAsia" w:hAnsiTheme="minorEastAsia" w:eastAsiaTheme="minorEastAsia"/>
          <w:bCs/>
          <w:sz w:val="24"/>
        </w:rPr>
        <w:t>合同实施过程中的补充协议书；</w:t>
      </w:r>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（5）通用条件；</w:t>
      </w:r>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（6）监理服务标准和要求；</w:t>
      </w:r>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（7）投标文件</w:t>
      </w:r>
      <w:r>
        <w:rPr>
          <w:rFonts w:hint="eastAsia" w:asciiTheme="minorEastAsia" w:hAnsiTheme="minorEastAsia" w:eastAsiaTheme="minorEastAsia"/>
          <w:bCs/>
          <w:sz w:val="24"/>
        </w:rPr>
        <w:t>；</w:t>
      </w:r>
    </w:p>
    <w:p>
      <w:pPr>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（8）招标文件；</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（9）</w:t>
      </w:r>
      <w:r>
        <w:rPr>
          <w:rFonts w:asciiTheme="minorEastAsia" w:hAnsiTheme="minorEastAsia" w:eastAsiaTheme="minorEastAsia"/>
          <w:bCs/>
          <w:sz w:val="24"/>
        </w:rPr>
        <w:t>其他合同文件</w:t>
      </w:r>
      <w:r>
        <w:rPr>
          <w:rFonts w:hint="eastAsia" w:asciiTheme="minorEastAsia" w:hAnsiTheme="minorEastAsia" w:eastAsiaTheme="minorEastAsia"/>
          <w:bCs/>
          <w:sz w:val="24"/>
        </w:rPr>
        <w:t>；</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（10）</w:t>
      </w:r>
      <w:r>
        <w:rPr>
          <w:rFonts w:asciiTheme="minorEastAsia" w:hAnsiTheme="minorEastAsia" w:eastAsiaTheme="minorEastAsia"/>
          <w:bCs/>
          <w:sz w:val="24"/>
        </w:rPr>
        <w:t>附录，即：</w:t>
      </w:r>
    </w:p>
    <w:p>
      <w:pPr>
        <w:adjustRightInd w:val="0"/>
        <w:snapToGrid w:val="0"/>
        <w:spacing w:line="276" w:lineRule="auto"/>
        <w:ind w:firstLine="472" w:firstLineChars="197"/>
        <w:jc w:val="left"/>
        <w:rPr>
          <w:rFonts w:asciiTheme="minorEastAsia" w:hAnsiTheme="minorEastAsia" w:eastAsiaTheme="minorEastAsia"/>
          <w:bCs/>
          <w:sz w:val="24"/>
        </w:rPr>
      </w:pPr>
      <w:r>
        <w:rPr>
          <w:rFonts w:asciiTheme="minorEastAsia" w:hAnsiTheme="minorEastAsia" w:eastAsiaTheme="minorEastAsia"/>
          <w:bCs/>
          <w:sz w:val="24"/>
        </w:rPr>
        <w:t>附录A 相关服务的范围和内容</w:t>
      </w:r>
    </w:p>
    <w:p>
      <w:pPr>
        <w:adjustRightInd w:val="0"/>
        <w:snapToGrid w:val="0"/>
        <w:spacing w:line="276" w:lineRule="auto"/>
        <w:ind w:firstLine="472" w:firstLineChars="197"/>
        <w:jc w:val="left"/>
        <w:rPr>
          <w:rFonts w:asciiTheme="minorEastAsia" w:hAnsiTheme="minorEastAsia" w:eastAsiaTheme="minorEastAsia"/>
          <w:bCs/>
          <w:sz w:val="24"/>
        </w:rPr>
      </w:pPr>
      <w:r>
        <w:rPr>
          <w:rFonts w:asciiTheme="minorEastAsia" w:hAnsiTheme="minorEastAsia" w:eastAsiaTheme="minorEastAsia"/>
          <w:bCs/>
          <w:sz w:val="24"/>
        </w:rPr>
        <w:t>附录B 委托人派遣的人员和提供的房屋、资料、设备</w:t>
      </w:r>
    </w:p>
    <w:p>
      <w:pPr>
        <w:adjustRightInd w:val="0"/>
        <w:snapToGrid w:val="0"/>
        <w:spacing w:line="276" w:lineRule="auto"/>
        <w:ind w:firstLine="472" w:firstLineChars="197"/>
        <w:jc w:val="left"/>
        <w:rPr>
          <w:rFonts w:asciiTheme="minorEastAsia" w:hAnsiTheme="minorEastAsia" w:eastAsiaTheme="minorEastAsia"/>
          <w:bCs/>
          <w:sz w:val="24"/>
        </w:rPr>
      </w:pPr>
      <w:r>
        <w:rPr>
          <w:rFonts w:asciiTheme="minorEastAsia" w:hAnsiTheme="minorEastAsia" w:eastAsiaTheme="minorEastAsia"/>
          <w:bCs/>
          <w:sz w:val="24"/>
        </w:rPr>
        <w:t>附录C</w:t>
      </w:r>
      <w:r>
        <w:rPr>
          <w:rFonts w:hint="eastAsia" w:asciiTheme="minorEastAsia" w:hAnsiTheme="minorEastAsia" w:eastAsiaTheme="minorEastAsia"/>
          <w:bCs/>
          <w:sz w:val="24"/>
        </w:rPr>
        <w:t xml:space="preserve"> 廉洁从业合同</w:t>
      </w:r>
    </w:p>
    <w:p>
      <w:pPr>
        <w:adjustRightInd w:val="0"/>
        <w:snapToGrid w:val="0"/>
        <w:spacing w:line="276" w:lineRule="auto"/>
        <w:ind w:firstLine="472" w:firstLineChars="197"/>
        <w:jc w:val="left"/>
        <w:rPr>
          <w:rFonts w:asciiTheme="minorEastAsia" w:hAnsiTheme="minorEastAsia" w:eastAsiaTheme="minorEastAsia"/>
          <w:bCs/>
          <w:sz w:val="24"/>
        </w:rPr>
      </w:pPr>
      <w:r>
        <w:rPr>
          <w:rFonts w:asciiTheme="minorEastAsia" w:hAnsiTheme="minorEastAsia" w:eastAsiaTheme="minorEastAsia"/>
          <w:bCs/>
          <w:sz w:val="24"/>
        </w:rPr>
        <w:t>附录D安全责任保证书</w:t>
      </w:r>
    </w:p>
    <w:p>
      <w:pPr>
        <w:adjustRightInd w:val="0"/>
        <w:snapToGrid w:val="0"/>
        <w:spacing w:line="276" w:lineRule="auto"/>
        <w:ind w:firstLine="472" w:firstLineChars="197"/>
        <w:rPr>
          <w:rFonts w:asciiTheme="minorEastAsia" w:hAnsiTheme="minorEastAsia" w:eastAsiaTheme="minorEastAsia"/>
          <w:bCs/>
          <w:sz w:val="24"/>
        </w:rPr>
      </w:pPr>
      <w:r>
        <w:rPr>
          <w:rFonts w:asciiTheme="minorEastAsia" w:hAnsiTheme="minorEastAsia" w:eastAsiaTheme="minorEastAsia"/>
          <w:bCs/>
          <w:sz w:val="24"/>
        </w:rPr>
        <w:t>附录</w:t>
      </w:r>
      <w:r>
        <w:rPr>
          <w:rFonts w:hint="eastAsia" w:asciiTheme="minorEastAsia" w:hAnsiTheme="minorEastAsia" w:eastAsiaTheme="minorEastAsia"/>
          <w:bCs/>
          <w:sz w:val="24"/>
        </w:rPr>
        <w:t>E</w:t>
      </w:r>
      <w:r>
        <w:rPr>
          <w:rFonts w:asciiTheme="minorEastAsia" w:hAnsiTheme="minorEastAsia" w:eastAsiaTheme="minorEastAsia"/>
          <w:bCs/>
          <w:sz w:val="24"/>
        </w:rPr>
        <w:t>履约保函（参考格式）</w:t>
      </w:r>
    </w:p>
    <w:p>
      <w:pPr>
        <w:adjustRightInd w:val="0"/>
        <w:snapToGrid w:val="0"/>
        <w:spacing w:line="288" w:lineRule="auto"/>
        <w:ind w:firstLine="472" w:firstLineChars="197"/>
        <w:rPr>
          <w:rFonts w:asciiTheme="minorEastAsia" w:hAnsiTheme="minorEastAsia" w:eastAsiaTheme="minorEastAsia"/>
          <w:bCs/>
          <w:sz w:val="24"/>
        </w:rPr>
      </w:pPr>
      <w:r>
        <w:rPr>
          <w:rFonts w:asciiTheme="minorEastAsia" w:hAnsiTheme="minorEastAsia" w:eastAsiaTheme="minorEastAsia"/>
          <w:bCs/>
          <w:sz w:val="24"/>
        </w:rPr>
        <w:t>本合同签订后，双方依法签订的补充协议也是本合同文件的组成部分。</w:t>
      </w:r>
    </w:p>
    <w:p>
      <w:pPr>
        <w:spacing w:line="288" w:lineRule="auto"/>
        <w:ind w:firstLine="422"/>
        <w:rPr>
          <w:rFonts w:asciiTheme="minorEastAsia" w:hAnsiTheme="minorEastAsia" w:eastAsiaTheme="minorEastAsia"/>
          <w:b/>
          <w:bCs/>
          <w:sz w:val="24"/>
        </w:rPr>
      </w:pPr>
      <w:r>
        <w:rPr>
          <w:rFonts w:hint="eastAsia" w:asciiTheme="minorEastAsia" w:hAnsiTheme="minorEastAsia" w:eastAsiaTheme="minorEastAsia"/>
          <w:b/>
          <w:bCs/>
          <w:sz w:val="24"/>
        </w:rPr>
        <w:t>四、总监理工程师</w:t>
      </w:r>
    </w:p>
    <w:p>
      <w:pPr>
        <w:adjustRightInd w:val="0"/>
        <w:snapToGrid w:val="0"/>
        <w:spacing w:line="288" w:lineRule="auto"/>
        <w:ind w:left="424" w:leftChars="202"/>
        <w:rPr>
          <w:rFonts w:asciiTheme="minorEastAsia" w:hAnsiTheme="minorEastAsia" w:eastAsiaTheme="minorEastAsia"/>
          <w:bCs/>
          <w:kern w:val="0"/>
          <w:sz w:val="24"/>
        </w:rPr>
      </w:pPr>
      <w:r>
        <w:rPr>
          <w:rFonts w:asciiTheme="minorEastAsia" w:hAnsiTheme="minorEastAsia" w:eastAsiaTheme="minorEastAsia"/>
          <w:bCs/>
          <w:kern w:val="0"/>
          <w:sz w:val="24"/>
        </w:rPr>
        <w:t>总监理工程师姓名：，身份证号码：，注册</w:t>
      </w:r>
      <w:r>
        <w:rPr>
          <w:rFonts w:hint="eastAsia" w:asciiTheme="minorEastAsia" w:hAnsiTheme="minorEastAsia" w:eastAsiaTheme="minorEastAsia"/>
          <w:bCs/>
          <w:kern w:val="0"/>
          <w:sz w:val="24"/>
        </w:rPr>
        <w:t>监理工程师证</w:t>
      </w:r>
      <w:r>
        <w:rPr>
          <w:rFonts w:asciiTheme="minorEastAsia" w:hAnsiTheme="minorEastAsia" w:eastAsiaTheme="minorEastAsia"/>
          <w:bCs/>
          <w:kern w:val="0"/>
          <w:sz w:val="24"/>
        </w:rPr>
        <w:t>号：。</w:t>
      </w:r>
    </w:p>
    <w:p>
      <w:pPr>
        <w:spacing w:line="288" w:lineRule="auto"/>
        <w:ind w:firstLine="422"/>
        <w:rPr>
          <w:rFonts w:asciiTheme="minorEastAsia" w:hAnsiTheme="minorEastAsia" w:eastAsiaTheme="minorEastAsia"/>
          <w:b/>
          <w:bCs/>
          <w:sz w:val="24"/>
        </w:rPr>
      </w:pPr>
      <w:r>
        <w:rPr>
          <w:rFonts w:hint="eastAsia" w:asciiTheme="minorEastAsia" w:hAnsiTheme="minorEastAsia" w:eastAsiaTheme="minorEastAsia"/>
          <w:b/>
          <w:bCs/>
          <w:sz w:val="24"/>
        </w:rPr>
        <w:t>五、签约酬金</w:t>
      </w:r>
    </w:p>
    <w:p>
      <w:pPr>
        <w:adjustRightInd w:val="0"/>
        <w:snapToGrid w:val="0"/>
        <w:spacing w:line="288" w:lineRule="auto"/>
        <w:ind w:firstLine="475" w:firstLineChars="198"/>
        <w:rPr>
          <w:rFonts w:asciiTheme="minorEastAsia" w:hAnsiTheme="minorEastAsia" w:eastAsiaTheme="minorEastAsia"/>
          <w:bCs/>
          <w:sz w:val="24"/>
        </w:rPr>
      </w:pPr>
      <w:r>
        <w:rPr>
          <w:rFonts w:asciiTheme="minorEastAsia" w:hAnsiTheme="minorEastAsia" w:eastAsiaTheme="minorEastAsia"/>
          <w:bCs/>
          <w:sz w:val="24"/>
        </w:rPr>
        <w:t>监理服务费</w:t>
      </w:r>
      <w:r>
        <w:rPr>
          <w:rFonts w:hint="eastAsia" w:asciiTheme="minorEastAsia" w:hAnsiTheme="minorEastAsia" w:eastAsiaTheme="minorEastAsia"/>
          <w:bCs/>
          <w:sz w:val="24"/>
        </w:rPr>
        <w:t>费率为：；</w:t>
      </w:r>
    </w:p>
    <w:p>
      <w:pPr>
        <w:adjustRightInd w:val="0"/>
        <w:snapToGrid w:val="0"/>
        <w:spacing w:line="288" w:lineRule="auto"/>
        <w:ind w:firstLine="475" w:firstLineChars="198"/>
        <w:rPr>
          <w:rFonts w:asciiTheme="minorEastAsia" w:hAnsiTheme="minorEastAsia" w:eastAsiaTheme="minorEastAsia"/>
          <w:bCs/>
          <w:sz w:val="24"/>
          <w:u w:val="single"/>
        </w:rPr>
      </w:pPr>
      <w:r>
        <w:rPr>
          <w:rFonts w:hint="eastAsia" w:asciiTheme="minorEastAsia" w:hAnsiTheme="minorEastAsia" w:eastAsiaTheme="minorEastAsia"/>
          <w:bCs/>
          <w:sz w:val="24"/>
        </w:rPr>
        <w:t>签约合同价：；</w:t>
      </w:r>
    </w:p>
    <w:p>
      <w:pPr>
        <w:adjustRightInd w:val="0"/>
        <w:snapToGrid w:val="0"/>
        <w:spacing w:line="288" w:lineRule="auto"/>
        <w:ind w:firstLine="475" w:firstLineChars="198"/>
        <w:rPr>
          <w:rFonts w:asciiTheme="minorEastAsia" w:hAnsiTheme="minorEastAsia" w:eastAsiaTheme="minorEastAsia"/>
          <w:bCs/>
          <w:sz w:val="24"/>
        </w:rPr>
      </w:pPr>
      <w:r>
        <w:rPr>
          <w:rFonts w:hint="eastAsia" w:asciiTheme="minorEastAsia" w:hAnsiTheme="minorEastAsia" w:eastAsiaTheme="minorEastAsia"/>
          <w:bCs/>
          <w:sz w:val="24"/>
        </w:rPr>
        <w:t>经测算的不含税合同价：。</w:t>
      </w:r>
    </w:p>
    <w:p>
      <w:pPr>
        <w:spacing w:line="288" w:lineRule="auto"/>
        <w:ind w:firstLine="422"/>
        <w:rPr>
          <w:rFonts w:asciiTheme="minorEastAsia" w:hAnsiTheme="minorEastAsia" w:eastAsiaTheme="minorEastAsia"/>
          <w:b/>
          <w:bCs/>
          <w:sz w:val="24"/>
        </w:rPr>
      </w:pPr>
      <w:r>
        <w:rPr>
          <w:rFonts w:hint="eastAsia" w:asciiTheme="minorEastAsia" w:hAnsiTheme="minorEastAsia" w:eastAsiaTheme="minorEastAsia"/>
          <w:b/>
          <w:bCs/>
          <w:sz w:val="24"/>
        </w:rPr>
        <w:t>六、工程范围</w:t>
      </w:r>
    </w:p>
    <w:p>
      <w:pPr>
        <w:adjustRightInd w:val="0"/>
        <w:snapToGrid w:val="0"/>
        <w:spacing w:line="288" w:lineRule="auto"/>
        <w:ind w:firstLine="475" w:firstLineChars="198"/>
        <w:rPr>
          <w:rFonts w:asciiTheme="minorEastAsia" w:hAnsiTheme="minorEastAsia" w:eastAsiaTheme="minorEastAsia"/>
          <w:bCs/>
          <w:sz w:val="24"/>
        </w:rPr>
      </w:pPr>
      <w:r>
        <w:rPr>
          <w:rFonts w:hint="eastAsia" w:asciiTheme="minorEastAsia" w:hAnsiTheme="minorEastAsia" w:eastAsiaTheme="minorEastAsia"/>
          <w:bCs/>
          <w:sz w:val="24"/>
        </w:rPr>
        <w:t>为 。</w:t>
      </w:r>
    </w:p>
    <w:p>
      <w:pPr>
        <w:spacing w:line="288" w:lineRule="auto"/>
        <w:ind w:firstLine="422"/>
        <w:rPr>
          <w:rFonts w:asciiTheme="minorEastAsia" w:hAnsiTheme="minorEastAsia" w:eastAsiaTheme="minorEastAsia"/>
          <w:b/>
          <w:bCs/>
          <w:sz w:val="24"/>
        </w:rPr>
      </w:pPr>
      <w:r>
        <w:rPr>
          <w:rFonts w:hint="eastAsia" w:asciiTheme="minorEastAsia" w:hAnsiTheme="minorEastAsia" w:eastAsiaTheme="minorEastAsia"/>
          <w:b/>
          <w:bCs/>
          <w:sz w:val="24"/>
        </w:rPr>
        <w:t>七、服务期限</w:t>
      </w:r>
    </w:p>
    <w:p>
      <w:pPr>
        <w:adjustRightInd w:val="0"/>
        <w:snapToGrid w:val="0"/>
        <w:spacing w:line="288" w:lineRule="auto"/>
        <w:ind w:firstLine="475" w:firstLineChars="198"/>
        <w:rPr>
          <w:rFonts w:asciiTheme="minorEastAsia" w:hAnsiTheme="minorEastAsia" w:eastAsiaTheme="minorEastAsia"/>
          <w:bCs/>
          <w:sz w:val="24"/>
        </w:rPr>
      </w:pPr>
      <w:r>
        <w:rPr>
          <w:rFonts w:hint="eastAsia" w:asciiTheme="minorEastAsia" w:hAnsiTheme="minorEastAsia" w:eastAsiaTheme="minorEastAsia"/>
          <w:bCs/>
          <w:sz w:val="24"/>
        </w:rPr>
        <w:t>自 年月日起，至 年月日止。</w:t>
      </w:r>
    </w:p>
    <w:p>
      <w:pPr>
        <w:adjustRightInd w:val="0"/>
        <w:snapToGrid w:val="0"/>
        <w:spacing w:line="288" w:lineRule="auto"/>
        <w:ind w:firstLine="487" w:firstLineChars="202"/>
        <w:jc w:val="left"/>
        <w:rPr>
          <w:rFonts w:asciiTheme="minorEastAsia" w:hAnsiTheme="minorEastAsia" w:eastAsiaTheme="minorEastAsia"/>
          <w:b/>
          <w:bCs/>
          <w:sz w:val="24"/>
        </w:rPr>
      </w:pPr>
      <w:r>
        <w:rPr>
          <w:rFonts w:hint="eastAsia" w:asciiTheme="minorEastAsia" w:hAnsiTheme="minorEastAsia" w:eastAsiaTheme="minorEastAsia"/>
          <w:b/>
          <w:bCs/>
          <w:sz w:val="24"/>
        </w:rPr>
        <w:t>八、双方承诺</w:t>
      </w:r>
    </w:p>
    <w:p>
      <w:pPr>
        <w:adjustRightInd w:val="0"/>
        <w:snapToGrid w:val="0"/>
        <w:spacing w:line="288" w:lineRule="auto"/>
        <w:ind w:firstLine="475" w:firstLineChars="198"/>
        <w:rPr>
          <w:rFonts w:asciiTheme="minorEastAsia" w:hAnsiTheme="minorEastAsia" w:eastAsiaTheme="minorEastAsia"/>
          <w:bCs/>
          <w:sz w:val="24"/>
        </w:rPr>
      </w:pPr>
      <w:r>
        <w:rPr>
          <w:rFonts w:asciiTheme="minorEastAsia" w:hAnsiTheme="minorEastAsia" w:eastAsiaTheme="minorEastAsia"/>
          <w:bCs/>
          <w:sz w:val="24"/>
        </w:rPr>
        <w:t>1. 监理人向委托人承诺，按照本合同约定提供监理与相关服务。</w:t>
      </w:r>
    </w:p>
    <w:p>
      <w:pPr>
        <w:adjustRightInd w:val="0"/>
        <w:snapToGrid w:val="0"/>
        <w:spacing w:line="288" w:lineRule="auto"/>
        <w:ind w:firstLine="475" w:firstLineChars="198"/>
        <w:rPr>
          <w:rFonts w:asciiTheme="minorEastAsia" w:hAnsiTheme="minorEastAsia" w:eastAsiaTheme="minorEastAsia"/>
          <w:bCs/>
          <w:sz w:val="24"/>
        </w:rPr>
      </w:pPr>
      <w:r>
        <w:rPr>
          <w:rFonts w:asciiTheme="minorEastAsia" w:hAnsiTheme="minorEastAsia" w:eastAsiaTheme="minorEastAsia"/>
          <w:bCs/>
          <w:sz w:val="24"/>
        </w:rPr>
        <w:t>2. 委托人向监理人承诺，按照本合同约定支付酬金。</w:t>
      </w:r>
    </w:p>
    <w:p>
      <w:pPr>
        <w:spacing w:line="288" w:lineRule="auto"/>
        <w:ind w:firstLine="422"/>
        <w:rPr>
          <w:rFonts w:asciiTheme="minorEastAsia" w:hAnsiTheme="minorEastAsia" w:eastAsiaTheme="minorEastAsia"/>
          <w:b/>
          <w:bCs/>
          <w:sz w:val="24"/>
        </w:rPr>
      </w:pPr>
      <w:r>
        <w:rPr>
          <w:rFonts w:hint="eastAsia" w:asciiTheme="minorEastAsia" w:hAnsiTheme="minorEastAsia" w:eastAsiaTheme="minorEastAsia"/>
          <w:b/>
          <w:bCs/>
          <w:sz w:val="24"/>
        </w:rPr>
        <w:t>九、合同订立</w:t>
      </w:r>
    </w:p>
    <w:p>
      <w:pPr>
        <w:adjustRightInd w:val="0"/>
        <w:snapToGrid w:val="0"/>
        <w:spacing w:line="288" w:lineRule="auto"/>
        <w:ind w:firstLine="475" w:firstLineChars="198"/>
        <w:rPr>
          <w:rFonts w:asciiTheme="minorEastAsia" w:hAnsiTheme="minorEastAsia" w:eastAsiaTheme="minorEastAsia"/>
          <w:bCs/>
          <w:sz w:val="24"/>
        </w:rPr>
      </w:pPr>
      <w:r>
        <w:rPr>
          <w:rFonts w:asciiTheme="minorEastAsia" w:hAnsiTheme="minorEastAsia" w:eastAsiaTheme="minorEastAsia"/>
          <w:bCs/>
          <w:sz w:val="24"/>
        </w:rPr>
        <w:t>1. 订立时间：年月日。</w:t>
      </w:r>
    </w:p>
    <w:p>
      <w:pPr>
        <w:adjustRightInd w:val="0"/>
        <w:snapToGrid w:val="0"/>
        <w:spacing w:line="288" w:lineRule="auto"/>
        <w:ind w:firstLine="475" w:firstLineChars="198"/>
        <w:rPr>
          <w:rFonts w:asciiTheme="minorEastAsia" w:hAnsiTheme="minorEastAsia" w:eastAsiaTheme="minorEastAsia"/>
          <w:bCs/>
          <w:sz w:val="24"/>
        </w:rPr>
      </w:pPr>
      <w:r>
        <w:rPr>
          <w:rFonts w:asciiTheme="minorEastAsia" w:hAnsiTheme="minorEastAsia" w:eastAsiaTheme="minorEastAsia"/>
          <w:bCs/>
          <w:sz w:val="24"/>
        </w:rPr>
        <w:t>2. 订立地点：。</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3. 本合同文件正本一式份，副本份，委托人执正本份，副本份，</w:t>
      </w:r>
      <w:r>
        <w:rPr>
          <w:rFonts w:hint="eastAsia" w:asciiTheme="minorEastAsia" w:hAnsiTheme="minorEastAsia" w:eastAsiaTheme="minorEastAsia"/>
          <w:bCs/>
          <w:sz w:val="24"/>
        </w:rPr>
        <w:t>监理</w:t>
      </w:r>
      <w:r>
        <w:rPr>
          <w:rFonts w:asciiTheme="minorEastAsia" w:hAnsiTheme="minorEastAsia" w:eastAsiaTheme="minorEastAsia"/>
          <w:bCs/>
          <w:sz w:val="24"/>
        </w:rPr>
        <w:t>人执正本份，副本份。</w:t>
      </w:r>
    </w:p>
    <w:p>
      <w:pPr>
        <w:adjustRightInd w:val="0"/>
        <w:snapToGrid w:val="0"/>
        <w:spacing w:line="288" w:lineRule="auto"/>
        <w:ind w:firstLine="475" w:firstLineChars="198"/>
        <w:rPr>
          <w:rFonts w:asciiTheme="minorEastAsia" w:hAnsiTheme="minorEastAsia" w:eastAsiaTheme="minorEastAsia"/>
          <w:bCs/>
          <w:sz w:val="24"/>
        </w:rPr>
      </w:pPr>
    </w:p>
    <w:p>
      <w:pPr>
        <w:adjustRightInd w:val="0"/>
        <w:snapToGrid w:val="0"/>
        <w:spacing w:line="420" w:lineRule="exact"/>
        <w:ind w:firstLine="475" w:firstLineChars="198"/>
        <w:rPr>
          <w:rFonts w:asciiTheme="minorEastAsia" w:hAnsiTheme="minorEastAsia" w:eastAsiaTheme="minorEastAsia"/>
          <w:bCs/>
          <w:sz w:val="24"/>
        </w:rPr>
      </w:pPr>
      <w:bookmarkStart w:id="867" w:name="_Toc496098713"/>
      <w:r>
        <w:rPr>
          <w:rFonts w:asciiTheme="minorEastAsia" w:hAnsiTheme="minorEastAsia" w:eastAsiaTheme="minorEastAsia"/>
          <w:bCs/>
          <w:sz w:val="24"/>
        </w:rPr>
        <w:t>委托人：</w:t>
      </w:r>
      <w:r>
        <w:rPr>
          <w:rFonts w:asciiTheme="minorEastAsia" w:hAnsiTheme="minorEastAsia" w:eastAsiaTheme="minorEastAsia"/>
          <w:bCs/>
          <w:sz w:val="24"/>
          <w:u w:val="single"/>
        </w:rPr>
        <w:t xml:space="preserve">   （盖章）     </w:t>
      </w:r>
      <w:r>
        <w:rPr>
          <w:rFonts w:asciiTheme="minorEastAsia" w:hAnsiTheme="minorEastAsia" w:eastAsiaTheme="minorEastAsia"/>
          <w:bCs/>
          <w:sz w:val="24"/>
        </w:rPr>
        <w:t>监理人：</w:t>
      </w:r>
      <w:r>
        <w:rPr>
          <w:rFonts w:asciiTheme="minorEastAsia" w:hAnsiTheme="minorEastAsia" w:eastAsiaTheme="minorEastAsia"/>
          <w:bCs/>
          <w:sz w:val="24"/>
          <w:u w:val="single"/>
        </w:rPr>
        <w:t xml:space="preserve">   （盖章）</w:t>
      </w:r>
    </w:p>
    <w:p>
      <w:pPr>
        <w:adjustRightInd w:val="0"/>
        <w:snapToGrid w:val="0"/>
        <w:spacing w:line="420" w:lineRule="exact"/>
        <w:ind w:firstLine="475" w:firstLineChars="198"/>
        <w:rPr>
          <w:rFonts w:asciiTheme="minorEastAsia" w:hAnsiTheme="minorEastAsia" w:eastAsiaTheme="minorEastAsia"/>
          <w:bCs/>
          <w:sz w:val="24"/>
        </w:rPr>
      </w:pPr>
      <w:r>
        <w:rPr>
          <w:rFonts w:asciiTheme="minorEastAsia" w:hAnsiTheme="minorEastAsia" w:eastAsiaTheme="minorEastAsia"/>
          <w:bCs/>
          <w:sz w:val="24"/>
        </w:rPr>
        <w:t xml:space="preserve">住所：     住所： </w:t>
      </w:r>
    </w:p>
    <w:p>
      <w:pPr>
        <w:adjustRightInd w:val="0"/>
        <w:snapToGrid w:val="0"/>
        <w:spacing w:line="420" w:lineRule="exact"/>
        <w:ind w:firstLine="420"/>
        <w:rPr>
          <w:rFonts w:asciiTheme="minorEastAsia" w:hAnsiTheme="minorEastAsia" w:eastAsiaTheme="minorEastAsia"/>
          <w:bCs/>
          <w:sz w:val="24"/>
        </w:rPr>
      </w:pPr>
      <w:r>
        <w:rPr>
          <w:rFonts w:asciiTheme="minorEastAsia" w:hAnsiTheme="minorEastAsia" w:eastAsiaTheme="minorEastAsia"/>
          <w:bCs/>
          <w:sz w:val="24"/>
        </w:rPr>
        <w:t>邮政编码：邮政编码：</w:t>
      </w:r>
    </w:p>
    <w:p>
      <w:pPr>
        <w:adjustRightInd w:val="0"/>
        <w:snapToGrid w:val="0"/>
        <w:spacing w:line="420" w:lineRule="exact"/>
        <w:ind w:firstLine="475" w:firstLineChars="198"/>
        <w:rPr>
          <w:rFonts w:asciiTheme="minorEastAsia" w:hAnsiTheme="minorEastAsia" w:eastAsiaTheme="minorEastAsia"/>
          <w:bCs/>
          <w:sz w:val="24"/>
        </w:rPr>
      </w:pPr>
      <w:r>
        <w:rPr>
          <w:rFonts w:asciiTheme="minorEastAsia" w:hAnsiTheme="minorEastAsia" w:eastAsiaTheme="minorEastAsia"/>
          <w:bCs/>
          <w:sz w:val="24"/>
        </w:rPr>
        <w:t>法定代表人或其授权       法定代表人或其授权</w:t>
      </w:r>
    </w:p>
    <w:p>
      <w:pPr>
        <w:adjustRightInd w:val="0"/>
        <w:snapToGrid w:val="0"/>
        <w:spacing w:line="420" w:lineRule="exact"/>
        <w:ind w:firstLine="475" w:firstLineChars="198"/>
        <w:rPr>
          <w:rFonts w:asciiTheme="minorEastAsia" w:hAnsiTheme="minorEastAsia" w:eastAsiaTheme="minorEastAsia"/>
          <w:bCs/>
          <w:sz w:val="24"/>
        </w:rPr>
      </w:pPr>
      <w:r>
        <w:rPr>
          <w:rFonts w:asciiTheme="minorEastAsia" w:hAnsiTheme="minorEastAsia" w:eastAsiaTheme="minorEastAsia"/>
          <w:bCs/>
          <w:sz w:val="24"/>
        </w:rPr>
        <w:t>的代理人：</w:t>
      </w:r>
      <w:r>
        <w:rPr>
          <w:rFonts w:asciiTheme="minorEastAsia" w:hAnsiTheme="minorEastAsia" w:eastAsiaTheme="minorEastAsia"/>
          <w:bCs/>
          <w:sz w:val="24"/>
          <w:u w:val="single"/>
        </w:rPr>
        <w:t xml:space="preserve">（签字）      </w:t>
      </w:r>
      <w:r>
        <w:rPr>
          <w:rFonts w:asciiTheme="minorEastAsia" w:hAnsiTheme="minorEastAsia" w:eastAsiaTheme="minorEastAsia"/>
          <w:bCs/>
          <w:sz w:val="24"/>
        </w:rPr>
        <w:t>的代理人：</w:t>
      </w:r>
      <w:r>
        <w:rPr>
          <w:rFonts w:asciiTheme="minorEastAsia" w:hAnsiTheme="minorEastAsia" w:eastAsiaTheme="minorEastAsia"/>
          <w:bCs/>
          <w:sz w:val="24"/>
          <w:u w:val="single"/>
        </w:rPr>
        <w:t xml:space="preserve">（签字）          </w:t>
      </w:r>
    </w:p>
    <w:p>
      <w:pPr>
        <w:adjustRightInd w:val="0"/>
        <w:snapToGrid w:val="0"/>
        <w:spacing w:line="420" w:lineRule="exact"/>
        <w:ind w:firstLine="475" w:firstLineChars="198"/>
        <w:rPr>
          <w:rFonts w:asciiTheme="minorEastAsia" w:hAnsiTheme="minorEastAsia" w:eastAsiaTheme="minorEastAsia"/>
          <w:bCs/>
          <w:sz w:val="24"/>
        </w:rPr>
      </w:pPr>
      <w:r>
        <w:rPr>
          <w:rFonts w:asciiTheme="minorEastAsia" w:hAnsiTheme="minorEastAsia" w:eastAsiaTheme="minorEastAsia"/>
          <w:bCs/>
          <w:sz w:val="24"/>
        </w:rPr>
        <w:t>开户银行：开户银行：</w:t>
      </w:r>
    </w:p>
    <w:p>
      <w:pPr>
        <w:adjustRightInd w:val="0"/>
        <w:snapToGrid w:val="0"/>
        <w:spacing w:line="420" w:lineRule="exact"/>
        <w:ind w:firstLine="475" w:firstLineChars="198"/>
        <w:rPr>
          <w:rFonts w:asciiTheme="minorEastAsia" w:hAnsiTheme="minorEastAsia" w:eastAsiaTheme="minorEastAsia"/>
          <w:bCs/>
          <w:sz w:val="24"/>
        </w:rPr>
      </w:pPr>
      <w:r>
        <w:rPr>
          <w:rFonts w:asciiTheme="minorEastAsia" w:hAnsiTheme="minorEastAsia" w:eastAsiaTheme="minorEastAsia"/>
          <w:bCs/>
          <w:sz w:val="24"/>
        </w:rPr>
        <w:t>账号：账号：</w:t>
      </w:r>
    </w:p>
    <w:p>
      <w:pPr>
        <w:adjustRightInd w:val="0"/>
        <w:snapToGrid w:val="0"/>
        <w:spacing w:line="420" w:lineRule="exact"/>
        <w:ind w:firstLine="475" w:firstLineChars="198"/>
        <w:rPr>
          <w:rFonts w:asciiTheme="minorEastAsia" w:hAnsiTheme="minorEastAsia" w:eastAsiaTheme="minorEastAsia"/>
          <w:bCs/>
          <w:sz w:val="24"/>
        </w:rPr>
      </w:pPr>
      <w:r>
        <w:rPr>
          <w:rFonts w:asciiTheme="minorEastAsia" w:hAnsiTheme="minorEastAsia" w:eastAsiaTheme="minorEastAsia"/>
          <w:bCs/>
          <w:sz w:val="24"/>
        </w:rPr>
        <w:t>电话：电话：</w:t>
      </w:r>
    </w:p>
    <w:p>
      <w:pPr>
        <w:adjustRightInd w:val="0"/>
        <w:snapToGrid w:val="0"/>
        <w:spacing w:line="420" w:lineRule="exact"/>
        <w:ind w:firstLine="475" w:firstLineChars="198"/>
        <w:rPr>
          <w:rFonts w:asciiTheme="minorEastAsia" w:hAnsiTheme="minorEastAsia" w:eastAsiaTheme="minorEastAsia"/>
          <w:bCs/>
          <w:sz w:val="24"/>
        </w:rPr>
      </w:pPr>
      <w:r>
        <w:rPr>
          <w:rFonts w:asciiTheme="minorEastAsia" w:hAnsiTheme="minorEastAsia" w:eastAsiaTheme="minorEastAsia"/>
          <w:bCs/>
          <w:sz w:val="24"/>
        </w:rPr>
        <w:t>传真：传真：</w:t>
      </w:r>
    </w:p>
    <w:p>
      <w:pPr>
        <w:adjustRightInd w:val="0"/>
        <w:snapToGrid w:val="0"/>
        <w:spacing w:line="420" w:lineRule="exact"/>
        <w:ind w:firstLine="475" w:firstLineChars="198"/>
        <w:rPr>
          <w:rFonts w:asciiTheme="minorEastAsia" w:hAnsiTheme="minorEastAsia" w:eastAsiaTheme="minorEastAsia"/>
          <w:bCs/>
          <w:sz w:val="24"/>
          <w:u w:val="single"/>
        </w:rPr>
      </w:pPr>
      <w:r>
        <w:rPr>
          <w:rFonts w:asciiTheme="minorEastAsia" w:hAnsiTheme="minorEastAsia" w:eastAsiaTheme="minorEastAsia"/>
          <w:bCs/>
          <w:sz w:val="24"/>
        </w:rPr>
        <w:t>电子邮箱：电子邮箱：</w:t>
      </w:r>
    </w:p>
    <w:p/>
    <w:p/>
    <w:p/>
    <w:p/>
    <w:p/>
    <w:p/>
    <w:p/>
    <w:p/>
    <w:p/>
    <w:p/>
    <w:p/>
    <w:p/>
    <w:p>
      <w:pPr>
        <w:pStyle w:val="2"/>
        <w:jc w:val="center"/>
      </w:pPr>
      <w:bookmarkStart w:id="868" w:name="_Toc18396"/>
      <w:r>
        <w:rPr>
          <w:rFonts w:hint="eastAsia"/>
        </w:rPr>
        <w:t>第二部分  通用条件</w:t>
      </w:r>
      <w:bookmarkEnd w:id="867"/>
      <w:bookmarkEnd w:id="868"/>
    </w:p>
    <w:p>
      <w:pPr>
        <w:pStyle w:val="2"/>
        <w:spacing w:line="288" w:lineRule="auto"/>
      </w:pPr>
      <w:bookmarkStart w:id="869" w:name="_Toc9639"/>
      <w:bookmarkStart w:id="870" w:name="_Toc496098714"/>
      <w:bookmarkStart w:id="871" w:name="_Toc443898800"/>
      <w:r>
        <w:rPr>
          <w:rFonts w:hint="eastAsia"/>
        </w:rPr>
        <w:t>1. 定义与解释</w:t>
      </w:r>
      <w:bookmarkEnd w:id="869"/>
      <w:bookmarkEnd w:id="870"/>
      <w:bookmarkEnd w:id="871"/>
    </w:p>
    <w:p>
      <w:pPr>
        <w:pStyle w:val="4"/>
        <w:spacing w:line="288" w:lineRule="auto"/>
      </w:pPr>
      <w:bookmarkStart w:id="872" w:name="_Toc443898801"/>
      <w:bookmarkStart w:id="873" w:name="_Toc499311150"/>
      <w:bookmarkStart w:id="874" w:name="_Toc3131"/>
      <w:bookmarkStart w:id="875" w:name="_Toc29090"/>
      <w:bookmarkStart w:id="876" w:name="_Toc496098715"/>
      <w:bookmarkStart w:id="877" w:name="_Toc499204935"/>
      <w:r>
        <w:rPr>
          <w:rFonts w:hint="eastAsia"/>
        </w:rPr>
        <w:t>1.1 定义</w:t>
      </w:r>
      <w:bookmarkEnd w:id="872"/>
      <w:bookmarkEnd w:id="873"/>
      <w:bookmarkEnd w:id="874"/>
      <w:bookmarkEnd w:id="875"/>
      <w:bookmarkEnd w:id="876"/>
      <w:bookmarkEnd w:id="877"/>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除根据上下文另有其意义外，组成本合同的全部文件中的下列名词和用语应具有本款所赋予的含义：</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1.1.1 “工程”是指按照本合同约定实施监理与相关服务的建设工程。</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1.1.2 “委托人”是指本合同中委托监理与相关服务的一方，及其合法的继承人或受让人。</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1.1.3 “监理人”是指本合同中提供监理与相关服务的一方，及其合法的继承人。</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1.1.4 “承包人”是指在工程范围内与委托人签订勘察、设计、施工等有关合同的当事人，及其合法的继承人。</w:t>
      </w:r>
    </w:p>
    <w:p>
      <w:pPr>
        <w:pStyle w:val="12"/>
        <w:spacing w:line="288"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1.1.6 “相关服务”是指监理人受委托人的委托 ，按照本合同约定，在勘察、设计、保修等阶段提供的服务活动。</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1.1.7 “正常工作”指本合同订立时通用条件和专用条件中约定的监理人的工作。</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1.1.8 “附加工作”是指本合同约定的正常工作以外监理人的工作。</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1.1.9 “项目监理机构”是指监理人派驻工程负责履行本合同的组织机构。</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1.1.10 “总监理工程师”是指由监理人的法定代表人书面授权，全面负责履行本合同、主持项目监理机构工作的注册监理工程师。</w:t>
      </w:r>
    </w:p>
    <w:p>
      <w:pPr>
        <w:adjustRightInd w:val="0"/>
        <w:snapToGrid w:val="0"/>
        <w:spacing w:line="288" w:lineRule="auto"/>
        <w:ind w:firstLine="475" w:firstLineChars="198"/>
        <w:rPr>
          <w:rFonts w:asciiTheme="minorEastAsia" w:hAnsiTheme="minorEastAsia" w:eastAsiaTheme="minorEastAsia"/>
          <w:sz w:val="24"/>
        </w:rPr>
      </w:pPr>
      <w:r>
        <w:rPr>
          <w:rFonts w:hint="eastAsia" w:asciiTheme="minorEastAsia" w:hAnsiTheme="minorEastAsia" w:eastAsiaTheme="minorEastAsia"/>
          <w:sz w:val="24"/>
        </w:rPr>
        <w:t>1.1.11 “酬金”是指监理人履行本合同义务，委托人按照本合同约定给付监理人的金额。</w:t>
      </w:r>
    </w:p>
    <w:p>
      <w:pPr>
        <w:adjustRightInd w:val="0"/>
        <w:snapToGrid w:val="0"/>
        <w:spacing w:line="288" w:lineRule="auto"/>
        <w:ind w:firstLine="475" w:firstLineChars="198"/>
        <w:rPr>
          <w:rFonts w:asciiTheme="minorEastAsia" w:hAnsiTheme="minorEastAsia" w:eastAsiaTheme="minorEastAsia"/>
          <w:sz w:val="24"/>
        </w:rPr>
      </w:pPr>
      <w:r>
        <w:rPr>
          <w:rFonts w:hint="eastAsia" w:asciiTheme="minorEastAsia" w:hAnsiTheme="minorEastAsia" w:eastAsiaTheme="minorEastAsia"/>
          <w:sz w:val="24"/>
        </w:rPr>
        <w:t>1.1.12 “正常工作</w:t>
      </w:r>
      <w:r>
        <w:rPr>
          <w:rFonts w:hint="eastAsia" w:cs="宋体" w:asciiTheme="minorEastAsia" w:hAnsiTheme="minorEastAsia" w:eastAsiaTheme="minorEastAsia"/>
          <w:kern w:val="0"/>
          <w:sz w:val="24"/>
        </w:rPr>
        <w:t>酬金”</w:t>
      </w:r>
      <w:r>
        <w:rPr>
          <w:rFonts w:hint="eastAsia" w:asciiTheme="minorEastAsia" w:hAnsiTheme="minorEastAsia" w:eastAsiaTheme="minorEastAsia"/>
          <w:sz w:val="24"/>
        </w:rPr>
        <w:t>是指监理人完成正常工作，委托人应给付监理人并在协议书中载明的签约</w:t>
      </w:r>
      <w:r>
        <w:rPr>
          <w:rFonts w:hint="eastAsia" w:cs="宋体" w:asciiTheme="minorEastAsia" w:hAnsiTheme="minorEastAsia" w:eastAsiaTheme="minorEastAsia"/>
          <w:kern w:val="0"/>
          <w:sz w:val="24"/>
        </w:rPr>
        <w:t>酬金额</w:t>
      </w:r>
      <w:r>
        <w:rPr>
          <w:rFonts w:hint="eastAsia" w:asciiTheme="minorEastAsia" w:hAnsiTheme="minorEastAsia" w:eastAsiaTheme="minorEastAsia"/>
          <w:sz w:val="24"/>
        </w:rPr>
        <w:t>。</w:t>
      </w:r>
    </w:p>
    <w:p>
      <w:pPr>
        <w:adjustRightInd w:val="0"/>
        <w:snapToGrid w:val="0"/>
        <w:spacing w:line="288" w:lineRule="auto"/>
        <w:ind w:firstLine="475" w:firstLineChars="198"/>
        <w:rPr>
          <w:rFonts w:asciiTheme="minorEastAsia" w:hAnsiTheme="minorEastAsia" w:eastAsiaTheme="minorEastAsia"/>
          <w:sz w:val="24"/>
        </w:rPr>
      </w:pPr>
      <w:r>
        <w:rPr>
          <w:rFonts w:hint="eastAsia" w:asciiTheme="minorEastAsia" w:hAnsiTheme="minorEastAsia" w:eastAsiaTheme="minorEastAsia"/>
          <w:sz w:val="24"/>
        </w:rPr>
        <w:t>1.1.13 “附加工作酬金”是指监理人完成附加工作，委托人应给付监理人的金额。</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1.1.14 “一方”是指委托人或监理人；“双方”是指委托人和监理人；“第三方”是指除委托人和监理人以外的有关方。</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1.1.15 “书面形式”是指合同书、信件和数据电文（包括电报、电传、传真、电子数据交换和电子邮件）等可以有形地表现所载内容的形式。</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1.1.16 “天”是指第一天零时至第二天零时的时间。</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1.1.17“月”是指按公历从一个月中任何一天开始的一个公历月时间。</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pStyle w:val="4"/>
        <w:spacing w:line="288" w:lineRule="auto"/>
      </w:pPr>
      <w:bookmarkStart w:id="878" w:name="_Toc29209"/>
      <w:bookmarkStart w:id="879" w:name="_Toc496098716"/>
      <w:bookmarkStart w:id="880" w:name="_Toc499311151"/>
      <w:bookmarkStart w:id="881" w:name="_Toc443898802"/>
      <w:bookmarkStart w:id="882" w:name="_Toc499204936"/>
      <w:bookmarkStart w:id="883" w:name="_Toc23242"/>
      <w:r>
        <w:rPr>
          <w:rFonts w:hint="eastAsia"/>
        </w:rPr>
        <w:t>1.2 解释</w:t>
      </w:r>
      <w:bookmarkEnd w:id="878"/>
      <w:bookmarkEnd w:id="879"/>
      <w:bookmarkEnd w:id="880"/>
      <w:bookmarkEnd w:id="881"/>
      <w:bookmarkEnd w:id="882"/>
      <w:bookmarkEnd w:id="883"/>
    </w:p>
    <w:p>
      <w:pPr>
        <w:tabs>
          <w:tab w:val="left" w:pos="6140"/>
        </w:tabs>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1.2.1本合同使用中文书写、解释和说明。如专用条件约定使用两种及以上语言文字时，应以中文为准。</w:t>
      </w:r>
    </w:p>
    <w:p>
      <w:pPr>
        <w:tabs>
          <w:tab w:val="left" w:pos="6140"/>
        </w:tabs>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1.2.2 组成本合同的下列文件彼此应能相互解释、互为说明。除专用条件另有约定外，本合同文件的解释顺序如下：</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（1）协议书；</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（2）中标通知书（适用于招标工程）或委托书（适用于非招标工程）；</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（3）专用条件及附录A、附录B；</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（4）通用条件；</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（5）投标文件（适用于招标工程）或监理与相关服务建议书（适用于非招标工程）。</w:t>
      </w:r>
    </w:p>
    <w:p>
      <w:pPr>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双方签订的补充协议与其他文件发生矛盾或歧义时，属于同一类内容的文件，应以最新签署的为准。</w:t>
      </w:r>
    </w:p>
    <w:p>
      <w:pPr>
        <w:pStyle w:val="2"/>
        <w:spacing w:line="288" w:lineRule="auto"/>
      </w:pPr>
      <w:bookmarkStart w:id="884" w:name="_Toc496098717"/>
      <w:bookmarkStart w:id="885" w:name="_Toc443898803"/>
      <w:bookmarkStart w:id="886" w:name="_Toc123"/>
      <w:r>
        <w:rPr>
          <w:rFonts w:hint="eastAsia"/>
        </w:rPr>
        <w:t>2. 监理人的义务</w:t>
      </w:r>
      <w:bookmarkEnd w:id="884"/>
      <w:bookmarkEnd w:id="885"/>
      <w:bookmarkEnd w:id="886"/>
    </w:p>
    <w:p>
      <w:pPr>
        <w:pStyle w:val="4"/>
        <w:spacing w:line="288" w:lineRule="auto"/>
      </w:pPr>
      <w:bookmarkStart w:id="887" w:name="_Toc443898804"/>
      <w:bookmarkStart w:id="888" w:name="_Toc499204938"/>
      <w:bookmarkStart w:id="889" w:name="_Toc21148"/>
      <w:bookmarkStart w:id="890" w:name="_Toc496098718"/>
      <w:bookmarkStart w:id="891" w:name="_Toc8888"/>
      <w:bookmarkStart w:id="892" w:name="_Toc499311153"/>
      <w:r>
        <w:rPr>
          <w:rFonts w:hint="eastAsia"/>
        </w:rPr>
        <w:t>2.1 监理的范围和工作内容</w:t>
      </w:r>
      <w:bookmarkEnd w:id="887"/>
      <w:bookmarkEnd w:id="888"/>
      <w:bookmarkEnd w:id="889"/>
      <w:bookmarkEnd w:id="890"/>
      <w:bookmarkEnd w:id="891"/>
      <w:bookmarkEnd w:id="892"/>
    </w:p>
    <w:p>
      <w:pPr>
        <w:adjustRightInd w:val="0"/>
        <w:snapToGrid w:val="0"/>
        <w:spacing w:line="288" w:lineRule="auto"/>
        <w:ind w:firstLine="547" w:firstLineChars="228"/>
        <w:rPr>
          <w:rFonts w:asciiTheme="minorEastAsia" w:hAnsiTheme="minorEastAsia" w:eastAsiaTheme="minorEastAsia"/>
          <w:sz w:val="24"/>
        </w:rPr>
      </w:pPr>
      <w:r>
        <w:rPr>
          <w:rFonts w:hint="eastAsia" w:asciiTheme="minorEastAsia" w:hAnsiTheme="minorEastAsia" w:eastAsiaTheme="minorEastAsia"/>
          <w:sz w:val="24"/>
        </w:rPr>
        <w:t>2.1.1 监理范围在专用条件中约定。</w:t>
      </w:r>
    </w:p>
    <w:p>
      <w:pPr>
        <w:adjustRightInd w:val="0"/>
        <w:snapToGrid w:val="0"/>
        <w:spacing w:line="288" w:lineRule="auto"/>
        <w:ind w:firstLine="547" w:firstLineChars="228"/>
        <w:rPr>
          <w:rFonts w:asciiTheme="minorEastAsia" w:hAnsiTheme="minorEastAsia" w:eastAsiaTheme="minorEastAsia"/>
          <w:sz w:val="24"/>
        </w:rPr>
      </w:pPr>
      <w:r>
        <w:rPr>
          <w:rFonts w:hint="eastAsia" w:asciiTheme="minorEastAsia" w:hAnsiTheme="minorEastAsia" w:eastAsiaTheme="minorEastAsia"/>
          <w:sz w:val="24"/>
        </w:rPr>
        <w:t>2.1.2 除专用条件另有约定外，监理工作内容包括：</w:t>
      </w:r>
    </w:p>
    <w:p>
      <w:pPr>
        <w:adjustRightInd w:val="0"/>
        <w:snapToGrid w:val="0"/>
        <w:spacing w:line="288" w:lineRule="auto"/>
        <w:ind w:firstLine="484" w:firstLineChars="202"/>
        <w:rPr>
          <w:rFonts w:asciiTheme="minorEastAsia" w:hAnsiTheme="minorEastAsia" w:eastAsiaTheme="minorEastAsia"/>
          <w:sz w:val="24"/>
        </w:rPr>
      </w:pPr>
      <w:r>
        <w:rPr>
          <w:rFonts w:hint="eastAsia" w:asciiTheme="minorEastAsia" w:hAnsiTheme="minorEastAsia" w:eastAsiaTheme="minorEastAsia"/>
          <w:sz w:val="24"/>
        </w:rPr>
        <w:t>（1）收到工程设计文件后编制监理规划，并在第一次工地会议7天前报委托人。根据有关规定和监理工作需要，编制监理实施细则；</w:t>
      </w:r>
    </w:p>
    <w:p>
      <w:pPr>
        <w:adjustRightInd w:val="0"/>
        <w:snapToGrid w:val="0"/>
        <w:spacing w:line="288" w:lineRule="auto"/>
        <w:ind w:firstLine="484" w:firstLineChars="202"/>
        <w:rPr>
          <w:rFonts w:asciiTheme="minorEastAsia" w:hAnsiTheme="minorEastAsia" w:eastAsiaTheme="minorEastAsia"/>
          <w:sz w:val="24"/>
        </w:rPr>
      </w:pPr>
      <w:r>
        <w:rPr>
          <w:rFonts w:hint="eastAsia" w:asciiTheme="minorEastAsia" w:hAnsiTheme="minorEastAsia" w:eastAsiaTheme="minorEastAsia"/>
          <w:sz w:val="24"/>
        </w:rPr>
        <w:t>（2）熟悉工程设计文件，并参加由委托人主持的图纸会审和设计交底会议；</w:t>
      </w:r>
    </w:p>
    <w:p>
      <w:pPr>
        <w:adjustRightInd w:val="0"/>
        <w:snapToGrid w:val="0"/>
        <w:spacing w:line="288" w:lineRule="auto"/>
        <w:ind w:firstLine="484" w:firstLineChars="202"/>
        <w:rPr>
          <w:rFonts w:asciiTheme="minorEastAsia" w:hAnsiTheme="minorEastAsia" w:eastAsiaTheme="minorEastAsia"/>
          <w:sz w:val="24"/>
        </w:rPr>
      </w:pPr>
      <w:r>
        <w:rPr>
          <w:rFonts w:hint="eastAsia" w:asciiTheme="minorEastAsia" w:hAnsiTheme="minorEastAsia" w:eastAsiaTheme="minorEastAsia"/>
          <w:sz w:val="24"/>
        </w:rPr>
        <w:t>（3）参加由委托人主持的第一次工地会议；主持监理例会并根据工程需要主持或参加专题会议；</w:t>
      </w:r>
    </w:p>
    <w:p>
      <w:pPr>
        <w:adjustRightInd w:val="0"/>
        <w:snapToGrid w:val="0"/>
        <w:spacing w:line="288" w:lineRule="auto"/>
        <w:ind w:firstLine="484" w:firstLineChars="202"/>
        <w:rPr>
          <w:rFonts w:asciiTheme="minorEastAsia" w:hAnsiTheme="minorEastAsia" w:eastAsiaTheme="minorEastAsia"/>
          <w:sz w:val="24"/>
        </w:rPr>
      </w:pPr>
      <w:r>
        <w:rPr>
          <w:rFonts w:hint="eastAsia" w:asciiTheme="minorEastAsia" w:hAnsiTheme="minorEastAsia" w:eastAsiaTheme="minorEastAsia"/>
          <w:sz w:val="24"/>
        </w:rPr>
        <w:t>（4）审查施工承包人提交的施工组织设计，重点审查其中的质量安全技术措施、专项施工方案与工程建设强制性标准的符合性；</w:t>
      </w:r>
    </w:p>
    <w:p>
      <w:pPr>
        <w:adjustRightInd w:val="0"/>
        <w:snapToGrid w:val="0"/>
        <w:spacing w:line="288" w:lineRule="auto"/>
        <w:ind w:firstLine="484" w:firstLineChars="202"/>
        <w:rPr>
          <w:rFonts w:asciiTheme="minorEastAsia" w:hAnsiTheme="minorEastAsia" w:eastAsiaTheme="minorEastAsia"/>
          <w:sz w:val="24"/>
        </w:rPr>
      </w:pPr>
      <w:r>
        <w:rPr>
          <w:rFonts w:hint="eastAsia" w:asciiTheme="minorEastAsia" w:hAnsiTheme="minorEastAsia" w:eastAsiaTheme="minorEastAsia"/>
          <w:sz w:val="24"/>
        </w:rPr>
        <w:t xml:space="preserve">（5）检查施工承包人工程质量、安全生产管理制度及组织机构和人员资格； </w:t>
      </w:r>
    </w:p>
    <w:p>
      <w:pPr>
        <w:adjustRightInd w:val="0"/>
        <w:snapToGrid w:val="0"/>
        <w:spacing w:line="288" w:lineRule="auto"/>
        <w:ind w:firstLine="484" w:firstLineChars="202"/>
        <w:rPr>
          <w:rFonts w:asciiTheme="minorEastAsia" w:hAnsiTheme="minorEastAsia" w:eastAsiaTheme="minorEastAsia"/>
          <w:sz w:val="24"/>
        </w:rPr>
      </w:pPr>
      <w:r>
        <w:rPr>
          <w:rFonts w:hint="eastAsia" w:asciiTheme="minorEastAsia" w:hAnsiTheme="minorEastAsia" w:eastAsiaTheme="minorEastAsia"/>
          <w:sz w:val="24"/>
        </w:rPr>
        <w:t>（6）检查施工承包人专职安全生产管理人员的配备情况；</w:t>
      </w:r>
    </w:p>
    <w:p>
      <w:pPr>
        <w:adjustRightInd w:val="0"/>
        <w:snapToGrid w:val="0"/>
        <w:spacing w:line="288" w:lineRule="auto"/>
        <w:ind w:firstLine="484" w:firstLineChars="202"/>
        <w:rPr>
          <w:rFonts w:asciiTheme="minorEastAsia" w:hAnsiTheme="minorEastAsia" w:eastAsiaTheme="minorEastAsia"/>
          <w:sz w:val="24"/>
        </w:rPr>
      </w:pPr>
      <w:r>
        <w:rPr>
          <w:rFonts w:hint="eastAsia" w:asciiTheme="minorEastAsia" w:hAnsiTheme="minorEastAsia" w:eastAsiaTheme="minorEastAsia"/>
          <w:sz w:val="24"/>
        </w:rPr>
        <w:t>（7）审查施工承包人提交的施工进度计划，核查承包人对施工进度计划的调整；</w:t>
      </w:r>
    </w:p>
    <w:p>
      <w:pPr>
        <w:adjustRightInd w:val="0"/>
        <w:snapToGrid w:val="0"/>
        <w:spacing w:line="288" w:lineRule="auto"/>
        <w:ind w:firstLine="484" w:firstLineChars="202"/>
        <w:rPr>
          <w:rFonts w:asciiTheme="minorEastAsia" w:hAnsiTheme="minorEastAsia" w:eastAsiaTheme="minorEastAsia"/>
          <w:sz w:val="24"/>
        </w:rPr>
      </w:pPr>
      <w:r>
        <w:rPr>
          <w:rFonts w:hint="eastAsia" w:asciiTheme="minorEastAsia" w:hAnsiTheme="minorEastAsia" w:eastAsiaTheme="minorEastAsia"/>
          <w:sz w:val="24"/>
        </w:rPr>
        <w:t>（8）检查施工承包人的试验室；</w:t>
      </w:r>
    </w:p>
    <w:p>
      <w:pPr>
        <w:adjustRightInd w:val="0"/>
        <w:snapToGrid w:val="0"/>
        <w:spacing w:line="288" w:lineRule="auto"/>
        <w:ind w:firstLine="484" w:firstLineChars="202"/>
        <w:rPr>
          <w:rFonts w:asciiTheme="minorEastAsia" w:hAnsiTheme="minorEastAsia" w:eastAsiaTheme="minorEastAsia"/>
          <w:sz w:val="24"/>
        </w:rPr>
      </w:pPr>
      <w:r>
        <w:rPr>
          <w:rFonts w:hint="eastAsia" w:asciiTheme="minorEastAsia" w:hAnsiTheme="minorEastAsia" w:eastAsiaTheme="minorEastAsia"/>
          <w:sz w:val="24"/>
        </w:rPr>
        <w:t>（9）审核施工分包人资质条件；</w:t>
      </w:r>
    </w:p>
    <w:p>
      <w:pPr>
        <w:spacing w:line="288" w:lineRule="auto"/>
        <w:ind w:firstLine="484" w:firstLineChars="202"/>
        <w:rPr>
          <w:rFonts w:asciiTheme="minorEastAsia" w:hAnsiTheme="minorEastAsia" w:eastAsiaTheme="minorEastAsia"/>
          <w:sz w:val="24"/>
        </w:rPr>
      </w:pPr>
      <w:r>
        <w:rPr>
          <w:rFonts w:hint="eastAsia" w:asciiTheme="minorEastAsia" w:hAnsiTheme="minorEastAsia" w:eastAsiaTheme="minorEastAsia"/>
          <w:sz w:val="24"/>
        </w:rPr>
        <w:t>（10）查验施工承包人的施工测量放线成果；</w:t>
      </w:r>
    </w:p>
    <w:p>
      <w:pPr>
        <w:adjustRightInd w:val="0"/>
        <w:snapToGrid w:val="0"/>
        <w:spacing w:line="288" w:lineRule="auto"/>
        <w:ind w:firstLine="484" w:firstLineChars="202"/>
        <w:rPr>
          <w:rFonts w:asciiTheme="minorEastAsia" w:hAnsiTheme="minorEastAsia" w:eastAsiaTheme="minorEastAsia"/>
          <w:sz w:val="24"/>
        </w:rPr>
      </w:pPr>
      <w:r>
        <w:rPr>
          <w:rFonts w:hint="eastAsia" w:asciiTheme="minorEastAsia" w:hAnsiTheme="minorEastAsia" w:eastAsiaTheme="minorEastAsia"/>
          <w:sz w:val="24"/>
        </w:rPr>
        <w:t>（11）审查工程开工条件，对条件具备的签发开工令；</w:t>
      </w:r>
    </w:p>
    <w:p>
      <w:pPr>
        <w:adjustRightInd w:val="0"/>
        <w:snapToGrid w:val="0"/>
        <w:spacing w:line="288" w:lineRule="auto"/>
        <w:ind w:firstLine="484" w:firstLineChars="202"/>
        <w:rPr>
          <w:rFonts w:asciiTheme="minorEastAsia" w:hAnsiTheme="minorEastAsia" w:eastAsiaTheme="minorEastAsia"/>
          <w:sz w:val="24"/>
        </w:rPr>
      </w:pPr>
      <w:r>
        <w:rPr>
          <w:rFonts w:hint="eastAsia" w:asciiTheme="minorEastAsia" w:hAnsiTheme="minorEastAsia" w:eastAsiaTheme="minorEastAsia"/>
          <w:sz w:val="24"/>
        </w:rPr>
        <w:t>（12）审查施工承包人报送的工程材料、构配件、设备质量证明文件的有效性和符合性，并按规定对用于工程的材料采取平行检验或见证取样方式进行抽检；</w:t>
      </w:r>
    </w:p>
    <w:p>
      <w:pPr>
        <w:adjustRightInd w:val="0"/>
        <w:snapToGrid w:val="0"/>
        <w:spacing w:line="288" w:lineRule="auto"/>
        <w:ind w:firstLine="484" w:firstLineChars="202"/>
        <w:rPr>
          <w:rFonts w:asciiTheme="minorEastAsia" w:hAnsiTheme="minorEastAsia" w:eastAsiaTheme="minorEastAsia"/>
          <w:sz w:val="24"/>
        </w:rPr>
      </w:pPr>
      <w:r>
        <w:rPr>
          <w:rFonts w:hint="eastAsia" w:asciiTheme="minorEastAsia" w:hAnsiTheme="minorEastAsia" w:eastAsiaTheme="minorEastAsia"/>
          <w:sz w:val="24"/>
        </w:rPr>
        <w:t>（13）审核施工承包人提交的工程款支付申请，签发或出具工程款支付证书，并报委托人审核、批准；</w:t>
      </w:r>
    </w:p>
    <w:p>
      <w:pPr>
        <w:adjustRightInd w:val="0"/>
        <w:snapToGrid w:val="0"/>
        <w:spacing w:line="288" w:lineRule="auto"/>
        <w:ind w:firstLine="484" w:firstLineChars="202"/>
        <w:rPr>
          <w:rFonts w:asciiTheme="minorEastAsia" w:hAnsiTheme="minorEastAsia" w:eastAsiaTheme="minorEastAsia"/>
          <w:sz w:val="24"/>
        </w:rPr>
      </w:pPr>
      <w:r>
        <w:rPr>
          <w:rFonts w:hint="eastAsia" w:asciiTheme="minorEastAsia" w:hAnsiTheme="minorEastAsia" w:eastAsiaTheme="minorEastAsia"/>
          <w:sz w:val="24"/>
        </w:rPr>
        <w:t>（14）在巡视、旁站和检验过程中，发现工程质量、施工安全存在事故隐患的，要求施工承包人整改并报委托人；</w:t>
      </w:r>
    </w:p>
    <w:p>
      <w:pPr>
        <w:adjustRightInd w:val="0"/>
        <w:snapToGrid w:val="0"/>
        <w:spacing w:line="288" w:lineRule="auto"/>
        <w:ind w:firstLine="484" w:firstLineChars="202"/>
        <w:rPr>
          <w:rFonts w:asciiTheme="minorEastAsia" w:hAnsiTheme="minorEastAsia" w:eastAsiaTheme="minorEastAsia"/>
          <w:sz w:val="24"/>
        </w:rPr>
      </w:pPr>
      <w:r>
        <w:rPr>
          <w:rFonts w:hint="eastAsia" w:asciiTheme="minorEastAsia" w:hAnsiTheme="minorEastAsia" w:eastAsiaTheme="minorEastAsia"/>
          <w:sz w:val="24"/>
        </w:rPr>
        <w:t>（15）经委托人同意，签发工程暂停令和复工令；</w:t>
      </w:r>
    </w:p>
    <w:p>
      <w:pPr>
        <w:adjustRightInd w:val="0"/>
        <w:snapToGrid w:val="0"/>
        <w:spacing w:line="288" w:lineRule="auto"/>
        <w:ind w:firstLine="484" w:firstLineChars="202"/>
        <w:rPr>
          <w:rFonts w:asciiTheme="minorEastAsia" w:hAnsiTheme="minorEastAsia" w:eastAsiaTheme="minorEastAsia"/>
          <w:sz w:val="24"/>
        </w:rPr>
      </w:pPr>
      <w:r>
        <w:rPr>
          <w:rFonts w:hint="eastAsia" w:asciiTheme="minorEastAsia" w:hAnsiTheme="minorEastAsia" w:eastAsiaTheme="minorEastAsia"/>
          <w:sz w:val="24"/>
        </w:rPr>
        <w:t>（16）审查施工承包人提交的采用新材料、新工艺、新技术、新设备的论证材料及相关验收标准；</w:t>
      </w:r>
    </w:p>
    <w:p>
      <w:pPr>
        <w:adjustRightInd w:val="0"/>
        <w:snapToGrid w:val="0"/>
        <w:spacing w:line="288" w:lineRule="auto"/>
        <w:ind w:firstLine="484" w:firstLineChars="202"/>
        <w:rPr>
          <w:rFonts w:asciiTheme="minorEastAsia" w:hAnsiTheme="minorEastAsia" w:eastAsiaTheme="minorEastAsia"/>
          <w:sz w:val="24"/>
        </w:rPr>
      </w:pPr>
      <w:r>
        <w:rPr>
          <w:rFonts w:hint="eastAsia" w:asciiTheme="minorEastAsia" w:hAnsiTheme="minorEastAsia" w:eastAsiaTheme="minorEastAsia"/>
          <w:sz w:val="24"/>
        </w:rPr>
        <w:t>（17）验收隐蔽工程、分部分项工程；</w:t>
      </w:r>
    </w:p>
    <w:p>
      <w:pPr>
        <w:adjustRightInd w:val="0"/>
        <w:snapToGrid w:val="0"/>
        <w:spacing w:line="288" w:lineRule="auto"/>
        <w:ind w:firstLine="484" w:firstLineChars="202"/>
        <w:rPr>
          <w:rFonts w:asciiTheme="minorEastAsia" w:hAnsiTheme="minorEastAsia" w:eastAsiaTheme="minorEastAsia"/>
          <w:sz w:val="24"/>
        </w:rPr>
      </w:pPr>
      <w:r>
        <w:rPr>
          <w:rFonts w:hint="eastAsia" w:asciiTheme="minorEastAsia" w:hAnsiTheme="minorEastAsia" w:eastAsiaTheme="minorEastAsia"/>
          <w:sz w:val="24"/>
        </w:rPr>
        <w:t>（18）审查施工承包人提交的工程变更申请，协调处理施工进度调整、费用索赔、合同争议等事项；</w:t>
      </w:r>
    </w:p>
    <w:p>
      <w:pPr>
        <w:adjustRightInd w:val="0"/>
        <w:snapToGrid w:val="0"/>
        <w:spacing w:line="288" w:lineRule="auto"/>
        <w:ind w:firstLine="484" w:firstLineChars="202"/>
        <w:rPr>
          <w:rFonts w:asciiTheme="minorEastAsia" w:hAnsiTheme="minorEastAsia" w:eastAsiaTheme="minorEastAsia"/>
          <w:sz w:val="24"/>
        </w:rPr>
      </w:pPr>
      <w:r>
        <w:rPr>
          <w:rFonts w:hint="eastAsia" w:asciiTheme="minorEastAsia" w:hAnsiTheme="minorEastAsia" w:eastAsiaTheme="minorEastAsia"/>
          <w:sz w:val="24"/>
        </w:rPr>
        <w:t>（19）审查施工承包人提交的竣工验收申请，编写工程质量评估报告；</w:t>
      </w:r>
    </w:p>
    <w:p>
      <w:pPr>
        <w:adjustRightInd w:val="0"/>
        <w:snapToGrid w:val="0"/>
        <w:spacing w:line="288" w:lineRule="auto"/>
        <w:ind w:firstLine="484" w:firstLineChars="202"/>
        <w:rPr>
          <w:rFonts w:asciiTheme="minorEastAsia" w:hAnsiTheme="minorEastAsia" w:eastAsiaTheme="minorEastAsia"/>
          <w:sz w:val="24"/>
        </w:rPr>
      </w:pPr>
      <w:r>
        <w:rPr>
          <w:rFonts w:hint="eastAsia" w:asciiTheme="minorEastAsia" w:hAnsiTheme="minorEastAsia" w:eastAsiaTheme="minorEastAsia"/>
          <w:sz w:val="24"/>
        </w:rPr>
        <w:t>（20）参加工程竣工验收，签署竣工验收意见；</w:t>
      </w:r>
    </w:p>
    <w:p>
      <w:pPr>
        <w:adjustRightInd w:val="0"/>
        <w:snapToGrid w:val="0"/>
        <w:spacing w:line="288" w:lineRule="auto"/>
        <w:ind w:firstLine="484" w:firstLineChars="202"/>
        <w:rPr>
          <w:rFonts w:asciiTheme="minorEastAsia" w:hAnsiTheme="minorEastAsia" w:eastAsiaTheme="minorEastAsia"/>
          <w:sz w:val="24"/>
        </w:rPr>
      </w:pPr>
      <w:r>
        <w:rPr>
          <w:rFonts w:hint="eastAsia" w:asciiTheme="minorEastAsia" w:hAnsiTheme="minorEastAsia" w:eastAsiaTheme="minorEastAsia"/>
          <w:sz w:val="24"/>
        </w:rPr>
        <w:t>（21）审查施工承包人提交的竣工结算申请并报委托人；</w:t>
      </w:r>
    </w:p>
    <w:p>
      <w:pPr>
        <w:adjustRightInd w:val="0"/>
        <w:snapToGrid w:val="0"/>
        <w:spacing w:line="288" w:lineRule="auto"/>
        <w:ind w:firstLine="484" w:firstLineChars="202"/>
        <w:rPr>
          <w:rFonts w:asciiTheme="minorEastAsia" w:hAnsiTheme="minorEastAsia" w:eastAsiaTheme="minorEastAsia"/>
          <w:sz w:val="24"/>
        </w:rPr>
      </w:pPr>
      <w:r>
        <w:rPr>
          <w:rFonts w:hint="eastAsia" w:asciiTheme="minorEastAsia" w:hAnsiTheme="minorEastAsia" w:eastAsiaTheme="minorEastAsia"/>
          <w:sz w:val="24"/>
        </w:rPr>
        <w:t>（22）编制、整理工程监理归档文件并报委托人。</w:t>
      </w:r>
    </w:p>
    <w:p>
      <w:pPr>
        <w:spacing w:line="288" w:lineRule="auto"/>
        <w:ind w:left="420" w:leftChars="200" w:firstLine="120" w:firstLineChars="50"/>
        <w:rPr>
          <w:rFonts w:asciiTheme="minorEastAsia" w:hAnsiTheme="minorEastAsia" w:eastAsiaTheme="minorEastAsia"/>
          <w:sz w:val="24"/>
        </w:rPr>
      </w:pPr>
      <w:r>
        <w:rPr>
          <w:rFonts w:hint="eastAsia" w:asciiTheme="minorEastAsia" w:hAnsiTheme="minorEastAsia" w:eastAsiaTheme="minorEastAsia"/>
          <w:sz w:val="24"/>
        </w:rPr>
        <w:t>2.1.3 相关服务的范围和内容在附录A中约定。</w:t>
      </w:r>
    </w:p>
    <w:p>
      <w:pPr>
        <w:pStyle w:val="4"/>
        <w:spacing w:line="288" w:lineRule="auto"/>
      </w:pPr>
      <w:bookmarkStart w:id="893" w:name="_Toc499204939"/>
      <w:bookmarkStart w:id="894" w:name="_Toc496098719"/>
      <w:bookmarkStart w:id="895" w:name="_Toc7825"/>
      <w:bookmarkStart w:id="896" w:name="_Toc4884"/>
      <w:bookmarkStart w:id="897" w:name="_Toc443898805"/>
      <w:bookmarkStart w:id="898" w:name="_Toc499311154"/>
      <w:r>
        <w:rPr>
          <w:rFonts w:hint="eastAsia"/>
        </w:rPr>
        <w:t>2.2 监理与相关服务依据</w:t>
      </w:r>
      <w:bookmarkEnd w:id="893"/>
      <w:bookmarkEnd w:id="894"/>
      <w:bookmarkEnd w:id="895"/>
      <w:bookmarkEnd w:id="896"/>
      <w:bookmarkEnd w:id="897"/>
      <w:bookmarkEnd w:id="898"/>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2.2.1 监理依据包括：</w:t>
      </w:r>
    </w:p>
    <w:p>
      <w:pPr>
        <w:adjustRightInd w:val="0"/>
        <w:snapToGrid w:val="0"/>
        <w:spacing w:line="288"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（1）适用的法律、行政法规及部门规章；</w:t>
      </w:r>
    </w:p>
    <w:p>
      <w:pPr>
        <w:adjustRightInd w:val="0"/>
        <w:snapToGrid w:val="0"/>
        <w:spacing w:line="288"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（2）与工程有关的标准；</w:t>
      </w:r>
    </w:p>
    <w:p>
      <w:pPr>
        <w:adjustRightInd w:val="0"/>
        <w:snapToGrid w:val="0"/>
        <w:spacing w:line="288"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（3）工程设计及有关文件；</w:t>
      </w:r>
    </w:p>
    <w:p>
      <w:pPr>
        <w:adjustRightInd w:val="0"/>
        <w:snapToGrid w:val="0"/>
        <w:spacing w:line="288"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（4）本合同及委托人与第三方签订的与实施工程有关的其他合同。</w:t>
      </w:r>
    </w:p>
    <w:p>
      <w:pPr>
        <w:spacing w:line="288" w:lineRule="auto"/>
        <w:ind w:left="210" w:leftChars="100" w:firstLine="420"/>
        <w:rPr>
          <w:rFonts w:asciiTheme="minorEastAsia" w:hAnsiTheme="minorEastAsia" w:eastAsiaTheme="minorEastAsia"/>
          <w:bCs/>
          <w:sz w:val="24"/>
        </w:rPr>
      </w:pPr>
      <w:r>
        <w:rPr>
          <w:rFonts w:hint="eastAsia" w:asciiTheme="minorEastAsia" w:hAnsiTheme="minorEastAsia" w:eastAsiaTheme="minorEastAsia"/>
          <w:bCs/>
          <w:sz w:val="24"/>
        </w:rPr>
        <w:t>双方根据工程的行业和地域特点，在专用条件中具体约定监理依据。</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2.2.2 相关服务依据在专用条件中约定。</w:t>
      </w:r>
    </w:p>
    <w:p>
      <w:pPr>
        <w:pStyle w:val="4"/>
        <w:spacing w:line="288" w:lineRule="auto"/>
      </w:pPr>
      <w:bookmarkStart w:id="899" w:name="_Toc16154"/>
      <w:bookmarkStart w:id="900" w:name="_Toc443898806"/>
      <w:bookmarkStart w:id="901" w:name="_Toc4053"/>
      <w:bookmarkStart w:id="902" w:name="_Toc499204940"/>
      <w:bookmarkStart w:id="903" w:name="_Toc496098720"/>
      <w:bookmarkStart w:id="904" w:name="_Toc499311155"/>
      <w:r>
        <w:rPr>
          <w:rFonts w:hint="eastAsia"/>
        </w:rPr>
        <w:t>2.3 项目监理机构和人员</w:t>
      </w:r>
      <w:bookmarkEnd w:id="899"/>
      <w:bookmarkEnd w:id="900"/>
      <w:bookmarkEnd w:id="901"/>
      <w:bookmarkEnd w:id="902"/>
      <w:bookmarkEnd w:id="903"/>
      <w:bookmarkEnd w:id="904"/>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2.3.1 监理人应组建满足工作需要的项目监理机构，配备必要的检测设备。项目监理机构的主要人员应具有相应的资格条件。</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2.3.2本合同履行过程中，总监理工程师及重要岗位监理人员应保持相对稳定，以保证监理工作正常进行。</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2.3.4 监理人应及时更换有下列情形之一的监理人员：</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（1）严重过失行为的；</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（2）有违法行为不能履行职责的；</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（3）涉嫌犯罪的；</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（4）不能胜任岗位职责的；</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（5）严重违反职业道德的；</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（6）专用条件约定的其他情形。</w:t>
      </w:r>
    </w:p>
    <w:p>
      <w:pPr>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2.3.5 委托人可要求监理人更换不能胜任本职工作的项目监理机构人员。</w:t>
      </w:r>
    </w:p>
    <w:p>
      <w:pPr>
        <w:pStyle w:val="4"/>
        <w:spacing w:line="288" w:lineRule="auto"/>
      </w:pPr>
      <w:bookmarkStart w:id="905" w:name="_Toc499204941"/>
      <w:bookmarkStart w:id="906" w:name="_Toc499311156"/>
      <w:bookmarkStart w:id="907" w:name="_Toc491"/>
      <w:bookmarkStart w:id="908" w:name="_Toc10253"/>
      <w:bookmarkStart w:id="909" w:name="_Toc496098721"/>
      <w:bookmarkStart w:id="910" w:name="_Toc443898807"/>
      <w:r>
        <w:rPr>
          <w:rFonts w:hint="eastAsia"/>
        </w:rPr>
        <w:t>2.4 履行职责</w:t>
      </w:r>
      <w:bookmarkEnd w:id="905"/>
      <w:bookmarkEnd w:id="906"/>
      <w:bookmarkEnd w:id="907"/>
      <w:bookmarkEnd w:id="908"/>
      <w:bookmarkEnd w:id="909"/>
      <w:bookmarkEnd w:id="910"/>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kern w:val="0"/>
          <w:sz w:val="24"/>
        </w:rPr>
        <w:t>监理人应遵循职业道德准则和行为规范，严格按照法律法规、工程建设有关标准及本合同履行职责。</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2.4.2 当委托人与承包人之间的合同争议提交仲裁机构仲裁或人民法院审理时，监理人应提供必要的证明资料。</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2.4.3 监理人应在专用条件约定的授权范围内，处理委托人与承包人所签订合同的变更事宜。如果变更超过授权范围，应以书面形式报委托人批准。</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在紧急情况下，为了保护财产和人身安全，监理人所发出的指令未能事先报委托人批准时，应在发出指令后的24小时内以书面形式报委托人。</w:t>
      </w:r>
    </w:p>
    <w:p>
      <w:pPr>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2.4.4 除专用条件另有约定外，监理人发现承包人的人员不能胜任本职工作的，有权要求承包人予以调换。</w:t>
      </w:r>
    </w:p>
    <w:p>
      <w:pPr>
        <w:pStyle w:val="4"/>
        <w:spacing w:line="288" w:lineRule="auto"/>
        <w:rPr>
          <w:rFonts w:cs="宋体"/>
        </w:rPr>
      </w:pPr>
      <w:bookmarkStart w:id="911" w:name="_Toc6411"/>
      <w:bookmarkStart w:id="912" w:name="_Toc499204942"/>
      <w:bookmarkStart w:id="913" w:name="_Toc27199"/>
      <w:bookmarkStart w:id="914" w:name="_Toc496098722"/>
      <w:bookmarkStart w:id="915" w:name="_Toc499311157"/>
      <w:bookmarkStart w:id="916" w:name="_Toc443898808"/>
      <w:r>
        <w:rPr>
          <w:rFonts w:hint="eastAsia"/>
        </w:rPr>
        <w:t>2.5 提交</w:t>
      </w:r>
      <w:r>
        <w:rPr>
          <w:rFonts w:hint="eastAsia" w:cs="宋体"/>
        </w:rPr>
        <w:t>报告</w:t>
      </w:r>
      <w:bookmarkEnd w:id="911"/>
      <w:bookmarkEnd w:id="912"/>
      <w:bookmarkEnd w:id="913"/>
      <w:bookmarkEnd w:id="914"/>
      <w:bookmarkEnd w:id="915"/>
      <w:bookmarkEnd w:id="916"/>
    </w:p>
    <w:p>
      <w:pPr>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监理人应按专用条件约定的种类、时间和份数向委托人提交监理与相关服务的报告。</w:t>
      </w:r>
    </w:p>
    <w:p>
      <w:pPr>
        <w:pStyle w:val="4"/>
        <w:spacing w:line="288" w:lineRule="auto"/>
      </w:pPr>
      <w:bookmarkStart w:id="917" w:name="_Toc20122"/>
      <w:bookmarkStart w:id="918" w:name="_Toc499204943"/>
      <w:bookmarkStart w:id="919" w:name="_Toc496098723"/>
      <w:bookmarkStart w:id="920" w:name="_Toc499311158"/>
      <w:bookmarkStart w:id="921" w:name="_Toc443898809"/>
      <w:bookmarkStart w:id="922" w:name="_Toc24595"/>
      <w:r>
        <w:rPr>
          <w:rFonts w:hint="eastAsia"/>
        </w:rPr>
        <w:t>2.6 文件资料</w:t>
      </w:r>
      <w:bookmarkEnd w:id="917"/>
      <w:bookmarkEnd w:id="918"/>
      <w:bookmarkEnd w:id="919"/>
      <w:bookmarkEnd w:id="920"/>
      <w:bookmarkEnd w:id="921"/>
      <w:bookmarkEnd w:id="922"/>
    </w:p>
    <w:p>
      <w:pPr>
        <w:spacing w:line="288" w:lineRule="auto"/>
        <w:ind w:firstLine="420"/>
        <w:rPr>
          <w:rFonts w:asciiTheme="minorEastAsia" w:hAnsiTheme="minorEastAsia" w:eastAsiaTheme="minorEastAsia"/>
          <w:sz w:val="24"/>
        </w:rPr>
      </w:pPr>
      <w:r>
        <w:rPr>
          <w:rFonts w:hint="eastAsia" w:asciiTheme="minorEastAsia" w:hAnsiTheme="minorEastAsia" w:eastAsiaTheme="minorEastAsia"/>
          <w:kern w:val="0"/>
          <w:sz w:val="24"/>
        </w:rPr>
        <w:t>在本合同履行期内，监理人应在现场保留工作所用的图纸、报告及记录监理工</w:t>
      </w:r>
      <w:r>
        <w:rPr>
          <w:rFonts w:hint="eastAsia" w:asciiTheme="minorEastAsia" w:hAnsiTheme="minorEastAsia" w:eastAsiaTheme="minorEastAsia"/>
          <w:sz w:val="24"/>
        </w:rPr>
        <w:t>作的相关文件。工程竣工后，应当按照档案管理规定将监理有关文件归档。</w:t>
      </w:r>
    </w:p>
    <w:p>
      <w:pPr>
        <w:pStyle w:val="4"/>
        <w:spacing w:line="288" w:lineRule="auto"/>
      </w:pPr>
      <w:bookmarkStart w:id="923" w:name="_Toc10279"/>
      <w:bookmarkStart w:id="924" w:name="_Toc499204944"/>
      <w:bookmarkStart w:id="925" w:name="_Toc31346"/>
      <w:bookmarkStart w:id="926" w:name="_Toc496098724"/>
      <w:bookmarkStart w:id="927" w:name="_Toc443898810"/>
      <w:bookmarkStart w:id="928" w:name="_Toc499311159"/>
      <w:r>
        <w:rPr>
          <w:rFonts w:hint="eastAsia"/>
        </w:rPr>
        <w:t>2.7 使用委托人的财产</w:t>
      </w:r>
      <w:bookmarkEnd w:id="923"/>
      <w:bookmarkEnd w:id="924"/>
      <w:bookmarkEnd w:id="925"/>
      <w:bookmarkEnd w:id="926"/>
      <w:bookmarkEnd w:id="927"/>
      <w:bookmarkEnd w:id="928"/>
    </w:p>
    <w:p>
      <w:pPr>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pStyle w:val="2"/>
        <w:spacing w:line="288" w:lineRule="auto"/>
      </w:pPr>
      <w:bookmarkStart w:id="929" w:name="_Toc30420"/>
      <w:bookmarkStart w:id="930" w:name="_Toc443898811"/>
      <w:bookmarkStart w:id="931" w:name="_Toc496098725"/>
      <w:r>
        <w:rPr>
          <w:rFonts w:hint="eastAsia"/>
        </w:rPr>
        <w:t>3．委托人的义务</w:t>
      </w:r>
      <w:bookmarkEnd w:id="929"/>
      <w:bookmarkEnd w:id="930"/>
      <w:bookmarkEnd w:id="931"/>
    </w:p>
    <w:p>
      <w:pPr>
        <w:pStyle w:val="4"/>
        <w:spacing w:line="288" w:lineRule="auto"/>
        <w:rPr>
          <w:rFonts w:cs="宋体"/>
        </w:rPr>
      </w:pPr>
      <w:bookmarkStart w:id="932" w:name="_Toc3505"/>
      <w:bookmarkStart w:id="933" w:name="_Toc499311161"/>
      <w:bookmarkStart w:id="934" w:name="_Toc23231"/>
      <w:bookmarkStart w:id="935" w:name="_Toc496098726"/>
      <w:bookmarkStart w:id="936" w:name="_Toc443898812"/>
      <w:bookmarkStart w:id="937" w:name="_Toc499204946"/>
      <w:r>
        <w:rPr>
          <w:rFonts w:hint="eastAsia"/>
        </w:rPr>
        <w:t xml:space="preserve">3.1 </w:t>
      </w:r>
      <w:r>
        <w:rPr>
          <w:rFonts w:hint="eastAsia" w:cs="宋体"/>
        </w:rPr>
        <w:t>告知</w:t>
      </w:r>
      <w:bookmarkEnd w:id="932"/>
      <w:bookmarkEnd w:id="933"/>
      <w:bookmarkEnd w:id="934"/>
      <w:bookmarkEnd w:id="935"/>
      <w:bookmarkEnd w:id="936"/>
      <w:bookmarkEnd w:id="937"/>
    </w:p>
    <w:p>
      <w:pPr>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委托人应在委托人与承包人签订的合同中明确监理人、总监理工程师和授予项目监理机构的权限。如有变更，应及时通知承包人。</w:t>
      </w:r>
    </w:p>
    <w:p>
      <w:pPr>
        <w:pStyle w:val="4"/>
        <w:spacing w:line="288" w:lineRule="auto"/>
      </w:pPr>
      <w:bookmarkStart w:id="938" w:name="_Toc499311162"/>
      <w:bookmarkStart w:id="939" w:name="_Toc496098727"/>
      <w:bookmarkStart w:id="940" w:name="_Toc499204947"/>
      <w:bookmarkStart w:id="941" w:name="_Toc12563"/>
      <w:bookmarkStart w:id="942" w:name="_Toc443898813"/>
      <w:bookmarkStart w:id="943" w:name="_Toc21542"/>
      <w:r>
        <w:rPr>
          <w:rFonts w:hint="eastAsia"/>
        </w:rPr>
        <w:t>3.2 提供资料</w:t>
      </w:r>
      <w:bookmarkEnd w:id="938"/>
      <w:bookmarkEnd w:id="939"/>
      <w:bookmarkEnd w:id="940"/>
      <w:bookmarkEnd w:id="941"/>
      <w:bookmarkEnd w:id="942"/>
      <w:bookmarkEnd w:id="943"/>
    </w:p>
    <w:p>
      <w:pPr>
        <w:spacing w:line="288" w:lineRule="auto"/>
        <w:ind w:firstLine="420"/>
        <w:rPr>
          <w:rFonts w:asciiTheme="minorEastAsia" w:hAnsiTheme="minorEastAsia" w:eastAsiaTheme="minorEastAsia"/>
          <w:sz w:val="24"/>
        </w:rPr>
      </w:pPr>
      <w:r>
        <w:rPr>
          <w:rFonts w:hint="eastAsia" w:asciiTheme="minorEastAsia" w:hAnsiTheme="minorEastAsia" w:eastAsiaTheme="minorEastAsia"/>
          <w:kern w:val="0"/>
          <w:sz w:val="24"/>
        </w:rPr>
        <w:t>委托人应按照附录B约定，无偿向监理人提供工程有关的资料。</w:t>
      </w:r>
      <w:r>
        <w:rPr>
          <w:rFonts w:hint="eastAsia" w:asciiTheme="minorEastAsia" w:hAnsiTheme="minorEastAsia" w:eastAsiaTheme="minorEastAsia"/>
          <w:sz w:val="24"/>
        </w:rPr>
        <w:t>在本合同履行过程中，委托人应及时向监理人提供最新的与工程有关的资料。</w:t>
      </w:r>
    </w:p>
    <w:p>
      <w:pPr>
        <w:pStyle w:val="4"/>
        <w:spacing w:line="288" w:lineRule="auto"/>
      </w:pPr>
      <w:bookmarkStart w:id="944" w:name="_Toc443898814"/>
      <w:bookmarkStart w:id="945" w:name="_Toc496098728"/>
      <w:bookmarkStart w:id="946" w:name="_Toc499204948"/>
      <w:bookmarkStart w:id="947" w:name="_Toc4717"/>
      <w:bookmarkStart w:id="948" w:name="_Toc4618"/>
      <w:bookmarkStart w:id="949" w:name="_Toc499311163"/>
      <w:r>
        <w:rPr>
          <w:rFonts w:hint="eastAsia"/>
        </w:rPr>
        <w:t>3.3 提供工作条件</w:t>
      </w:r>
      <w:bookmarkEnd w:id="944"/>
      <w:bookmarkEnd w:id="945"/>
      <w:bookmarkEnd w:id="946"/>
      <w:bookmarkEnd w:id="947"/>
      <w:bookmarkEnd w:id="948"/>
      <w:bookmarkEnd w:id="949"/>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委托人应为监理人完成监理与相关服务提供必要的条件。</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kern w:val="0"/>
          <w:sz w:val="24"/>
        </w:rPr>
        <w:t xml:space="preserve">3.3.1 </w:t>
      </w:r>
      <w:r>
        <w:rPr>
          <w:rFonts w:hint="eastAsia" w:asciiTheme="minorEastAsia" w:hAnsiTheme="minorEastAsia" w:eastAsiaTheme="minorEastAsia"/>
          <w:sz w:val="24"/>
        </w:rPr>
        <w:t>委托人应按照附录B约定，派遣相应的人员，提供房屋、设备，供监理人</w:t>
      </w:r>
      <w:r>
        <w:rPr>
          <w:rFonts w:hint="eastAsia" w:asciiTheme="minorEastAsia" w:hAnsiTheme="minorEastAsia" w:eastAsiaTheme="minorEastAsia"/>
          <w:kern w:val="0"/>
          <w:sz w:val="24"/>
        </w:rPr>
        <w:t>无偿</w:t>
      </w:r>
      <w:r>
        <w:rPr>
          <w:rFonts w:hint="eastAsia" w:asciiTheme="minorEastAsia" w:hAnsiTheme="minorEastAsia" w:eastAsiaTheme="minorEastAsia"/>
          <w:sz w:val="24"/>
        </w:rPr>
        <w:t>使用。</w:t>
      </w:r>
    </w:p>
    <w:p>
      <w:pPr>
        <w:spacing w:line="288" w:lineRule="auto"/>
        <w:ind w:firstLine="420"/>
        <w:rPr>
          <w:rFonts w:asciiTheme="minorEastAsia" w:hAnsiTheme="minorEastAsia" w:eastAsiaTheme="minorEastAsia"/>
          <w:sz w:val="24"/>
        </w:rPr>
      </w:pPr>
      <w:r>
        <w:rPr>
          <w:rFonts w:hint="eastAsia" w:asciiTheme="minorEastAsia" w:hAnsiTheme="minorEastAsia" w:eastAsiaTheme="minorEastAsia"/>
          <w:kern w:val="0"/>
          <w:sz w:val="24"/>
        </w:rPr>
        <w:t xml:space="preserve">3.3.2 </w:t>
      </w:r>
      <w:r>
        <w:rPr>
          <w:rFonts w:hint="eastAsia" w:asciiTheme="minorEastAsia" w:hAnsiTheme="minorEastAsia" w:eastAsiaTheme="minorEastAsia"/>
          <w:sz w:val="24"/>
        </w:rPr>
        <w:t>委托人应负责协调工程建设中所有外部关系，为监理人履行本合同提供必要的外部条件。</w:t>
      </w:r>
    </w:p>
    <w:p>
      <w:pPr>
        <w:pStyle w:val="4"/>
        <w:spacing w:line="288" w:lineRule="auto"/>
      </w:pPr>
      <w:bookmarkStart w:id="950" w:name="_Toc499204949"/>
      <w:bookmarkStart w:id="951" w:name="_Toc443898815"/>
      <w:bookmarkStart w:id="952" w:name="_Toc499311164"/>
      <w:bookmarkStart w:id="953" w:name="_Toc28375"/>
      <w:bookmarkStart w:id="954" w:name="_Toc17601"/>
      <w:bookmarkStart w:id="955" w:name="_Toc496098729"/>
      <w:r>
        <w:rPr>
          <w:rFonts w:hint="eastAsia"/>
        </w:rPr>
        <w:t>3.4 委托人代表</w:t>
      </w:r>
      <w:bookmarkEnd w:id="950"/>
      <w:bookmarkEnd w:id="951"/>
      <w:bookmarkEnd w:id="952"/>
      <w:bookmarkEnd w:id="953"/>
      <w:bookmarkEnd w:id="954"/>
      <w:bookmarkEnd w:id="955"/>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委托人应授权一名熟悉工程情况的代表，负责与监理人联系。委托人应在双方签订本合同后7天内，将委托人代表的姓名和职责书面告知监理人。当委托人更换委托人代表时，应提前7天通知监理人。</w:t>
      </w:r>
    </w:p>
    <w:p>
      <w:pPr>
        <w:pStyle w:val="4"/>
        <w:spacing w:line="288" w:lineRule="auto"/>
      </w:pPr>
      <w:bookmarkStart w:id="956" w:name="_Toc443898816"/>
      <w:bookmarkStart w:id="957" w:name="_Toc26488"/>
      <w:bookmarkStart w:id="958" w:name="_Toc28488"/>
      <w:bookmarkStart w:id="959" w:name="_Toc496098730"/>
      <w:bookmarkStart w:id="960" w:name="_Toc499204950"/>
      <w:bookmarkStart w:id="961" w:name="_Toc499311165"/>
      <w:r>
        <w:rPr>
          <w:rFonts w:hint="eastAsia"/>
        </w:rPr>
        <w:t>3.5 委托人意见或要求</w:t>
      </w:r>
      <w:bookmarkEnd w:id="956"/>
      <w:bookmarkEnd w:id="957"/>
      <w:bookmarkEnd w:id="958"/>
      <w:bookmarkEnd w:id="959"/>
      <w:bookmarkEnd w:id="960"/>
      <w:bookmarkEnd w:id="961"/>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在本合同约定的监理与相关服务工作范围内，委托人对承包人的任何意见或要求应通知监理人，由监理人向承包人发出相应指令。</w:t>
      </w:r>
    </w:p>
    <w:p>
      <w:pPr>
        <w:pStyle w:val="4"/>
        <w:spacing w:line="288" w:lineRule="auto"/>
        <w:rPr>
          <w:rFonts w:cs="宋体"/>
        </w:rPr>
      </w:pPr>
      <w:bookmarkStart w:id="962" w:name="_Toc23464"/>
      <w:bookmarkStart w:id="963" w:name="_Toc496098731"/>
      <w:bookmarkStart w:id="964" w:name="_Toc499311166"/>
      <w:bookmarkStart w:id="965" w:name="_Toc23192"/>
      <w:bookmarkStart w:id="966" w:name="_Toc443898817"/>
      <w:bookmarkStart w:id="967" w:name="_Toc499204951"/>
      <w:r>
        <w:rPr>
          <w:rFonts w:hint="eastAsia"/>
        </w:rPr>
        <w:t xml:space="preserve">3.6 </w:t>
      </w:r>
      <w:r>
        <w:rPr>
          <w:rFonts w:hint="eastAsia" w:cs="宋体"/>
        </w:rPr>
        <w:t>答复</w:t>
      </w:r>
      <w:bookmarkEnd w:id="962"/>
      <w:bookmarkEnd w:id="963"/>
      <w:bookmarkEnd w:id="964"/>
      <w:bookmarkEnd w:id="965"/>
      <w:bookmarkEnd w:id="966"/>
      <w:bookmarkEnd w:id="967"/>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委托人应在专用条件约定的时间内，对监理人以书面形式提交并要求作出决定的事宜，给予书面答复。逾期未答复的，视为委托人认可。</w:t>
      </w:r>
    </w:p>
    <w:p>
      <w:pPr>
        <w:pStyle w:val="4"/>
        <w:spacing w:line="288" w:lineRule="auto"/>
        <w:rPr>
          <w:rFonts w:cs="宋体"/>
        </w:rPr>
      </w:pPr>
      <w:bookmarkStart w:id="968" w:name="_Toc499311167"/>
      <w:bookmarkStart w:id="969" w:name="_Toc2485"/>
      <w:bookmarkStart w:id="970" w:name="_Toc496098732"/>
      <w:bookmarkStart w:id="971" w:name="_Toc844"/>
      <w:bookmarkStart w:id="972" w:name="_Toc499204952"/>
      <w:bookmarkStart w:id="973" w:name="_Toc443898818"/>
      <w:r>
        <w:rPr>
          <w:rFonts w:hint="eastAsia"/>
        </w:rPr>
        <w:t xml:space="preserve">3.7 </w:t>
      </w:r>
      <w:r>
        <w:rPr>
          <w:rFonts w:hint="eastAsia" w:cs="宋体"/>
        </w:rPr>
        <w:t>支付</w:t>
      </w:r>
      <w:bookmarkEnd w:id="968"/>
      <w:bookmarkEnd w:id="969"/>
      <w:bookmarkEnd w:id="970"/>
      <w:bookmarkEnd w:id="971"/>
      <w:bookmarkEnd w:id="972"/>
      <w:bookmarkEnd w:id="973"/>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委托人应按本合同约定，向监理人支付酬金。</w:t>
      </w:r>
    </w:p>
    <w:p>
      <w:pPr>
        <w:pStyle w:val="2"/>
        <w:spacing w:line="288" w:lineRule="auto"/>
      </w:pPr>
      <w:bookmarkStart w:id="974" w:name="_Toc496098733"/>
      <w:bookmarkStart w:id="975" w:name="_Toc29752"/>
      <w:bookmarkStart w:id="976" w:name="_Toc443898819"/>
      <w:r>
        <w:rPr>
          <w:rFonts w:hint="eastAsia"/>
        </w:rPr>
        <w:t>4. 违约责任</w:t>
      </w:r>
      <w:bookmarkEnd w:id="974"/>
      <w:bookmarkEnd w:id="975"/>
      <w:bookmarkEnd w:id="976"/>
    </w:p>
    <w:p>
      <w:pPr>
        <w:pStyle w:val="4"/>
        <w:spacing w:line="288" w:lineRule="auto"/>
      </w:pPr>
      <w:bookmarkStart w:id="977" w:name="_Toc443898820"/>
      <w:bookmarkStart w:id="978" w:name="_Toc10921"/>
      <w:bookmarkStart w:id="979" w:name="_Toc496098734"/>
      <w:bookmarkStart w:id="980" w:name="_Toc19610"/>
      <w:bookmarkStart w:id="981" w:name="_Toc499311169"/>
      <w:bookmarkStart w:id="982" w:name="_Toc499204954"/>
      <w:r>
        <w:rPr>
          <w:rFonts w:hint="eastAsia"/>
        </w:rPr>
        <w:t>4.1 监理人的违约责任</w:t>
      </w:r>
      <w:bookmarkEnd w:id="977"/>
      <w:bookmarkEnd w:id="978"/>
      <w:bookmarkEnd w:id="979"/>
      <w:bookmarkEnd w:id="980"/>
      <w:bookmarkEnd w:id="981"/>
      <w:bookmarkEnd w:id="982"/>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kern w:val="0"/>
          <w:sz w:val="24"/>
        </w:rPr>
        <w:t>监理人未履行本合同义务的，应承担相应的责任。</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4.1.1 因监理人</w:t>
      </w:r>
      <w:r>
        <w:rPr>
          <w:rFonts w:hint="eastAsia" w:cs="宋体" w:asciiTheme="minorEastAsia" w:hAnsiTheme="minorEastAsia" w:eastAsiaTheme="minorEastAsia"/>
          <w:kern w:val="0"/>
          <w:sz w:val="24"/>
        </w:rPr>
        <w:t>违反本合同约定</w:t>
      </w:r>
      <w:r>
        <w:rPr>
          <w:rFonts w:hint="eastAsia" w:asciiTheme="minorEastAsia" w:hAnsiTheme="minorEastAsia" w:eastAsiaTheme="minorEastAsia"/>
          <w:sz w:val="24"/>
        </w:rPr>
        <w:t>给委托人造成损失的，监理人应当赔偿委托人损失</w:t>
      </w:r>
      <w:r>
        <w:rPr>
          <w:rFonts w:hint="eastAsia" w:asciiTheme="minorEastAsia" w:hAnsiTheme="minorEastAsia" w:eastAsiaTheme="minorEastAsia"/>
          <w:kern w:val="0"/>
          <w:sz w:val="24"/>
        </w:rPr>
        <w:t>。赔偿金额的确定方法在专用条件中约定。监理人承担部分赔偿责任的，其承担赔偿金额由双方协商确定。</w:t>
      </w:r>
    </w:p>
    <w:p>
      <w:pPr>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4.1.2 监理人向委托人的索赔不成立时，监理人应赔偿委托人由此发生的费用。</w:t>
      </w:r>
    </w:p>
    <w:p>
      <w:pPr>
        <w:pStyle w:val="4"/>
        <w:spacing w:line="288" w:lineRule="auto"/>
      </w:pPr>
      <w:bookmarkStart w:id="983" w:name="_Toc443898821"/>
      <w:bookmarkStart w:id="984" w:name="_Toc499204955"/>
      <w:bookmarkStart w:id="985" w:name="_Toc496098735"/>
      <w:bookmarkStart w:id="986" w:name="_Toc23028"/>
      <w:bookmarkStart w:id="987" w:name="_Toc10640"/>
      <w:bookmarkStart w:id="988" w:name="_Toc499311170"/>
      <w:r>
        <w:rPr>
          <w:rFonts w:hint="eastAsia"/>
        </w:rPr>
        <w:t>4.2 委托人的违约责任</w:t>
      </w:r>
      <w:bookmarkEnd w:id="983"/>
      <w:bookmarkEnd w:id="984"/>
      <w:bookmarkEnd w:id="985"/>
      <w:bookmarkEnd w:id="986"/>
      <w:bookmarkEnd w:id="987"/>
      <w:bookmarkEnd w:id="988"/>
    </w:p>
    <w:p>
      <w:pPr>
        <w:adjustRightInd w:val="0"/>
        <w:snapToGrid w:val="0"/>
        <w:spacing w:line="288" w:lineRule="auto"/>
        <w:ind w:firstLine="420"/>
        <w:rPr>
          <w:rFonts w:cs="宋体" w:asciiTheme="minorEastAsia" w:hAnsiTheme="minorEastAsia" w:eastAsiaTheme="minorEastAsia"/>
          <w:kern w:val="0"/>
          <w:sz w:val="24"/>
        </w:rPr>
      </w:pPr>
      <w:r>
        <w:rPr>
          <w:rFonts w:hint="eastAsia" w:asciiTheme="minorEastAsia" w:hAnsiTheme="minorEastAsia" w:eastAsiaTheme="minorEastAsia"/>
          <w:kern w:val="0"/>
          <w:sz w:val="24"/>
        </w:rPr>
        <w:t>委托人未履行本合同义务的，应承担相应的责任。</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4.2.1 委托人违反本合同约定造成监理人损失的，委托人应予以赔偿。</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4.2.2 委托人向监理人的索赔不成立时，应赔偿监理人由此引起的费用。</w:t>
      </w:r>
    </w:p>
    <w:p>
      <w:pPr>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sz w:val="24"/>
        </w:rPr>
        <w:t xml:space="preserve">4.2.3 </w:t>
      </w:r>
      <w:r>
        <w:rPr>
          <w:rFonts w:hint="eastAsia" w:asciiTheme="minorEastAsia" w:hAnsiTheme="minorEastAsia" w:eastAsiaTheme="minorEastAsia"/>
          <w:kern w:val="0"/>
          <w:sz w:val="24"/>
        </w:rPr>
        <w:t>委托人未能按期支付</w:t>
      </w:r>
      <w:r>
        <w:rPr>
          <w:rFonts w:hint="eastAsia" w:asciiTheme="minorEastAsia" w:hAnsiTheme="minorEastAsia" w:eastAsiaTheme="minorEastAsia"/>
          <w:sz w:val="24"/>
        </w:rPr>
        <w:t>酬金</w:t>
      </w:r>
      <w:r>
        <w:rPr>
          <w:rFonts w:hint="eastAsia" w:asciiTheme="minorEastAsia" w:hAnsiTheme="minorEastAsia" w:eastAsiaTheme="minorEastAsia"/>
          <w:kern w:val="0"/>
          <w:sz w:val="24"/>
        </w:rPr>
        <w:t>超过28天，</w:t>
      </w:r>
      <w:r>
        <w:rPr>
          <w:rFonts w:hint="eastAsia" w:cs="宋体" w:asciiTheme="minorEastAsia" w:hAnsiTheme="minorEastAsia" w:eastAsiaTheme="minorEastAsia"/>
          <w:kern w:val="0"/>
          <w:sz w:val="24"/>
        </w:rPr>
        <w:t>应按专用条件约定支付逾期付款利息</w:t>
      </w:r>
      <w:r>
        <w:rPr>
          <w:rFonts w:hint="eastAsia" w:asciiTheme="minorEastAsia" w:hAnsiTheme="minorEastAsia" w:eastAsiaTheme="minorEastAsia"/>
          <w:kern w:val="0"/>
          <w:sz w:val="24"/>
        </w:rPr>
        <w:t>。</w:t>
      </w:r>
    </w:p>
    <w:p>
      <w:pPr>
        <w:pStyle w:val="4"/>
        <w:spacing w:line="288" w:lineRule="auto"/>
      </w:pPr>
      <w:bookmarkStart w:id="989" w:name="_Toc496098736"/>
      <w:bookmarkStart w:id="990" w:name="_Toc499311171"/>
      <w:bookmarkStart w:id="991" w:name="_Toc26262"/>
      <w:bookmarkStart w:id="992" w:name="_Toc499204956"/>
      <w:bookmarkStart w:id="993" w:name="_Toc31163"/>
      <w:bookmarkStart w:id="994" w:name="_Toc443898822"/>
      <w:r>
        <w:rPr>
          <w:rFonts w:hint="eastAsia"/>
        </w:rPr>
        <w:t>4.3 除外责任</w:t>
      </w:r>
      <w:bookmarkEnd w:id="989"/>
      <w:bookmarkEnd w:id="990"/>
      <w:bookmarkEnd w:id="991"/>
      <w:bookmarkEnd w:id="992"/>
      <w:bookmarkEnd w:id="993"/>
      <w:bookmarkEnd w:id="994"/>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因非监理人的原因，且监理人无过错，发生工程质量事故、安全事故、工期延误等造成的损失，监理人不承担赔偿责任。</w:t>
      </w:r>
    </w:p>
    <w:p>
      <w:pPr>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因不可抗力导致本合同全部或部分不能履行时，双方各自承担其因此而造成的损失、损害。</w:t>
      </w:r>
    </w:p>
    <w:p>
      <w:pPr>
        <w:pStyle w:val="2"/>
        <w:spacing w:line="288" w:lineRule="auto"/>
      </w:pPr>
      <w:bookmarkStart w:id="995" w:name="_Toc443898823"/>
      <w:bookmarkStart w:id="996" w:name="_Toc496098737"/>
      <w:bookmarkStart w:id="997" w:name="_Toc31251"/>
      <w:r>
        <w:rPr>
          <w:rFonts w:hint="eastAsia"/>
        </w:rPr>
        <w:t>5. 支付</w:t>
      </w:r>
      <w:bookmarkEnd w:id="995"/>
      <w:bookmarkEnd w:id="996"/>
      <w:bookmarkEnd w:id="997"/>
    </w:p>
    <w:p>
      <w:pPr>
        <w:pStyle w:val="4"/>
        <w:spacing w:line="288" w:lineRule="auto"/>
      </w:pPr>
      <w:bookmarkStart w:id="998" w:name="_Toc443898824"/>
      <w:bookmarkStart w:id="999" w:name="_Toc19048"/>
      <w:bookmarkStart w:id="1000" w:name="_Toc496098738"/>
      <w:bookmarkStart w:id="1001" w:name="_Toc499311173"/>
      <w:bookmarkStart w:id="1002" w:name="_Toc19747"/>
      <w:bookmarkStart w:id="1003" w:name="_Toc499204958"/>
      <w:r>
        <w:rPr>
          <w:rFonts w:hint="eastAsia"/>
        </w:rPr>
        <w:t>5.1 支付货币</w:t>
      </w:r>
      <w:bookmarkEnd w:id="998"/>
      <w:bookmarkEnd w:id="999"/>
      <w:bookmarkEnd w:id="1000"/>
      <w:bookmarkEnd w:id="1001"/>
      <w:bookmarkEnd w:id="1002"/>
      <w:bookmarkEnd w:id="1003"/>
    </w:p>
    <w:p>
      <w:pPr>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sz w:val="24"/>
        </w:rPr>
        <w:t>除专用条件另有约定外，酬金均以人民币支付。涉及外币支付的，所采用的货币种类、比例和汇率在专用条件中约定。</w:t>
      </w:r>
    </w:p>
    <w:p>
      <w:pPr>
        <w:pStyle w:val="4"/>
        <w:spacing w:line="288" w:lineRule="auto"/>
      </w:pPr>
      <w:bookmarkStart w:id="1004" w:name="_Toc2273"/>
      <w:bookmarkStart w:id="1005" w:name="_Toc499311174"/>
      <w:bookmarkStart w:id="1006" w:name="_Toc496098739"/>
      <w:bookmarkStart w:id="1007" w:name="_Toc499204959"/>
      <w:bookmarkStart w:id="1008" w:name="_Toc15948"/>
      <w:bookmarkStart w:id="1009" w:name="_Toc443898825"/>
      <w:r>
        <w:rPr>
          <w:rFonts w:hint="eastAsia"/>
        </w:rPr>
        <w:t>5.2 支付申请</w:t>
      </w:r>
      <w:bookmarkEnd w:id="1004"/>
      <w:bookmarkEnd w:id="1005"/>
      <w:bookmarkEnd w:id="1006"/>
      <w:bookmarkEnd w:id="1007"/>
      <w:bookmarkEnd w:id="1008"/>
      <w:bookmarkEnd w:id="1009"/>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监理人应在本合同约定的每次应付款时间的7天前，向委托人提交支付申请书。支付申请书应当说明当期应付款总额，并列出当期应支付的款项及其金额。</w:t>
      </w:r>
    </w:p>
    <w:p>
      <w:pPr>
        <w:pStyle w:val="4"/>
        <w:spacing w:line="288" w:lineRule="auto"/>
      </w:pPr>
      <w:bookmarkStart w:id="1010" w:name="_Toc13049"/>
      <w:bookmarkStart w:id="1011" w:name="_Toc496098740"/>
      <w:bookmarkStart w:id="1012" w:name="_Toc499311175"/>
      <w:bookmarkStart w:id="1013" w:name="_Toc443898826"/>
      <w:bookmarkStart w:id="1014" w:name="_Toc499204960"/>
      <w:bookmarkStart w:id="1015" w:name="_Toc5208"/>
      <w:r>
        <w:rPr>
          <w:rFonts w:hint="eastAsia"/>
        </w:rPr>
        <w:t>5.3 支付酬金</w:t>
      </w:r>
      <w:bookmarkEnd w:id="1010"/>
      <w:bookmarkEnd w:id="1011"/>
      <w:bookmarkEnd w:id="1012"/>
      <w:bookmarkEnd w:id="1013"/>
      <w:bookmarkEnd w:id="1014"/>
      <w:bookmarkEnd w:id="1015"/>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支付的酬金包括正常工作酬金、附加工作酬金、合理化建议奖励金额及费用。</w:t>
      </w:r>
    </w:p>
    <w:p>
      <w:pPr>
        <w:pStyle w:val="4"/>
        <w:spacing w:line="288" w:lineRule="auto"/>
      </w:pPr>
      <w:bookmarkStart w:id="1016" w:name="_Toc496098741"/>
      <w:bookmarkStart w:id="1017" w:name="_Toc9961"/>
      <w:bookmarkStart w:id="1018" w:name="_Toc499311176"/>
      <w:bookmarkStart w:id="1019" w:name="_Toc443898827"/>
      <w:bookmarkStart w:id="1020" w:name="_Toc26240"/>
      <w:bookmarkStart w:id="1021" w:name="_Toc499204961"/>
      <w:r>
        <w:rPr>
          <w:rFonts w:hint="eastAsia"/>
        </w:rPr>
        <w:t>5.4 有争议部分的付款</w:t>
      </w:r>
      <w:bookmarkEnd w:id="1016"/>
      <w:bookmarkEnd w:id="1017"/>
      <w:bookmarkEnd w:id="1018"/>
      <w:bookmarkEnd w:id="1019"/>
      <w:bookmarkEnd w:id="1020"/>
      <w:bookmarkEnd w:id="1021"/>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pPr>
        <w:pStyle w:val="2"/>
        <w:spacing w:line="288" w:lineRule="auto"/>
      </w:pPr>
      <w:bookmarkStart w:id="1022" w:name="_Toc496098742"/>
      <w:bookmarkStart w:id="1023" w:name="_Toc443898828"/>
      <w:bookmarkStart w:id="1024" w:name="_Toc5599"/>
      <w:r>
        <w:rPr>
          <w:rFonts w:hint="eastAsia"/>
        </w:rPr>
        <w:t>6. 合同生效、变更、暂停、解除与终止</w:t>
      </w:r>
      <w:bookmarkEnd w:id="1022"/>
      <w:bookmarkEnd w:id="1023"/>
      <w:bookmarkEnd w:id="1024"/>
    </w:p>
    <w:p>
      <w:pPr>
        <w:pStyle w:val="4"/>
        <w:spacing w:line="288" w:lineRule="auto"/>
      </w:pPr>
      <w:bookmarkStart w:id="1025" w:name="_Toc496098743"/>
      <w:bookmarkStart w:id="1026" w:name="_Toc443898829"/>
      <w:bookmarkStart w:id="1027" w:name="_Toc17474"/>
      <w:bookmarkStart w:id="1028" w:name="_Toc499204963"/>
      <w:bookmarkStart w:id="1029" w:name="_Toc26264"/>
      <w:bookmarkStart w:id="1030" w:name="_Toc499311178"/>
      <w:r>
        <w:rPr>
          <w:rFonts w:hint="eastAsia"/>
        </w:rPr>
        <w:t>6.1生效</w:t>
      </w:r>
      <w:bookmarkEnd w:id="1025"/>
      <w:bookmarkEnd w:id="1026"/>
      <w:bookmarkEnd w:id="1027"/>
      <w:bookmarkEnd w:id="1028"/>
      <w:bookmarkEnd w:id="1029"/>
      <w:bookmarkEnd w:id="1030"/>
    </w:p>
    <w:p>
      <w:pPr>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除法律另有规定或者专用条件另有约定外，委托人和监理人的法定代表人或其授权代理人在协议书上签字并盖单位章后本合同生效。</w:t>
      </w:r>
    </w:p>
    <w:p>
      <w:pPr>
        <w:pStyle w:val="4"/>
        <w:spacing w:line="288" w:lineRule="auto"/>
      </w:pPr>
      <w:bookmarkStart w:id="1031" w:name="_Toc496098744"/>
      <w:bookmarkStart w:id="1032" w:name="_Toc499204964"/>
      <w:bookmarkStart w:id="1033" w:name="_Toc443898830"/>
      <w:bookmarkStart w:id="1034" w:name="_Toc25034"/>
      <w:bookmarkStart w:id="1035" w:name="_Toc26805"/>
      <w:bookmarkStart w:id="1036" w:name="_Toc499311179"/>
      <w:r>
        <w:rPr>
          <w:rFonts w:hint="eastAsia"/>
        </w:rPr>
        <w:t>6.2变更</w:t>
      </w:r>
      <w:bookmarkEnd w:id="1031"/>
      <w:bookmarkEnd w:id="1032"/>
      <w:bookmarkEnd w:id="1033"/>
      <w:bookmarkEnd w:id="1034"/>
      <w:bookmarkEnd w:id="1035"/>
      <w:bookmarkEnd w:id="1036"/>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6.2.1 任何一方提出变更请求时，双方经协商一致后可进行变更。</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6.2.4合同签订后，遇有与工程相关的法律法规、标准颁布或修订的，双方应遵照执行。由此引起监理与相关服务的范围、时间、酬金变化的，双方应通过协商进行相应调整。</w:t>
      </w:r>
    </w:p>
    <w:p>
      <w:pPr>
        <w:pStyle w:val="4"/>
        <w:spacing w:line="288" w:lineRule="auto"/>
      </w:pPr>
      <w:bookmarkStart w:id="1037" w:name="_Toc499311180"/>
      <w:bookmarkStart w:id="1038" w:name="_Toc443898831"/>
      <w:bookmarkStart w:id="1039" w:name="_Toc499204965"/>
      <w:bookmarkStart w:id="1040" w:name="_Toc496098745"/>
      <w:bookmarkStart w:id="1041" w:name="_Toc32041"/>
      <w:bookmarkStart w:id="1042" w:name="_Toc479"/>
      <w:r>
        <w:rPr>
          <w:rFonts w:hint="eastAsia"/>
        </w:rPr>
        <w:t>6.3 暂停与解除</w:t>
      </w:r>
      <w:bookmarkEnd w:id="1037"/>
      <w:bookmarkEnd w:id="1038"/>
      <w:bookmarkEnd w:id="1039"/>
      <w:bookmarkEnd w:id="1040"/>
      <w:bookmarkEnd w:id="1041"/>
      <w:bookmarkEnd w:id="1042"/>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除双方协商一致可以解除本合同外，当一方无正当理由未履行本合同约定的义务时，另一方可以根据本合同约定暂停履行本合同直至解除本合同。</w:t>
      </w:r>
    </w:p>
    <w:p>
      <w:pPr>
        <w:adjustRightInd w:val="0"/>
        <w:snapToGrid w:val="0"/>
        <w:spacing w:line="288" w:lineRule="auto"/>
        <w:ind w:right="-57" w:rightChars="-27" w:firstLine="420"/>
        <w:rPr>
          <w:rFonts w:asciiTheme="minorEastAsia" w:hAnsiTheme="minorEastAsia" w:eastAsiaTheme="minorEastAsia"/>
          <w:sz w:val="24"/>
        </w:rPr>
      </w:pPr>
      <w:r>
        <w:rPr>
          <w:rFonts w:hint="eastAsia" w:asciiTheme="minorEastAsia" w:hAnsiTheme="minorEastAsia" w:eastAsiaTheme="minorEastAsia"/>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因解除本合同或解除监理人的部分义务导致监理人遭受的损失，除依法可以免除责任的情况外，应由委托人予以补偿，补偿金额由双方协商确定。</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解除本合同的协议必须采取书面形式，协议未达成之前，本合同仍然有效。</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Theme="minorEastAsia" w:hAnsiTheme="minorEastAsia" w:eastAsiaTheme="minorEastAsia"/>
          <w:kern w:val="0"/>
          <w:sz w:val="24"/>
        </w:rPr>
        <w:t>的</w:t>
      </w:r>
      <w:r>
        <w:rPr>
          <w:rFonts w:hint="eastAsia" w:asciiTheme="minorEastAsia" w:hAnsiTheme="minorEastAsia" w:eastAsiaTheme="minorEastAsia"/>
          <w:sz w:val="24"/>
        </w:rPr>
        <w:t>酬金支付至本合同解除日，且应承担第4.2款约定的责任。</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Theme="minorEastAsia" w:hAnsiTheme="minorEastAsia" w:eastAsiaTheme="minorEastAsia"/>
          <w:kern w:val="0"/>
          <w:sz w:val="24"/>
        </w:rPr>
        <w:t>的</w:t>
      </w:r>
      <w:r>
        <w:rPr>
          <w:rFonts w:hint="eastAsia" w:asciiTheme="minorEastAsia" w:hAnsiTheme="minorEastAsia" w:eastAsiaTheme="minorEastAsia"/>
          <w:sz w:val="24"/>
        </w:rPr>
        <w:t>酬金支付至</w:t>
      </w:r>
      <w:r>
        <w:rPr>
          <w:rFonts w:hint="eastAsia" w:asciiTheme="minorEastAsia" w:hAnsiTheme="minorEastAsia" w:eastAsiaTheme="minorEastAsia"/>
          <w:kern w:val="0"/>
          <w:sz w:val="24"/>
        </w:rPr>
        <w:t>限期改正通知到达监理人之日</w:t>
      </w:r>
      <w:r>
        <w:rPr>
          <w:rFonts w:hint="eastAsia" w:asciiTheme="minorEastAsia" w:hAnsiTheme="minorEastAsia" w:eastAsiaTheme="minorEastAsia"/>
          <w:sz w:val="24"/>
        </w:rPr>
        <w:t>，但监理人应承担第4.1款约定的责任。</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sz w:val="24"/>
        </w:rPr>
        <w:t>6.3.5 因不可抗力致使本合同部分或全部不能履行时，一方应立即通知另一方，可暂停或解除本合同。</w:t>
      </w:r>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6.3.6 本合同解除后，本合同约定的有关结算、清理、争议解决方式的条件仍然有效。</w:t>
      </w:r>
    </w:p>
    <w:p>
      <w:pPr>
        <w:pStyle w:val="4"/>
        <w:spacing w:line="288" w:lineRule="auto"/>
      </w:pPr>
      <w:bookmarkStart w:id="1043" w:name="_Toc32509"/>
      <w:bookmarkStart w:id="1044" w:name="_Toc443898832"/>
      <w:bookmarkStart w:id="1045" w:name="_Toc499311181"/>
      <w:bookmarkStart w:id="1046" w:name="_Toc499204966"/>
      <w:bookmarkStart w:id="1047" w:name="_Toc475"/>
      <w:bookmarkStart w:id="1048" w:name="_Toc496098746"/>
      <w:r>
        <w:rPr>
          <w:rFonts w:hint="eastAsia"/>
        </w:rPr>
        <w:t>6.4 终止</w:t>
      </w:r>
      <w:bookmarkEnd w:id="1043"/>
      <w:bookmarkEnd w:id="1044"/>
      <w:bookmarkEnd w:id="1045"/>
      <w:bookmarkEnd w:id="1046"/>
      <w:bookmarkEnd w:id="1047"/>
      <w:bookmarkEnd w:id="1048"/>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以下条件全部满足时，本合同即告终止：</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（1）监理人完成本合同约定的全部工作；</w:t>
      </w:r>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（2）委托人与监理人结清并支付全部酬金。</w:t>
      </w:r>
    </w:p>
    <w:p>
      <w:pPr>
        <w:pStyle w:val="2"/>
        <w:spacing w:line="288" w:lineRule="auto"/>
      </w:pPr>
      <w:bookmarkStart w:id="1049" w:name="_Toc30384"/>
      <w:bookmarkStart w:id="1050" w:name="_Toc496098747"/>
      <w:bookmarkStart w:id="1051" w:name="_Toc443898833"/>
      <w:r>
        <w:rPr>
          <w:rFonts w:hint="eastAsia"/>
        </w:rPr>
        <w:t>7. 争议解决</w:t>
      </w:r>
      <w:bookmarkEnd w:id="1049"/>
      <w:bookmarkEnd w:id="1050"/>
      <w:bookmarkEnd w:id="1051"/>
    </w:p>
    <w:p>
      <w:pPr>
        <w:pStyle w:val="4"/>
        <w:spacing w:line="288" w:lineRule="auto"/>
      </w:pPr>
      <w:bookmarkStart w:id="1052" w:name="_Toc25312"/>
      <w:bookmarkStart w:id="1053" w:name="_Toc499204968"/>
      <w:bookmarkStart w:id="1054" w:name="_Toc496098748"/>
      <w:bookmarkStart w:id="1055" w:name="_Toc443898834"/>
      <w:bookmarkStart w:id="1056" w:name="_Toc499311183"/>
      <w:bookmarkStart w:id="1057" w:name="_Toc28520"/>
      <w:r>
        <w:rPr>
          <w:rFonts w:hint="eastAsia"/>
        </w:rPr>
        <w:t>7.1协商</w:t>
      </w:r>
      <w:bookmarkEnd w:id="1052"/>
      <w:bookmarkEnd w:id="1053"/>
      <w:bookmarkEnd w:id="1054"/>
      <w:bookmarkEnd w:id="1055"/>
      <w:bookmarkEnd w:id="1056"/>
      <w:bookmarkEnd w:id="1057"/>
    </w:p>
    <w:p>
      <w:pPr>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sz w:val="24"/>
        </w:rPr>
        <w:t>双方应本着诚信原则协商解决彼此间的争议。</w:t>
      </w:r>
    </w:p>
    <w:p>
      <w:pPr>
        <w:pStyle w:val="4"/>
        <w:spacing w:line="288" w:lineRule="auto"/>
      </w:pPr>
      <w:bookmarkStart w:id="1058" w:name="_Toc499204969"/>
      <w:bookmarkStart w:id="1059" w:name="_Toc496098749"/>
      <w:bookmarkStart w:id="1060" w:name="_Toc443898835"/>
      <w:bookmarkStart w:id="1061" w:name="_Toc21770"/>
      <w:bookmarkStart w:id="1062" w:name="_Toc807"/>
      <w:bookmarkStart w:id="1063" w:name="_Toc499311184"/>
      <w:r>
        <w:rPr>
          <w:rFonts w:hint="eastAsia"/>
        </w:rPr>
        <w:t>7.2调解</w:t>
      </w:r>
      <w:bookmarkEnd w:id="1058"/>
      <w:bookmarkEnd w:id="1059"/>
      <w:bookmarkEnd w:id="1060"/>
      <w:bookmarkEnd w:id="1061"/>
      <w:bookmarkEnd w:id="1062"/>
      <w:bookmarkEnd w:id="1063"/>
    </w:p>
    <w:p>
      <w:pPr>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sz w:val="24"/>
        </w:rPr>
        <w:t>如果双方不能在14天内或双方商定的其他时间内解决本合同争议，可以将其提交给专用条件约定的或事后达成协议的调解人进行调解。</w:t>
      </w:r>
    </w:p>
    <w:p>
      <w:pPr>
        <w:pStyle w:val="4"/>
        <w:spacing w:line="288" w:lineRule="auto"/>
      </w:pPr>
      <w:bookmarkStart w:id="1064" w:name="_Toc5520"/>
      <w:bookmarkStart w:id="1065" w:name="_Toc496098750"/>
      <w:bookmarkStart w:id="1066" w:name="_Toc443898836"/>
      <w:bookmarkStart w:id="1067" w:name="_Toc499204970"/>
      <w:bookmarkStart w:id="1068" w:name="_Toc6074"/>
      <w:bookmarkStart w:id="1069" w:name="_Toc499311185"/>
      <w:r>
        <w:rPr>
          <w:rFonts w:hint="eastAsia"/>
        </w:rPr>
        <w:t>7.3仲裁或诉讼</w:t>
      </w:r>
      <w:bookmarkEnd w:id="1064"/>
      <w:bookmarkEnd w:id="1065"/>
      <w:bookmarkEnd w:id="1066"/>
      <w:bookmarkEnd w:id="1067"/>
      <w:bookmarkEnd w:id="1068"/>
      <w:bookmarkEnd w:id="1069"/>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双方均有权不经调解直接向专用条件约定的仲裁机构申请仲裁或向有管辖权的人民法院提起诉讼。</w:t>
      </w:r>
    </w:p>
    <w:p>
      <w:pPr>
        <w:pStyle w:val="2"/>
        <w:spacing w:line="288" w:lineRule="auto"/>
      </w:pPr>
      <w:bookmarkStart w:id="1070" w:name="_Toc496098751"/>
      <w:bookmarkStart w:id="1071" w:name="_Toc443898837"/>
      <w:bookmarkStart w:id="1072" w:name="_Toc19963"/>
      <w:r>
        <w:rPr>
          <w:rFonts w:hint="eastAsia"/>
        </w:rPr>
        <w:t>8. 其他</w:t>
      </w:r>
      <w:bookmarkEnd w:id="1070"/>
      <w:bookmarkEnd w:id="1071"/>
      <w:bookmarkEnd w:id="1072"/>
    </w:p>
    <w:p>
      <w:pPr>
        <w:pStyle w:val="4"/>
        <w:spacing w:line="288" w:lineRule="auto"/>
      </w:pPr>
      <w:bookmarkStart w:id="1073" w:name="_Toc443898838"/>
      <w:bookmarkStart w:id="1074" w:name="_Toc9451"/>
      <w:bookmarkStart w:id="1075" w:name="_Toc499204972"/>
      <w:bookmarkStart w:id="1076" w:name="_Toc496098752"/>
      <w:bookmarkStart w:id="1077" w:name="_Toc4794"/>
      <w:bookmarkStart w:id="1078" w:name="_Toc499311187"/>
      <w:r>
        <w:rPr>
          <w:rFonts w:hint="eastAsia"/>
        </w:rPr>
        <w:t>8.1 外出考察费用</w:t>
      </w:r>
      <w:bookmarkEnd w:id="1073"/>
      <w:bookmarkEnd w:id="1074"/>
      <w:bookmarkEnd w:id="1075"/>
      <w:bookmarkEnd w:id="1076"/>
      <w:bookmarkEnd w:id="1077"/>
      <w:bookmarkEnd w:id="1078"/>
    </w:p>
    <w:p>
      <w:pPr>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sz w:val="24"/>
        </w:rPr>
        <w:t>经委托人同意，监理人员外出考察发生的费用由委托人审核后支付。</w:t>
      </w:r>
    </w:p>
    <w:p>
      <w:pPr>
        <w:pStyle w:val="4"/>
        <w:spacing w:line="288" w:lineRule="auto"/>
      </w:pPr>
      <w:bookmarkStart w:id="1079" w:name="_Toc935"/>
      <w:bookmarkStart w:id="1080" w:name="_Toc496098753"/>
      <w:bookmarkStart w:id="1081" w:name="_Toc443898839"/>
      <w:bookmarkStart w:id="1082" w:name="_Toc334"/>
      <w:bookmarkStart w:id="1083" w:name="_Toc499204973"/>
      <w:bookmarkStart w:id="1084" w:name="_Toc499311188"/>
      <w:r>
        <w:rPr>
          <w:rFonts w:hint="eastAsia"/>
        </w:rPr>
        <w:t>8.2 检测费用</w:t>
      </w:r>
      <w:bookmarkEnd w:id="1079"/>
      <w:bookmarkEnd w:id="1080"/>
      <w:bookmarkEnd w:id="1081"/>
      <w:bookmarkEnd w:id="1082"/>
      <w:bookmarkEnd w:id="1083"/>
      <w:bookmarkEnd w:id="1084"/>
    </w:p>
    <w:p>
      <w:pPr>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sz w:val="24"/>
        </w:rPr>
        <w:t>委托人要求监理人进行的材料和设备检测所发生的费用，由委托人支付，支付时间在专用条件中约定。</w:t>
      </w:r>
    </w:p>
    <w:p>
      <w:pPr>
        <w:pStyle w:val="4"/>
        <w:spacing w:line="288" w:lineRule="auto"/>
      </w:pPr>
      <w:bookmarkStart w:id="1085" w:name="_Toc21072"/>
      <w:bookmarkStart w:id="1086" w:name="_Toc496098754"/>
      <w:bookmarkStart w:id="1087" w:name="_Toc499311189"/>
      <w:bookmarkStart w:id="1088" w:name="_Toc443898840"/>
      <w:bookmarkStart w:id="1089" w:name="_Toc25409"/>
      <w:bookmarkStart w:id="1090" w:name="_Toc499204974"/>
      <w:r>
        <w:rPr>
          <w:rFonts w:hint="eastAsia"/>
        </w:rPr>
        <w:t>8.3 咨询费用</w:t>
      </w:r>
      <w:bookmarkEnd w:id="1085"/>
      <w:bookmarkEnd w:id="1086"/>
      <w:bookmarkEnd w:id="1087"/>
      <w:bookmarkEnd w:id="1088"/>
      <w:bookmarkEnd w:id="1089"/>
      <w:bookmarkEnd w:id="1090"/>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经委托人同意，根据工程需要由监理人组织的相关咨询论证会以及聘请相关专家等发生的费用由委托人支付，支付时间在专用条件中约定。</w:t>
      </w:r>
    </w:p>
    <w:p>
      <w:pPr>
        <w:pStyle w:val="4"/>
        <w:spacing w:line="288" w:lineRule="auto"/>
      </w:pPr>
      <w:bookmarkStart w:id="1091" w:name="_Toc9527"/>
      <w:bookmarkStart w:id="1092" w:name="_Toc499311190"/>
      <w:bookmarkStart w:id="1093" w:name="_Toc499204975"/>
      <w:bookmarkStart w:id="1094" w:name="_Toc8450"/>
      <w:bookmarkStart w:id="1095" w:name="_Toc496098755"/>
      <w:bookmarkStart w:id="1096" w:name="_Toc443898841"/>
      <w:r>
        <w:rPr>
          <w:rFonts w:hint="eastAsia"/>
        </w:rPr>
        <w:t>8.4 奖励</w:t>
      </w:r>
      <w:bookmarkEnd w:id="1091"/>
      <w:bookmarkEnd w:id="1092"/>
      <w:bookmarkEnd w:id="1093"/>
      <w:bookmarkEnd w:id="1094"/>
      <w:bookmarkEnd w:id="1095"/>
      <w:bookmarkEnd w:id="1096"/>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监理人在服务过程中提出的合理化建议，使委托人获得经济效益的，双方在专用条件中约定奖励金额的确定方法。奖励金额在合理化建议被采纳后，与最近一期的正常工作酬金同期支付。</w:t>
      </w:r>
    </w:p>
    <w:p>
      <w:pPr>
        <w:pStyle w:val="4"/>
        <w:spacing w:line="288" w:lineRule="auto"/>
      </w:pPr>
      <w:bookmarkStart w:id="1097" w:name="_Toc17993"/>
      <w:bookmarkStart w:id="1098" w:name="_Toc499311191"/>
      <w:bookmarkStart w:id="1099" w:name="_Toc8743"/>
      <w:bookmarkStart w:id="1100" w:name="_Toc499204976"/>
      <w:bookmarkStart w:id="1101" w:name="_Toc443898842"/>
      <w:bookmarkStart w:id="1102" w:name="_Toc496098756"/>
      <w:r>
        <w:rPr>
          <w:rFonts w:hint="eastAsia"/>
        </w:rPr>
        <w:t>8.5 守法诚信</w:t>
      </w:r>
      <w:bookmarkEnd w:id="1097"/>
      <w:bookmarkEnd w:id="1098"/>
      <w:bookmarkEnd w:id="1099"/>
      <w:bookmarkEnd w:id="1100"/>
      <w:bookmarkEnd w:id="1101"/>
      <w:bookmarkEnd w:id="1102"/>
    </w:p>
    <w:p>
      <w:pPr>
        <w:snapToGrid w:val="0"/>
        <w:spacing w:line="288" w:lineRule="auto"/>
        <w:ind w:right="-340" w:rightChars="-162" w:firstLine="420"/>
        <w:rPr>
          <w:rFonts w:asciiTheme="minorEastAsia" w:hAnsiTheme="minorEastAsia" w:eastAsiaTheme="minorEastAsia"/>
          <w:bCs/>
          <w:sz w:val="24"/>
        </w:rPr>
      </w:pPr>
      <w:r>
        <w:rPr>
          <w:rFonts w:hint="eastAsia" w:asciiTheme="minorEastAsia" w:hAnsiTheme="minorEastAsia" w:eastAsiaTheme="minorEastAsia"/>
          <w:sz w:val="24"/>
        </w:rPr>
        <w:t>监理人及其工作人员不得从与实施工程有关的第三方处获得任何经济利益。</w:t>
      </w:r>
    </w:p>
    <w:p>
      <w:pPr>
        <w:pStyle w:val="4"/>
        <w:spacing w:line="288" w:lineRule="auto"/>
      </w:pPr>
      <w:bookmarkStart w:id="1103" w:name="_Toc499204977"/>
      <w:bookmarkStart w:id="1104" w:name="_Toc21101"/>
      <w:bookmarkStart w:id="1105" w:name="_Toc443898843"/>
      <w:bookmarkStart w:id="1106" w:name="_Toc32748"/>
      <w:bookmarkStart w:id="1107" w:name="_Toc499311192"/>
      <w:bookmarkStart w:id="1108" w:name="_Toc496098757"/>
      <w:r>
        <w:rPr>
          <w:rFonts w:hint="eastAsia"/>
        </w:rPr>
        <w:t>8.6 保密</w:t>
      </w:r>
      <w:bookmarkEnd w:id="1103"/>
      <w:bookmarkEnd w:id="1104"/>
      <w:bookmarkEnd w:id="1105"/>
      <w:bookmarkEnd w:id="1106"/>
      <w:bookmarkEnd w:id="1107"/>
      <w:bookmarkEnd w:id="1108"/>
    </w:p>
    <w:p>
      <w:pPr>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sz w:val="24"/>
        </w:rPr>
        <w:t>双方不得泄露对方申明的保密资料，亦不得泄露与实施工程有关的第三方所提供的保密资料，保密事项在专用条件中约定。</w:t>
      </w:r>
    </w:p>
    <w:p>
      <w:pPr>
        <w:pStyle w:val="4"/>
        <w:spacing w:line="288" w:lineRule="auto"/>
      </w:pPr>
      <w:bookmarkStart w:id="1109" w:name="_Toc443898844"/>
      <w:bookmarkStart w:id="1110" w:name="_Toc27110"/>
      <w:bookmarkStart w:id="1111" w:name="_Toc496098758"/>
      <w:bookmarkStart w:id="1112" w:name="_Toc20913"/>
      <w:bookmarkStart w:id="1113" w:name="_Toc499311193"/>
      <w:bookmarkStart w:id="1114" w:name="_Toc499204978"/>
      <w:r>
        <w:rPr>
          <w:rFonts w:hint="eastAsia"/>
        </w:rPr>
        <w:t>8.7 通知</w:t>
      </w:r>
      <w:bookmarkEnd w:id="1109"/>
      <w:bookmarkEnd w:id="1110"/>
      <w:bookmarkEnd w:id="1111"/>
      <w:bookmarkEnd w:id="1112"/>
      <w:bookmarkEnd w:id="1113"/>
      <w:bookmarkEnd w:id="1114"/>
    </w:p>
    <w:p>
      <w:pPr>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sz w:val="24"/>
        </w:rPr>
        <w:t>本合同涉及的通知均应当采用书面形式，并在送达对方时生效，收件人应书面签收。</w:t>
      </w:r>
    </w:p>
    <w:p>
      <w:pPr>
        <w:pStyle w:val="4"/>
        <w:spacing w:line="288" w:lineRule="auto"/>
      </w:pPr>
      <w:bookmarkStart w:id="1115" w:name="_Toc499204979"/>
      <w:bookmarkStart w:id="1116" w:name="_Toc499311194"/>
      <w:bookmarkStart w:id="1117" w:name="_Toc496098759"/>
      <w:bookmarkStart w:id="1118" w:name="_Toc443898845"/>
      <w:bookmarkStart w:id="1119" w:name="_Toc12052"/>
      <w:bookmarkStart w:id="1120" w:name="_Toc4609"/>
      <w:r>
        <w:rPr>
          <w:rFonts w:hint="eastAsia"/>
        </w:rPr>
        <w:t>8.8 著作权</w:t>
      </w:r>
      <w:bookmarkEnd w:id="1115"/>
      <w:bookmarkEnd w:id="1116"/>
      <w:bookmarkEnd w:id="1117"/>
      <w:bookmarkEnd w:id="1118"/>
      <w:bookmarkEnd w:id="1119"/>
      <w:bookmarkEnd w:id="1120"/>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监理人对其编制的文件拥有著作权。</w:t>
      </w:r>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
    <w:p/>
    <w:p/>
    <w:p/>
    <w:p/>
    <w:p/>
    <w:p/>
    <w:p/>
    <w:p/>
    <w:p/>
    <w:p/>
    <w:p/>
    <w:p/>
    <w:p/>
    <w:p/>
    <w:p/>
    <w:p/>
    <w:p/>
    <w:p>
      <w:pPr>
        <w:pStyle w:val="2"/>
        <w:jc w:val="center"/>
      </w:pPr>
      <w:bookmarkStart w:id="1121" w:name="_Toc10120"/>
      <w:bookmarkStart w:id="1122" w:name="_Toc496098760"/>
      <w:r>
        <w:rPr>
          <w:rFonts w:hint="eastAsia"/>
        </w:rPr>
        <w:t>第三部分  专用条件</w:t>
      </w:r>
      <w:bookmarkEnd w:id="1121"/>
      <w:bookmarkEnd w:id="1122"/>
    </w:p>
    <w:p>
      <w:pPr>
        <w:keepNext/>
        <w:keepLines/>
        <w:spacing w:beforeLines="50" w:afterLines="50" w:line="288" w:lineRule="auto"/>
        <w:outlineLvl w:val="1"/>
        <w:rPr>
          <w:rFonts w:asciiTheme="minorEastAsia" w:hAnsiTheme="minorEastAsia" w:eastAsiaTheme="minorEastAsia"/>
          <w:b/>
          <w:bCs/>
          <w:sz w:val="24"/>
        </w:rPr>
      </w:pPr>
      <w:bookmarkStart w:id="1123" w:name="_Toc443898847"/>
      <w:bookmarkStart w:id="1124" w:name="_Toc496098761"/>
      <w:bookmarkStart w:id="1125" w:name="_Toc28952"/>
      <w:r>
        <w:rPr>
          <w:rFonts w:asciiTheme="minorEastAsia" w:hAnsiTheme="minorEastAsia" w:eastAsiaTheme="minorEastAsia"/>
          <w:b/>
          <w:bCs/>
          <w:sz w:val="24"/>
        </w:rPr>
        <w:t>1. 定义与解释</w:t>
      </w:r>
      <w:bookmarkEnd w:id="1123"/>
      <w:bookmarkEnd w:id="1124"/>
      <w:bookmarkEnd w:id="1125"/>
    </w:p>
    <w:p>
      <w:pPr>
        <w:keepNext/>
        <w:keepLines/>
        <w:spacing w:line="288" w:lineRule="auto"/>
        <w:outlineLvl w:val="2"/>
        <w:rPr>
          <w:rFonts w:asciiTheme="minorEastAsia" w:hAnsiTheme="minorEastAsia" w:eastAsiaTheme="minorEastAsia"/>
          <w:b/>
          <w:sz w:val="24"/>
        </w:rPr>
      </w:pPr>
      <w:bookmarkStart w:id="1126" w:name="_Toc6891"/>
      <w:bookmarkStart w:id="1127" w:name="_Toc499311197"/>
      <w:bookmarkStart w:id="1128" w:name="_Toc443898848"/>
      <w:bookmarkStart w:id="1129" w:name="_Toc13415"/>
      <w:bookmarkStart w:id="1130" w:name="_Toc499204982"/>
      <w:bookmarkStart w:id="1131" w:name="_Toc496098762"/>
      <w:r>
        <w:rPr>
          <w:rFonts w:asciiTheme="minorEastAsia" w:hAnsiTheme="minorEastAsia" w:eastAsiaTheme="minorEastAsia"/>
          <w:b/>
          <w:sz w:val="24"/>
        </w:rPr>
        <w:t xml:space="preserve">1.1 </w:t>
      </w:r>
      <w:r>
        <w:rPr>
          <w:rFonts w:hint="eastAsia" w:asciiTheme="minorEastAsia" w:hAnsiTheme="minorEastAsia" w:eastAsiaTheme="minorEastAsia"/>
          <w:b/>
          <w:sz w:val="24"/>
        </w:rPr>
        <w:t>定义</w:t>
      </w:r>
      <w:bookmarkEnd w:id="1126"/>
      <w:bookmarkEnd w:id="1127"/>
      <w:bookmarkEnd w:id="1128"/>
      <w:bookmarkEnd w:id="1129"/>
      <w:bookmarkEnd w:id="1130"/>
      <w:bookmarkEnd w:id="1131"/>
    </w:p>
    <w:p>
      <w:pPr>
        <w:adjustRightInd w:val="0"/>
        <w:snapToGrid w:val="0"/>
        <w:spacing w:afterLines="50" w:line="288" w:lineRule="auto"/>
        <w:ind w:left="927" w:leftChars="203" w:hanging="501" w:hangingChars="209"/>
        <w:rPr>
          <w:rFonts w:asciiTheme="minorEastAsia" w:hAnsiTheme="minorEastAsia" w:eastAsiaTheme="minorEastAsia"/>
          <w:bCs/>
          <w:sz w:val="24"/>
        </w:rPr>
      </w:pPr>
      <w:r>
        <w:rPr>
          <w:rFonts w:asciiTheme="minorEastAsia" w:hAnsiTheme="minorEastAsia" w:eastAsiaTheme="minorEastAsia"/>
          <w:bCs/>
          <w:sz w:val="24"/>
        </w:rPr>
        <w:t>1.1.1 “工程”是</w:t>
      </w:r>
      <w:r>
        <w:rPr>
          <w:rFonts w:hint="eastAsia" w:asciiTheme="minorEastAsia" w:hAnsiTheme="minorEastAsia" w:eastAsiaTheme="minorEastAsia"/>
          <w:bCs/>
          <w:sz w:val="24"/>
        </w:rPr>
        <w:t>指</w:t>
      </w:r>
      <w:r>
        <w:rPr>
          <w:rFonts w:hint="eastAsia" w:asciiTheme="minorEastAsia" w:hAnsiTheme="minorEastAsia" w:eastAsiaTheme="minorEastAsia"/>
          <w:bCs/>
          <w:sz w:val="24"/>
          <w:u w:val="single"/>
        </w:rPr>
        <w:t>郑州机场至许昌市域铁路工程许昌段建设项目(施工总承包)</w:t>
      </w:r>
      <w:r>
        <w:rPr>
          <w:rFonts w:asciiTheme="minorEastAsia" w:hAnsiTheme="minorEastAsia" w:eastAsiaTheme="minorEastAsia"/>
          <w:sz w:val="24"/>
        </w:rPr>
        <w:t>。</w:t>
      </w:r>
    </w:p>
    <w:p>
      <w:pPr>
        <w:adjustRightInd w:val="0"/>
        <w:snapToGrid w:val="0"/>
        <w:spacing w:afterLines="50" w:line="288" w:lineRule="auto"/>
        <w:ind w:left="927" w:leftChars="203" w:hanging="501" w:hangingChars="209"/>
        <w:rPr>
          <w:rFonts w:asciiTheme="minorEastAsia" w:hAnsiTheme="minorEastAsia" w:eastAsiaTheme="minorEastAsia"/>
          <w:bCs/>
          <w:sz w:val="24"/>
        </w:rPr>
      </w:pPr>
      <w:r>
        <w:rPr>
          <w:rFonts w:hint="eastAsia" w:asciiTheme="minorEastAsia" w:hAnsiTheme="minorEastAsia" w:eastAsiaTheme="minorEastAsia"/>
          <w:bCs/>
          <w:sz w:val="24"/>
        </w:rPr>
        <w:t>1.1.3 “监理人”是指本合同中提供监理与相关服务的一方，及其合法的继承人，亦指监理人根据监理合同派驻到工程所在地履行监理服务的机构。</w:t>
      </w:r>
    </w:p>
    <w:p>
      <w:pPr>
        <w:adjustRightInd w:val="0"/>
        <w:snapToGrid w:val="0"/>
        <w:spacing w:afterLines="50" w:line="288" w:lineRule="auto"/>
        <w:ind w:left="927" w:leftChars="203" w:hanging="501" w:hangingChars="209"/>
        <w:rPr>
          <w:rFonts w:asciiTheme="minorEastAsia" w:hAnsiTheme="minorEastAsia" w:eastAsiaTheme="minorEastAsia"/>
          <w:bCs/>
          <w:sz w:val="24"/>
        </w:rPr>
      </w:pPr>
      <w:r>
        <w:rPr>
          <w:rFonts w:hint="eastAsia" w:asciiTheme="minorEastAsia" w:hAnsiTheme="minorEastAsia" w:eastAsiaTheme="minorEastAsia"/>
          <w:bCs/>
          <w:sz w:val="24"/>
        </w:rPr>
        <w:t>1.1.12 “天”是指第一天零时至第二天零时的时间，“日”和“天”具有同样含义，是指一个公历日，不是指工作日。</w:t>
      </w:r>
    </w:p>
    <w:p>
      <w:pPr>
        <w:adjustRightInd w:val="0"/>
        <w:snapToGrid w:val="0"/>
        <w:spacing w:afterLines="50" w:line="288" w:lineRule="auto"/>
        <w:ind w:left="927" w:leftChars="203" w:hanging="501" w:hangingChars="209"/>
        <w:rPr>
          <w:rFonts w:asciiTheme="minorEastAsia" w:hAnsiTheme="minorEastAsia" w:eastAsiaTheme="minorEastAsia"/>
          <w:bCs/>
          <w:sz w:val="24"/>
        </w:rPr>
      </w:pPr>
      <w:r>
        <w:rPr>
          <w:rFonts w:asciiTheme="minorEastAsia" w:hAnsiTheme="minorEastAsia" w:eastAsiaTheme="minorEastAsia"/>
          <w:bCs/>
          <w:sz w:val="24"/>
        </w:rPr>
        <w:t>1.1.1</w:t>
      </w:r>
      <w:r>
        <w:rPr>
          <w:rFonts w:hint="eastAsia" w:asciiTheme="minorEastAsia" w:hAnsiTheme="minorEastAsia" w:eastAsiaTheme="minorEastAsia"/>
          <w:bCs/>
          <w:sz w:val="24"/>
        </w:rPr>
        <w:t>3“</w:t>
      </w:r>
      <w:r>
        <w:rPr>
          <w:rFonts w:asciiTheme="minorEastAsia" w:hAnsiTheme="minorEastAsia" w:eastAsiaTheme="minorEastAsia"/>
          <w:bCs/>
          <w:sz w:val="24"/>
        </w:rPr>
        <w:t>月</w:t>
      </w:r>
      <w:r>
        <w:rPr>
          <w:rFonts w:hint="eastAsia" w:asciiTheme="minorEastAsia" w:hAnsiTheme="minorEastAsia" w:eastAsiaTheme="minorEastAsia"/>
          <w:bCs/>
          <w:sz w:val="24"/>
        </w:rPr>
        <w:t>”</w:t>
      </w:r>
      <w:r>
        <w:rPr>
          <w:rFonts w:asciiTheme="minorEastAsia" w:hAnsiTheme="minorEastAsia" w:eastAsiaTheme="minorEastAsia"/>
          <w:bCs/>
          <w:sz w:val="24"/>
        </w:rPr>
        <w:t>：根据公历从某一个月份中的任何一日开始至下一个月份相应日期的前一日截止的时间段。</w:t>
      </w:r>
      <w:r>
        <w:rPr>
          <w:rFonts w:hint="eastAsia" w:asciiTheme="minorEastAsia" w:hAnsiTheme="minorEastAsia" w:eastAsiaTheme="minorEastAsia"/>
          <w:bCs/>
          <w:sz w:val="24"/>
        </w:rPr>
        <w:t>如下一个月无相应日，则该月的最后一日为截止日。</w:t>
      </w:r>
    </w:p>
    <w:p>
      <w:pPr>
        <w:adjustRightInd w:val="0"/>
        <w:snapToGrid w:val="0"/>
        <w:spacing w:afterLines="50" w:line="288" w:lineRule="auto"/>
        <w:ind w:left="991" w:hanging="991" w:hangingChars="413"/>
        <w:rPr>
          <w:rFonts w:asciiTheme="minorEastAsia" w:hAnsiTheme="minorEastAsia" w:eastAsiaTheme="minorEastAsia"/>
          <w:bCs/>
          <w:sz w:val="24"/>
        </w:rPr>
      </w:pPr>
      <w:r>
        <w:rPr>
          <w:rFonts w:asciiTheme="minorEastAsia" w:hAnsiTheme="minorEastAsia" w:eastAsiaTheme="minorEastAsia"/>
          <w:bCs/>
          <w:sz w:val="24"/>
        </w:rPr>
        <w:t>第1.1项增加如下定义：</w:t>
      </w:r>
    </w:p>
    <w:p>
      <w:pPr>
        <w:adjustRightInd w:val="0"/>
        <w:snapToGrid w:val="0"/>
        <w:spacing w:afterLines="50" w:line="288" w:lineRule="auto"/>
        <w:ind w:firstLine="484" w:firstLineChars="202"/>
        <w:rPr>
          <w:rFonts w:asciiTheme="minorEastAsia" w:hAnsiTheme="minorEastAsia" w:eastAsiaTheme="minorEastAsia"/>
          <w:sz w:val="24"/>
        </w:rPr>
      </w:pPr>
      <w:r>
        <w:rPr>
          <w:rFonts w:asciiTheme="minorEastAsia" w:hAnsiTheme="minorEastAsia" w:eastAsiaTheme="minorEastAsia"/>
          <w:bCs/>
          <w:sz w:val="24"/>
        </w:rPr>
        <w:t>1.1.</w:t>
      </w:r>
      <w:r>
        <w:rPr>
          <w:rFonts w:hint="eastAsia" w:asciiTheme="minorEastAsia" w:hAnsiTheme="minorEastAsia" w:eastAsiaTheme="minorEastAsia"/>
          <w:bCs/>
          <w:sz w:val="24"/>
        </w:rPr>
        <w:t>20</w:t>
      </w:r>
      <w:r>
        <w:rPr>
          <w:rFonts w:asciiTheme="minorEastAsia" w:hAnsiTheme="minorEastAsia" w:eastAsiaTheme="minorEastAsia"/>
          <w:bCs/>
          <w:sz w:val="24"/>
        </w:rPr>
        <w:t>项目：</w:t>
      </w:r>
      <w:r>
        <w:rPr>
          <w:rFonts w:hint="eastAsia" w:cs="宋体" w:asciiTheme="minorEastAsia" w:hAnsiTheme="minorEastAsia" w:eastAsiaTheme="minorEastAsia"/>
          <w:sz w:val="24"/>
          <w:u w:val="single"/>
        </w:rPr>
        <w:t>郑州机场至许昌市域铁路工程许昌段建设项目(施工总承包)（第三标段）监理</w:t>
      </w:r>
      <w:r>
        <w:rPr>
          <w:rFonts w:hint="eastAsia" w:asciiTheme="minorEastAsia" w:hAnsiTheme="minorEastAsia" w:eastAsiaTheme="minorEastAsia"/>
          <w:bCs/>
          <w:sz w:val="24"/>
          <w:u w:val="single"/>
        </w:rPr>
        <w:t>。</w:t>
      </w:r>
    </w:p>
    <w:p>
      <w:pPr>
        <w:spacing w:line="288" w:lineRule="auto"/>
        <w:ind w:left="168" w:leftChars="80" w:firstLine="266" w:firstLineChars="111"/>
        <w:rPr>
          <w:rFonts w:asciiTheme="minorEastAsia" w:hAnsiTheme="minorEastAsia" w:eastAsiaTheme="minorEastAsia"/>
          <w:bCs/>
          <w:sz w:val="24"/>
        </w:rPr>
      </w:pPr>
      <w:r>
        <w:rPr>
          <w:rFonts w:asciiTheme="minorEastAsia" w:hAnsiTheme="minorEastAsia" w:eastAsiaTheme="minorEastAsia"/>
          <w:bCs/>
          <w:sz w:val="24"/>
        </w:rPr>
        <w:t>1.1.</w:t>
      </w:r>
      <w:r>
        <w:rPr>
          <w:rFonts w:hint="eastAsia" w:asciiTheme="minorEastAsia" w:hAnsiTheme="minorEastAsia" w:eastAsiaTheme="minorEastAsia"/>
          <w:bCs/>
          <w:sz w:val="24"/>
        </w:rPr>
        <w:t>21</w:t>
      </w:r>
      <w:r>
        <w:rPr>
          <w:rFonts w:asciiTheme="minorEastAsia" w:hAnsiTheme="minorEastAsia" w:eastAsiaTheme="minorEastAsia"/>
          <w:bCs/>
          <w:sz w:val="24"/>
        </w:rPr>
        <w:t>合同文件：指</w:t>
      </w:r>
      <w:r>
        <w:rPr>
          <w:rFonts w:hint="eastAsia" w:asciiTheme="minorEastAsia" w:hAnsiTheme="minorEastAsia" w:eastAsiaTheme="minorEastAsia"/>
          <w:bCs/>
          <w:sz w:val="24"/>
        </w:rPr>
        <w:t>合同</w:t>
      </w:r>
      <w:r>
        <w:rPr>
          <w:rFonts w:asciiTheme="minorEastAsia" w:hAnsiTheme="minorEastAsia" w:eastAsiaTheme="minorEastAsia"/>
          <w:bCs/>
          <w:sz w:val="24"/>
        </w:rPr>
        <w:t>协议书</w:t>
      </w:r>
      <w:r>
        <w:rPr>
          <w:rFonts w:hint="eastAsia" w:asciiTheme="minorEastAsia" w:hAnsiTheme="minorEastAsia" w:eastAsiaTheme="minorEastAsia"/>
          <w:bCs/>
          <w:sz w:val="24"/>
        </w:rPr>
        <w:t>、</w:t>
      </w:r>
      <w:r>
        <w:rPr>
          <w:rFonts w:asciiTheme="minorEastAsia" w:hAnsiTheme="minorEastAsia" w:eastAsiaTheme="minorEastAsia"/>
          <w:bCs/>
          <w:sz w:val="24"/>
        </w:rPr>
        <w:t>中标通知书</w:t>
      </w:r>
      <w:r>
        <w:rPr>
          <w:rFonts w:hint="eastAsia" w:asciiTheme="minorEastAsia" w:hAnsiTheme="minorEastAsia" w:eastAsiaTheme="minorEastAsia"/>
          <w:bCs/>
          <w:sz w:val="24"/>
        </w:rPr>
        <w:t>、</w:t>
      </w:r>
      <w:r>
        <w:rPr>
          <w:rFonts w:asciiTheme="minorEastAsia" w:hAnsiTheme="minorEastAsia" w:eastAsiaTheme="minorEastAsia"/>
          <w:bCs/>
          <w:sz w:val="24"/>
        </w:rPr>
        <w:t>投标函</w:t>
      </w:r>
      <w:r>
        <w:rPr>
          <w:rFonts w:hint="eastAsia" w:asciiTheme="minorEastAsia" w:hAnsiTheme="minorEastAsia" w:eastAsiaTheme="minorEastAsia"/>
          <w:bCs/>
          <w:sz w:val="24"/>
        </w:rPr>
        <w:t>、</w:t>
      </w:r>
      <w:r>
        <w:rPr>
          <w:rFonts w:asciiTheme="minorEastAsia" w:hAnsiTheme="minorEastAsia" w:eastAsiaTheme="minorEastAsia"/>
          <w:bCs/>
          <w:sz w:val="24"/>
        </w:rPr>
        <w:t>投标函附录</w:t>
      </w:r>
      <w:r>
        <w:rPr>
          <w:rFonts w:hint="eastAsia" w:asciiTheme="minorEastAsia" w:hAnsiTheme="minorEastAsia" w:eastAsiaTheme="minorEastAsia"/>
          <w:bCs/>
          <w:sz w:val="24"/>
        </w:rPr>
        <w:t>、</w:t>
      </w:r>
      <w:r>
        <w:rPr>
          <w:rFonts w:asciiTheme="minorEastAsia" w:hAnsiTheme="minorEastAsia" w:eastAsiaTheme="minorEastAsia"/>
          <w:bCs/>
          <w:sz w:val="24"/>
        </w:rPr>
        <w:t>评标期间</w:t>
      </w:r>
      <w:r>
        <w:rPr>
          <w:rFonts w:hint="eastAsia" w:asciiTheme="minorEastAsia" w:hAnsiTheme="minorEastAsia" w:eastAsiaTheme="minorEastAsia"/>
          <w:bCs/>
          <w:sz w:val="24"/>
        </w:rPr>
        <w:t>和</w:t>
      </w:r>
      <w:r>
        <w:rPr>
          <w:rFonts w:asciiTheme="minorEastAsia" w:hAnsiTheme="minorEastAsia" w:eastAsiaTheme="minorEastAsia"/>
          <w:bCs/>
          <w:sz w:val="24"/>
        </w:rPr>
        <w:t>合同谈判过程中的</w:t>
      </w:r>
      <w:r>
        <w:rPr>
          <w:rFonts w:hint="eastAsia" w:asciiTheme="minorEastAsia" w:hAnsiTheme="minorEastAsia" w:eastAsiaTheme="minorEastAsia"/>
          <w:bCs/>
          <w:sz w:val="24"/>
        </w:rPr>
        <w:t>澄清及</w:t>
      </w:r>
      <w:r>
        <w:rPr>
          <w:rFonts w:asciiTheme="minorEastAsia" w:hAnsiTheme="minorEastAsia" w:eastAsiaTheme="minorEastAsia"/>
          <w:bCs/>
          <w:sz w:val="24"/>
        </w:rPr>
        <w:t>承诺</w:t>
      </w:r>
      <w:r>
        <w:rPr>
          <w:rFonts w:hint="eastAsia" w:asciiTheme="minorEastAsia" w:hAnsiTheme="minorEastAsia" w:eastAsiaTheme="minorEastAsia"/>
          <w:bCs/>
          <w:sz w:val="24"/>
        </w:rPr>
        <w:t>函、</w:t>
      </w:r>
      <w:r>
        <w:rPr>
          <w:rFonts w:asciiTheme="minorEastAsia" w:hAnsiTheme="minorEastAsia" w:eastAsiaTheme="minorEastAsia"/>
          <w:bCs/>
          <w:sz w:val="24"/>
        </w:rPr>
        <w:t>专用条件</w:t>
      </w:r>
      <w:r>
        <w:rPr>
          <w:rFonts w:hint="eastAsia" w:asciiTheme="minorEastAsia" w:hAnsiTheme="minorEastAsia" w:eastAsiaTheme="minorEastAsia"/>
          <w:bCs/>
          <w:sz w:val="24"/>
        </w:rPr>
        <w:t>及</w:t>
      </w:r>
      <w:r>
        <w:rPr>
          <w:rFonts w:asciiTheme="minorEastAsia" w:hAnsiTheme="minorEastAsia" w:eastAsiaTheme="minorEastAsia"/>
          <w:bCs/>
          <w:sz w:val="24"/>
        </w:rPr>
        <w:t>合同实施过程中的补充协议书</w:t>
      </w:r>
      <w:r>
        <w:rPr>
          <w:rFonts w:hint="eastAsia" w:asciiTheme="minorEastAsia" w:hAnsiTheme="minorEastAsia" w:eastAsiaTheme="minorEastAsia"/>
          <w:bCs/>
          <w:sz w:val="24"/>
        </w:rPr>
        <w:t>、</w:t>
      </w:r>
      <w:r>
        <w:rPr>
          <w:rFonts w:asciiTheme="minorEastAsia" w:hAnsiTheme="minorEastAsia" w:eastAsiaTheme="minorEastAsia"/>
          <w:bCs/>
          <w:sz w:val="24"/>
        </w:rPr>
        <w:t>通用条件</w:t>
      </w:r>
      <w:r>
        <w:rPr>
          <w:rFonts w:hint="eastAsia" w:asciiTheme="minorEastAsia" w:hAnsiTheme="minorEastAsia" w:eastAsiaTheme="minorEastAsia"/>
          <w:bCs/>
          <w:sz w:val="24"/>
        </w:rPr>
        <w:t>、</w:t>
      </w:r>
      <w:r>
        <w:rPr>
          <w:rFonts w:asciiTheme="minorEastAsia" w:hAnsiTheme="minorEastAsia" w:eastAsiaTheme="minorEastAsia"/>
          <w:bCs/>
          <w:sz w:val="24"/>
        </w:rPr>
        <w:t>监理服务标准和要求</w:t>
      </w:r>
      <w:r>
        <w:rPr>
          <w:rFonts w:hint="eastAsia" w:asciiTheme="minorEastAsia" w:hAnsiTheme="minorEastAsia" w:eastAsiaTheme="minorEastAsia"/>
          <w:bCs/>
          <w:sz w:val="24"/>
        </w:rPr>
        <w:t>、</w:t>
      </w:r>
      <w:r>
        <w:rPr>
          <w:rFonts w:asciiTheme="minorEastAsia" w:hAnsiTheme="minorEastAsia" w:eastAsiaTheme="minorEastAsia"/>
          <w:bCs/>
          <w:sz w:val="24"/>
        </w:rPr>
        <w:t>投标文件</w:t>
      </w:r>
      <w:r>
        <w:rPr>
          <w:rFonts w:hint="eastAsia" w:asciiTheme="minorEastAsia" w:hAnsiTheme="minorEastAsia" w:eastAsiaTheme="minorEastAsia"/>
          <w:bCs/>
          <w:sz w:val="24"/>
        </w:rPr>
        <w:t>、招标文件、</w:t>
      </w:r>
      <w:r>
        <w:rPr>
          <w:rFonts w:asciiTheme="minorEastAsia" w:hAnsiTheme="minorEastAsia" w:eastAsiaTheme="minorEastAsia"/>
          <w:bCs/>
          <w:sz w:val="24"/>
        </w:rPr>
        <w:t>其他合同文件等文件。</w:t>
      </w:r>
    </w:p>
    <w:p>
      <w:pPr>
        <w:adjustRightInd w:val="0"/>
        <w:snapToGrid w:val="0"/>
        <w:spacing w:line="288" w:lineRule="auto"/>
        <w:ind w:firstLine="484" w:firstLineChars="202"/>
        <w:rPr>
          <w:rFonts w:asciiTheme="minorEastAsia" w:hAnsiTheme="minorEastAsia" w:eastAsiaTheme="minorEastAsia"/>
          <w:bCs/>
          <w:sz w:val="24"/>
        </w:rPr>
      </w:pPr>
      <w:r>
        <w:rPr>
          <w:rFonts w:asciiTheme="minorEastAsia" w:hAnsiTheme="minorEastAsia" w:eastAsiaTheme="minorEastAsia"/>
          <w:bCs/>
          <w:sz w:val="24"/>
        </w:rPr>
        <w:t>1.1.</w:t>
      </w:r>
      <w:r>
        <w:rPr>
          <w:rFonts w:hint="eastAsia" w:asciiTheme="minorEastAsia" w:hAnsiTheme="minorEastAsia" w:eastAsiaTheme="minorEastAsia"/>
          <w:bCs/>
          <w:sz w:val="24"/>
        </w:rPr>
        <w:t>22</w:t>
      </w:r>
      <w:r>
        <w:rPr>
          <w:rFonts w:asciiTheme="minorEastAsia" w:hAnsiTheme="minorEastAsia" w:eastAsiaTheme="minorEastAsia"/>
          <w:bCs/>
          <w:sz w:val="24"/>
        </w:rPr>
        <w:t>其他合同文件：在合同订立和履行过程中，委托人颁布的有关工程建设监理的规定、要求</w:t>
      </w:r>
      <w:r>
        <w:rPr>
          <w:rFonts w:hint="eastAsia" w:asciiTheme="minorEastAsia" w:hAnsiTheme="minorEastAsia" w:eastAsiaTheme="minorEastAsia"/>
          <w:bCs/>
          <w:sz w:val="24"/>
        </w:rPr>
        <w:t>和</w:t>
      </w:r>
      <w:r>
        <w:rPr>
          <w:rFonts w:asciiTheme="minorEastAsia" w:hAnsiTheme="minorEastAsia" w:eastAsiaTheme="minorEastAsia"/>
          <w:bCs/>
          <w:sz w:val="24"/>
        </w:rPr>
        <w:t>办法</w:t>
      </w:r>
      <w:r>
        <w:rPr>
          <w:rFonts w:hint="eastAsia" w:asciiTheme="minorEastAsia" w:hAnsiTheme="minorEastAsia" w:eastAsiaTheme="minorEastAsia"/>
          <w:bCs/>
          <w:sz w:val="24"/>
        </w:rPr>
        <w:t>等文件</w:t>
      </w:r>
      <w:r>
        <w:rPr>
          <w:rFonts w:asciiTheme="minorEastAsia" w:hAnsiTheme="minorEastAsia" w:eastAsiaTheme="minorEastAsia"/>
          <w:bCs/>
          <w:sz w:val="24"/>
        </w:rPr>
        <w:t>。</w:t>
      </w:r>
    </w:p>
    <w:p>
      <w:pPr>
        <w:adjustRightInd w:val="0"/>
        <w:snapToGrid w:val="0"/>
        <w:spacing w:line="288" w:lineRule="auto"/>
        <w:ind w:firstLine="484" w:firstLineChars="202"/>
        <w:rPr>
          <w:rFonts w:asciiTheme="minorEastAsia" w:hAnsiTheme="minorEastAsia" w:eastAsiaTheme="minorEastAsia"/>
          <w:bCs/>
          <w:sz w:val="24"/>
        </w:rPr>
      </w:pPr>
      <w:r>
        <w:rPr>
          <w:rFonts w:asciiTheme="minorEastAsia" w:hAnsiTheme="minorEastAsia" w:eastAsiaTheme="minorEastAsia"/>
          <w:bCs/>
          <w:sz w:val="24"/>
        </w:rPr>
        <w:t>1.1.</w:t>
      </w:r>
      <w:r>
        <w:rPr>
          <w:rFonts w:hint="eastAsia" w:asciiTheme="minorEastAsia" w:hAnsiTheme="minorEastAsia" w:eastAsiaTheme="minorEastAsia"/>
          <w:bCs/>
          <w:sz w:val="24"/>
        </w:rPr>
        <w:t>23</w:t>
      </w:r>
      <w:r>
        <w:rPr>
          <w:rFonts w:asciiTheme="minorEastAsia" w:hAnsiTheme="minorEastAsia" w:eastAsiaTheme="minorEastAsia"/>
          <w:bCs/>
          <w:sz w:val="24"/>
        </w:rPr>
        <w:t>缺陷责任期：指施工承包人完成本工程并进行竣工验收后，对本工程出现的缺陷进行维修的责任期限。</w:t>
      </w:r>
    </w:p>
    <w:p>
      <w:pPr>
        <w:adjustRightInd w:val="0"/>
        <w:snapToGrid w:val="0"/>
        <w:spacing w:line="288" w:lineRule="auto"/>
        <w:ind w:firstLine="484" w:firstLineChars="202"/>
        <w:rPr>
          <w:rFonts w:asciiTheme="minorEastAsia" w:hAnsiTheme="minorEastAsia" w:eastAsiaTheme="minorEastAsia"/>
          <w:bCs/>
          <w:sz w:val="24"/>
        </w:rPr>
      </w:pPr>
      <w:r>
        <w:rPr>
          <w:rFonts w:asciiTheme="minorEastAsia" w:hAnsiTheme="minorEastAsia" w:eastAsiaTheme="minorEastAsia"/>
          <w:bCs/>
          <w:sz w:val="24"/>
        </w:rPr>
        <w:t>1.1.</w:t>
      </w:r>
      <w:r>
        <w:rPr>
          <w:rFonts w:hint="eastAsia" w:asciiTheme="minorEastAsia" w:hAnsiTheme="minorEastAsia" w:eastAsiaTheme="minorEastAsia"/>
          <w:bCs/>
          <w:sz w:val="24"/>
        </w:rPr>
        <w:t>24最终监理服务费：委托人应支付给监理人的所有监理服务费用。</w:t>
      </w:r>
    </w:p>
    <w:p>
      <w:pPr>
        <w:adjustRightInd w:val="0"/>
        <w:snapToGrid w:val="0"/>
        <w:spacing w:line="288" w:lineRule="auto"/>
        <w:ind w:firstLine="484" w:firstLineChars="202"/>
        <w:rPr>
          <w:rFonts w:asciiTheme="minorEastAsia" w:hAnsiTheme="minorEastAsia" w:eastAsiaTheme="minorEastAsia"/>
          <w:bCs/>
          <w:sz w:val="24"/>
        </w:rPr>
      </w:pPr>
      <w:r>
        <w:rPr>
          <w:rFonts w:asciiTheme="minorEastAsia" w:hAnsiTheme="minorEastAsia" w:eastAsiaTheme="minorEastAsia"/>
          <w:bCs/>
          <w:sz w:val="24"/>
        </w:rPr>
        <w:t>1.1.</w:t>
      </w:r>
      <w:r>
        <w:rPr>
          <w:rFonts w:hint="eastAsia" w:asciiTheme="minorEastAsia" w:hAnsiTheme="minorEastAsia" w:eastAsiaTheme="minorEastAsia"/>
          <w:bCs/>
          <w:sz w:val="24"/>
        </w:rPr>
        <w:t>25季：每年按</w:t>
      </w:r>
      <w:r>
        <w:rPr>
          <w:rFonts w:asciiTheme="minorEastAsia" w:hAnsiTheme="minorEastAsia" w:eastAsiaTheme="minorEastAsia"/>
          <w:bCs/>
          <w:sz w:val="24"/>
        </w:rPr>
        <w:t>1-3</w:t>
      </w:r>
      <w:r>
        <w:rPr>
          <w:rFonts w:hint="eastAsia" w:asciiTheme="minorEastAsia" w:hAnsiTheme="minorEastAsia" w:eastAsiaTheme="minorEastAsia"/>
          <w:bCs/>
          <w:sz w:val="24"/>
        </w:rPr>
        <w:t>月、</w:t>
      </w:r>
      <w:r>
        <w:rPr>
          <w:rFonts w:asciiTheme="minorEastAsia" w:hAnsiTheme="minorEastAsia" w:eastAsiaTheme="minorEastAsia"/>
          <w:bCs/>
          <w:sz w:val="24"/>
        </w:rPr>
        <w:t>4-6</w:t>
      </w:r>
      <w:r>
        <w:rPr>
          <w:rFonts w:hint="eastAsia" w:asciiTheme="minorEastAsia" w:hAnsiTheme="minorEastAsia" w:eastAsiaTheme="minorEastAsia"/>
          <w:bCs/>
          <w:sz w:val="24"/>
        </w:rPr>
        <w:t>月、</w:t>
      </w:r>
      <w:r>
        <w:rPr>
          <w:rFonts w:asciiTheme="minorEastAsia" w:hAnsiTheme="minorEastAsia" w:eastAsiaTheme="minorEastAsia"/>
          <w:bCs/>
          <w:sz w:val="24"/>
        </w:rPr>
        <w:t>7-9</w:t>
      </w:r>
      <w:r>
        <w:rPr>
          <w:rFonts w:hint="eastAsia" w:asciiTheme="minorEastAsia" w:hAnsiTheme="minorEastAsia" w:eastAsiaTheme="minorEastAsia"/>
          <w:bCs/>
          <w:sz w:val="24"/>
        </w:rPr>
        <w:t>月、</w:t>
      </w:r>
      <w:r>
        <w:rPr>
          <w:rFonts w:asciiTheme="minorEastAsia" w:hAnsiTheme="minorEastAsia" w:eastAsiaTheme="minorEastAsia"/>
          <w:bCs/>
          <w:sz w:val="24"/>
        </w:rPr>
        <w:t>10-12</w:t>
      </w:r>
      <w:r>
        <w:rPr>
          <w:rFonts w:hint="eastAsia" w:asciiTheme="minorEastAsia" w:hAnsiTheme="minorEastAsia" w:eastAsiaTheme="minorEastAsia"/>
          <w:bCs/>
          <w:sz w:val="24"/>
        </w:rPr>
        <w:t>月划分为</w:t>
      </w:r>
      <w:r>
        <w:rPr>
          <w:rFonts w:asciiTheme="minorEastAsia" w:hAnsiTheme="minorEastAsia" w:eastAsiaTheme="minorEastAsia"/>
          <w:bCs/>
          <w:sz w:val="24"/>
        </w:rPr>
        <w:t>4</w:t>
      </w:r>
      <w:r>
        <w:rPr>
          <w:rFonts w:hint="eastAsia" w:asciiTheme="minorEastAsia" w:hAnsiTheme="minorEastAsia" w:eastAsiaTheme="minorEastAsia"/>
          <w:bCs/>
          <w:sz w:val="24"/>
        </w:rPr>
        <w:t>个时间段，每个时间段称为一个季，也称季度。</w:t>
      </w:r>
    </w:p>
    <w:p>
      <w:pPr>
        <w:adjustRightInd w:val="0"/>
        <w:snapToGrid w:val="0"/>
        <w:spacing w:line="288" w:lineRule="auto"/>
        <w:ind w:firstLine="484" w:firstLineChars="202"/>
        <w:rPr>
          <w:rFonts w:asciiTheme="minorEastAsia" w:hAnsiTheme="minorEastAsia" w:eastAsiaTheme="minorEastAsia"/>
          <w:bCs/>
          <w:sz w:val="24"/>
        </w:rPr>
      </w:pPr>
      <w:r>
        <w:rPr>
          <w:rFonts w:asciiTheme="minorEastAsia" w:hAnsiTheme="minorEastAsia" w:eastAsiaTheme="minorEastAsia"/>
          <w:bCs/>
          <w:sz w:val="24"/>
        </w:rPr>
        <w:t>1.1.2</w:t>
      </w:r>
      <w:r>
        <w:rPr>
          <w:rFonts w:hint="eastAsia" w:asciiTheme="minorEastAsia" w:hAnsiTheme="minorEastAsia" w:eastAsiaTheme="minorEastAsia"/>
          <w:bCs/>
          <w:sz w:val="24"/>
        </w:rPr>
        <w:t>6甲供材料设备：是指由发包人直接与供货商签订合同，采购的用于本工程施工所需的材料设备，具体名称及规格型号见各采购合同。</w:t>
      </w:r>
    </w:p>
    <w:p>
      <w:pPr>
        <w:keepNext/>
        <w:keepLines/>
        <w:spacing w:line="288" w:lineRule="auto"/>
        <w:outlineLvl w:val="2"/>
        <w:rPr>
          <w:rFonts w:asciiTheme="minorEastAsia" w:hAnsiTheme="minorEastAsia" w:eastAsiaTheme="minorEastAsia"/>
          <w:b/>
          <w:sz w:val="24"/>
        </w:rPr>
      </w:pPr>
      <w:bookmarkStart w:id="1132" w:name="_Toc496098763"/>
      <w:bookmarkStart w:id="1133" w:name="_Toc443898849"/>
      <w:bookmarkStart w:id="1134" w:name="_Toc499311198"/>
      <w:bookmarkStart w:id="1135" w:name="_Toc23322"/>
      <w:bookmarkStart w:id="1136" w:name="_Toc218"/>
      <w:bookmarkStart w:id="1137" w:name="_Toc499204983"/>
      <w:r>
        <w:rPr>
          <w:rFonts w:asciiTheme="minorEastAsia" w:hAnsiTheme="minorEastAsia" w:eastAsiaTheme="minorEastAsia"/>
          <w:b/>
          <w:sz w:val="24"/>
        </w:rPr>
        <w:t xml:space="preserve">1.2 </w:t>
      </w:r>
      <w:r>
        <w:rPr>
          <w:rFonts w:hint="eastAsia" w:asciiTheme="minorEastAsia" w:hAnsiTheme="minorEastAsia" w:eastAsiaTheme="minorEastAsia"/>
          <w:b/>
          <w:sz w:val="24"/>
        </w:rPr>
        <w:t>解释</w:t>
      </w:r>
      <w:bookmarkEnd w:id="1132"/>
      <w:bookmarkEnd w:id="1133"/>
      <w:bookmarkEnd w:id="1134"/>
      <w:bookmarkEnd w:id="1135"/>
      <w:bookmarkEnd w:id="1136"/>
      <w:bookmarkEnd w:id="1137"/>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1.2.1 本合同文件除使用中文外，还可用</w:t>
      </w:r>
      <w:r>
        <w:rPr>
          <w:rFonts w:asciiTheme="minorEastAsia" w:hAnsiTheme="minorEastAsia" w:eastAsiaTheme="minorEastAsia"/>
          <w:bCs/>
          <w:sz w:val="24"/>
          <w:u w:val="single"/>
        </w:rPr>
        <w:t xml:space="preserve">  /   </w:t>
      </w:r>
      <w:r>
        <w:rPr>
          <w:rFonts w:asciiTheme="minorEastAsia" w:hAnsiTheme="minorEastAsia" w:eastAsiaTheme="minorEastAsia"/>
          <w:bCs/>
          <w:sz w:val="24"/>
        </w:rPr>
        <w:t>。</w:t>
      </w:r>
    </w:p>
    <w:p>
      <w:pPr>
        <w:adjustRightInd w:val="0"/>
        <w:snapToGrid w:val="0"/>
        <w:spacing w:line="288" w:lineRule="auto"/>
        <w:ind w:firstLine="420"/>
        <w:rPr>
          <w:rFonts w:asciiTheme="minorEastAsia" w:hAnsiTheme="minorEastAsia" w:eastAsiaTheme="minorEastAsia"/>
          <w:bCs/>
          <w:sz w:val="24"/>
          <w:u w:val="single"/>
        </w:rPr>
      </w:pPr>
      <w:r>
        <w:rPr>
          <w:rFonts w:asciiTheme="minorEastAsia" w:hAnsiTheme="minorEastAsia" w:eastAsiaTheme="minorEastAsia"/>
          <w:bCs/>
          <w:sz w:val="24"/>
        </w:rPr>
        <w:t>1.2.2 约定本合同文件的解释顺序为：</w:t>
      </w:r>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w:t>
      </w:r>
      <w:r>
        <w:rPr>
          <w:rFonts w:hint="eastAsia" w:asciiTheme="minorEastAsia" w:hAnsiTheme="minorEastAsia" w:eastAsiaTheme="minorEastAsia"/>
          <w:bCs/>
          <w:sz w:val="24"/>
        </w:rPr>
        <w:t>合同</w:t>
      </w:r>
      <w:r>
        <w:rPr>
          <w:rFonts w:asciiTheme="minorEastAsia" w:hAnsiTheme="minorEastAsia" w:eastAsiaTheme="minorEastAsia"/>
          <w:bCs/>
          <w:sz w:val="24"/>
        </w:rPr>
        <w:t>协议书；</w:t>
      </w:r>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（2）中标通知书；</w:t>
      </w:r>
    </w:p>
    <w:p>
      <w:pPr>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3</w:t>
      </w:r>
      <w:r>
        <w:rPr>
          <w:rFonts w:hint="eastAsia" w:asciiTheme="minorEastAsia" w:hAnsiTheme="minorEastAsia" w:eastAsiaTheme="minorEastAsia"/>
          <w:bCs/>
          <w:sz w:val="24"/>
        </w:rPr>
        <w:t>）</w:t>
      </w:r>
      <w:r>
        <w:rPr>
          <w:rFonts w:asciiTheme="minorEastAsia" w:hAnsiTheme="minorEastAsia" w:eastAsiaTheme="minorEastAsia"/>
          <w:bCs/>
          <w:sz w:val="24"/>
        </w:rPr>
        <w:t>投标函</w:t>
      </w:r>
      <w:r>
        <w:rPr>
          <w:rFonts w:hint="eastAsia" w:asciiTheme="minorEastAsia" w:hAnsiTheme="minorEastAsia" w:eastAsiaTheme="minorEastAsia"/>
          <w:bCs/>
          <w:sz w:val="24"/>
        </w:rPr>
        <w:t>、</w:t>
      </w:r>
      <w:r>
        <w:rPr>
          <w:rFonts w:asciiTheme="minorEastAsia" w:hAnsiTheme="minorEastAsia" w:eastAsiaTheme="minorEastAsia"/>
          <w:bCs/>
          <w:sz w:val="24"/>
        </w:rPr>
        <w:t>投标函附录</w:t>
      </w:r>
      <w:r>
        <w:rPr>
          <w:rFonts w:hint="eastAsia" w:asciiTheme="minorEastAsia" w:hAnsiTheme="minorEastAsia" w:eastAsiaTheme="minorEastAsia"/>
          <w:bCs/>
          <w:sz w:val="24"/>
        </w:rPr>
        <w:t>、</w:t>
      </w:r>
      <w:r>
        <w:rPr>
          <w:rFonts w:asciiTheme="minorEastAsia" w:hAnsiTheme="minorEastAsia" w:eastAsiaTheme="minorEastAsia"/>
          <w:bCs/>
          <w:sz w:val="24"/>
        </w:rPr>
        <w:t>评标期间</w:t>
      </w:r>
      <w:r>
        <w:rPr>
          <w:rFonts w:hint="eastAsia" w:asciiTheme="minorEastAsia" w:hAnsiTheme="minorEastAsia" w:eastAsiaTheme="minorEastAsia"/>
          <w:bCs/>
          <w:sz w:val="24"/>
        </w:rPr>
        <w:t>和</w:t>
      </w:r>
      <w:r>
        <w:rPr>
          <w:rFonts w:asciiTheme="minorEastAsia" w:hAnsiTheme="minorEastAsia" w:eastAsiaTheme="minorEastAsia"/>
          <w:bCs/>
          <w:sz w:val="24"/>
        </w:rPr>
        <w:t>合同谈判过程中的</w:t>
      </w:r>
      <w:r>
        <w:rPr>
          <w:rFonts w:hint="eastAsia" w:asciiTheme="minorEastAsia" w:hAnsiTheme="minorEastAsia" w:eastAsiaTheme="minorEastAsia"/>
          <w:bCs/>
          <w:sz w:val="24"/>
        </w:rPr>
        <w:t>澄清及</w:t>
      </w:r>
      <w:r>
        <w:rPr>
          <w:rFonts w:asciiTheme="minorEastAsia" w:hAnsiTheme="minorEastAsia" w:eastAsiaTheme="minorEastAsia"/>
          <w:bCs/>
          <w:sz w:val="24"/>
        </w:rPr>
        <w:t>承诺</w:t>
      </w:r>
      <w:r>
        <w:rPr>
          <w:rFonts w:hint="eastAsia" w:asciiTheme="minorEastAsia" w:hAnsiTheme="minorEastAsia" w:eastAsiaTheme="minorEastAsia"/>
          <w:bCs/>
          <w:sz w:val="24"/>
        </w:rPr>
        <w:t>函</w:t>
      </w:r>
      <w:r>
        <w:rPr>
          <w:rFonts w:asciiTheme="minorEastAsia" w:hAnsiTheme="minorEastAsia" w:eastAsiaTheme="minorEastAsia"/>
          <w:bCs/>
          <w:sz w:val="24"/>
        </w:rPr>
        <w:t>；</w:t>
      </w:r>
    </w:p>
    <w:p>
      <w:pPr>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4）专用条件</w:t>
      </w:r>
      <w:r>
        <w:rPr>
          <w:rFonts w:hint="eastAsia" w:asciiTheme="minorEastAsia" w:hAnsiTheme="minorEastAsia" w:eastAsiaTheme="minorEastAsia"/>
          <w:bCs/>
          <w:sz w:val="24"/>
        </w:rPr>
        <w:t>及</w:t>
      </w:r>
      <w:r>
        <w:rPr>
          <w:rFonts w:asciiTheme="minorEastAsia" w:hAnsiTheme="minorEastAsia" w:eastAsiaTheme="minorEastAsia"/>
          <w:bCs/>
          <w:sz w:val="24"/>
        </w:rPr>
        <w:t>合同实施过程中的补充协议书；</w:t>
      </w:r>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（5）通用条件；</w:t>
      </w:r>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（6）监理服务标准和要求；</w:t>
      </w:r>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（7）投标文件</w:t>
      </w:r>
      <w:r>
        <w:rPr>
          <w:rFonts w:hint="eastAsia" w:asciiTheme="minorEastAsia" w:hAnsiTheme="minorEastAsia" w:eastAsiaTheme="minorEastAsia"/>
          <w:bCs/>
          <w:sz w:val="24"/>
        </w:rPr>
        <w:t>；</w:t>
      </w:r>
    </w:p>
    <w:p>
      <w:pPr>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（8）招标文件；</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（9）</w:t>
      </w:r>
      <w:r>
        <w:rPr>
          <w:rFonts w:asciiTheme="minorEastAsia" w:hAnsiTheme="minorEastAsia" w:eastAsiaTheme="minorEastAsia"/>
          <w:bCs/>
          <w:sz w:val="24"/>
        </w:rPr>
        <w:t>其他合同文件。</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如上述组成合同的文件内容不一致，排列顺序在前者效力优先。</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上述各项合同文件包括合同当事人就该项合同文件所作出的补充和修改（包括变更、协议、纪要、信函、备忘录等），属于同一类内容的文件，应以最新签署的为准。</w:t>
      </w:r>
    </w:p>
    <w:p>
      <w:pPr>
        <w:keepNext/>
        <w:keepLines/>
        <w:spacing w:beforeLines="50" w:afterLines="50" w:line="288" w:lineRule="auto"/>
        <w:outlineLvl w:val="1"/>
        <w:rPr>
          <w:rFonts w:asciiTheme="minorEastAsia" w:hAnsiTheme="minorEastAsia" w:eastAsiaTheme="minorEastAsia"/>
          <w:b/>
          <w:bCs/>
          <w:sz w:val="24"/>
        </w:rPr>
      </w:pPr>
      <w:bookmarkStart w:id="1138" w:name="_Toc496098764"/>
      <w:bookmarkStart w:id="1139" w:name="_Toc443898850"/>
      <w:bookmarkStart w:id="1140" w:name="_Toc11781"/>
      <w:r>
        <w:rPr>
          <w:rFonts w:asciiTheme="minorEastAsia" w:hAnsiTheme="minorEastAsia" w:eastAsiaTheme="minorEastAsia"/>
          <w:b/>
          <w:bCs/>
          <w:sz w:val="24"/>
        </w:rPr>
        <w:t xml:space="preserve">2. </w:t>
      </w:r>
      <w:r>
        <w:rPr>
          <w:rFonts w:hint="eastAsia" w:asciiTheme="minorEastAsia" w:hAnsiTheme="minorEastAsia" w:eastAsiaTheme="minorEastAsia"/>
          <w:b/>
          <w:bCs/>
          <w:sz w:val="24"/>
        </w:rPr>
        <w:t>监理人义务</w:t>
      </w:r>
      <w:bookmarkEnd w:id="1138"/>
      <w:bookmarkEnd w:id="1139"/>
      <w:bookmarkEnd w:id="1140"/>
    </w:p>
    <w:p>
      <w:pPr>
        <w:keepNext/>
        <w:keepLines/>
        <w:spacing w:line="288" w:lineRule="auto"/>
        <w:outlineLvl w:val="2"/>
        <w:rPr>
          <w:rFonts w:asciiTheme="minorEastAsia" w:hAnsiTheme="minorEastAsia" w:eastAsiaTheme="minorEastAsia"/>
          <w:b/>
          <w:sz w:val="24"/>
        </w:rPr>
      </w:pPr>
      <w:bookmarkStart w:id="1141" w:name="_Toc29511"/>
      <w:bookmarkStart w:id="1142" w:name="_Toc499204985"/>
      <w:bookmarkStart w:id="1143" w:name="_Toc21904"/>
      <w:bookmarkStart w:id="1144" w:name="_Toc496098765"/>
      <w:bookmarkStart w:id="1145" w:name="_Toc499311200"/>
      <w:bookmarkStart w:id="1146" w:name="_Toc443898851"/>
      <w:r>
        <w:rPr>
          <w:rFonts w:asciiTheme="minorEastAsia" w:hAnsiTheme="minorEastAsia" w:eastAsiaTheme="minorEastAsia"/>
          <w:b/>
          <w:sz w:val="24"/>
        </w:rPr>
        <w:t xml:space="preserve">2.1 </w:t>
      </w:r>
      <w:r>
        <w:rPr>
          <w:rFonts w:hint="eastAsia" w:asciiTheme="minorEastAsia" w:hAnsiTheme="minorEastAsia" w:eastAsiaTheme="minorEastAsia"/>
          <w:b/>
          <w:sz w:val="24"/>
        </w:rPr>
        <w:t>监理的范围和工作内容</w:t>
      </w:r>
      <w:bookmarkEnd w:id="1141"/>
      <w:bookmarkEnd w:id="1142"/>
      <w:bookmarkEnd w:id="1143"/>
      <w:bookmarkEnd w:id="1144"/>
      <w:bookmarkEnd w:id="1145"/>
      <w:bookmarkEnd w:id="1146"/>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 xml:space="preserve">2.1.1 监理范围包括： </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1</w:t>
      </w:r>
      <w:r>
        <w:rPr>
          <w:rFonts w:hint="eastAsia" w:asciiTheme="minorEastAsia" w:hAnsiTheme="minorEastAsia" w:eastAsiaTheme="minorEastAsia"/>
          <w:bCs/>
          <w:sz w:val="24"/>
        </w:rPr>
        <w:t>）</w:t>
      </w:r>
      <w:r>
        <w:rPr>
          <w:rFonts w:asciiTheme="minorEastAsia" w:hAnsiTheme="minorEastAsia" w:eastAsiaTheme="minorEastAsia"/>
          <w:bCs/>
          <w:sz w:val="24"/>
        </w:rPr>
        <w:t>工程范围</w:t>
      </w:r>
      <w:r>
        <w:rPr>
          <w:rFonts w:hint="eastAsia" w:asciiTheme="minorEastAsia" w:hAnsiTheme="minorEastAsia" w:eastAsiaTheme="minorEastAsia"/>
          <w:bCs/>
          <w:sz w:val="24"/>
        </w:rPr>
        <w:t>：招标范围内所要求的监理。</w:t>
      </w:r>
    </w:p>
    <w:p>
      <w:pPr>
        <w:adjustRightInd w:val="0"/>
        <w:snapToGrid w:val="0"/>
        <w:spacing w:line="288" w:lineRule="auto"/>
        <w:ind w:firstLine="420"/>
        <w:rPr>
          <w:rFonts w:asciiTheme="minorEastAsia" w:hAnsiTheme="minorEastAsia" w:eastAsiaTheme="minorEastAsia"/>
          <w:bCs/>
          <w:sz w:val="24"/>
          <w:u w:val="single"/>
        </w:rPr>
      </w:pPr>
      <w:r>
        <w:rPr>
          <w:rFonts w:hint="eastAsia" w:asciiTheme="minorEastAsia" w:hAnsiTheme="minorEastAsia" w:eastAsiaTheme="minorEastAsia"/>
          <w:bCs/>
          <w:sz w:val="24"/>
        </w:rPr>
        <w:t>（</w:t>
      </w:r>
      <w:r>
        <w:rPr>
          <w:rFonts w:asciiTheme="minorEastAsia" w:hAnsiTheme="minorEastAsia" w:eastAsiaTheme="minorEastAsia"/>
          <w:bCs/>
          <w:sz w:val="24"/>
        </w:rPr>
        <w:t>2</w:t>
      </w:r>
      <w:r>
        <w:rPr>
          <w:rFonts w:hint="eastAsia" w:asciiTheme="minorEastAsia" w:hAnsiTheme="minorEastAsia" w:eastAsiaTheme="minorEastAsia"/>
          <w:bCs/>
          <w:sz w:val="24"/>
        </w:rPr>
        <w:t>）</w:t>
      </w:r>
      <w:r>
        <w:rPr>
          <w:rFonts w:asciiTheme="minorEastAsia" w:hAnsiTheme="minorEastAsia" w:eastAsiaTheme="minorEastAsia"/>
          <w:bCs/>
          <w:sz w:val="24"/>
        </w:rPr>
        <w:t>工作范围：</w:t>
      </w:r>
      <w:r>
        <w:rPr>
          <w:rFonts w:hint="eastAsia" w:asciiTheme="minorEastAsia" w:hAnsiTheme="minorEastAsia" w:eastAsiaTheme="minorEastAsia"/>
          <w:bCs/>
          <w:sz w:val="24"/>
        </w:rPr>
        <w:t>对于施工承包人及相关系统供货商所实施的工程自准备期至竣工验收期间实施质量控制、进度控制、费用控制、合同管理、信息管理、安全生产文明施工、环境监测、工作协调、接口管理、成品保护监督管理等工作；对缺陷责任期内施工承包人及相关系统供货商实施的本工程的未完成工作、缺陷修补与缺陷调查工作，提供监理服务；对于前期迁改工程自准备期至竣工验收期间的进度控制、费用控制（现场签证、造价审核、计量支付、工程结算）、合同管理、工作协调；平行检测和安全预警实施全面管理；其他与本合同约定工程有关的监理工作</w:t>
      </w:r>
      <w:r>
        <w:rPr>
          <w:rFonts w:asciiTheme="minorEastAsia" w:hAnsiTheme="minorEastAsia" w:eastAsiaTheme="minorEastAsia"/>
          <w:bCs/>
          <w:sz w:val="24"/>
        </w:rPr>
        <w:t>。</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（3）服务周期：</w:t>
      </w:r>
      <w:r>
        <w:rPr>
          <w:rFonts w:hint="eastAsia" w:asciiTheme="minorEastAsia" w:hAnsiTheme="minorEastAsia" w:eastAsiaTheme="minorEastAsia"/>
          <w:bCs/>
          <w:sz w:val="24"/>
        </w:rPr>
        <w:t>本工程的施工准备阶段、施工阶段及缺陷责任期结束且通过验收、移交。计划工期暂定38个月，缺陷责任期24个月</w:t>
      </w:r>
      <w:r>
        <w:rPr>
          <w:rFonts w:asciiTheme="minorEastAsia" w:hAnsiTheme="minorEastAsia" w:eastAsiaTheme="minorEastAsia"/>
          <w:bCs/>
          <w:sz w:val="24"/>
        </w:rPr>
        <w:t>。</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w:t>
      </w:r>
      <w:r>
        <w:rPr>
          <w:rFonts w:hint="eastAsia" w:asciiTheme="minorEastAsia" w:hAnsiTheme="minorEastAsia" w:eastAsiaTheme="minorEastAsia"/>
          <w:bCs/>
          <w:sz w:val="24"/>
        </w:rPr>
        <w:t>）开始监理服务的时间：监理人必须根据本工程的进展情况，按照委托人的指令进场时间，安排监理人员和投入的工作条件及时进场。</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2）完成监理服务的时间：监理服务完成时间为缺陷责任期</w:t>
      </w:r>
      <w:r>
        <w:rPr>
          <w:rFonts w:hint="eastAsia" w:asciiTheme="minorEastAsia" w:hAnsiTheme="minorEastAsia" w:eastAsiaTheme="minorEastAsia"/>
          <w:bCs/>
          <w:sz w:val="24"/>
        </w:rPr>
        <w:t>满</w:t>
      </w:r>
      <w:r>
        <w:rPr>
          <w:rFonts w:asciiTheme="minorEastAsia" w:hAnsiTheme="minorEastAsia" w:eastAsiaTheme="minorEastAsia"/>
          <w:bCs/>
          <w:sz w:val="24"/>
        </w:rPr>
        <w:t>后30天，监理人应全面完成本合同内监理服务的所有工作，在约定的服务周期内，所监理工程全部竣工并验收</w:t>
      </w:r>
      <w:r>
        <w:rPr>
          <w:rFonts w:hint="eastAsia" w:asciiTheme="minorEastAsia" w:hAnsiTheme="minorEastAsia" w:eastAsiaTheme="minorEastAsia"/>
          <w:bCs/>
          <w:sz w:val="24"/>
        </w:rPr>
        <w:t>合格</w:t>
      </w:r>
      <w:r>
        <w:rPr>
          <w:rFonts w:asciiTheme="minorEastAsia" w:hAnsiTheme="minorEastAsia" w:eastAsiaTheme="minorEastAsia"/>
          <w:bCs/>
          <w:sz w:val="24"/>
        </w:rPr>
        <w:t>。</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3）缺陷责任期：本工程的缺陷责任期为</w:t>
      </w:r>
      <w:r>
        <w:rPr>
          <w:rFonts w:asciiTheme="minorEastAsia" w:hAnsiTheme="minorEastAsia" w:eastAsiaTheme="minorEastAsia"/>
          <w:bCs/>
          <w:sz w:val="24"/>
          <w:u w:val="single"/>
        </w:rPr>
        <w:t>24</w:t>
      </w:r>
      <w:r>
        <w:rPr>
          <w:rFonts w:asciiTheme="minorEastAsia" w:hAnsiTheme="minorEastAsia" w:eastAsiaTheme="minorEastAsia"/>
          <w:bCs/>
          <w:sz w:val="24"/>
        </w:rPr>
        <w:t>个月。监理人须对缺陷责任期内的监理服务工作质量负责，并完成相关的监理服务工作。</w:t>
      </w:r>
    </w:p>
    <w:p>
      <w:pPr>
        <w:adjustRightInd w:val="0"/>
        <w:snapToGrid w:val="0"/>
        <w:spacing w:line="288" w:lineRule="auto"/>
        <w:ind w:firstLine="420"/>
        <w:rPr>
          <w:rFonts w:asciiTheme="minorEastAsia" w:hAnsiTheme="minorEastAsia" w:eastAsiaTheme="minorEastAsia"/>
          <w:bCs/>
          <w:sz w:val="24"/>
          <w:u w:val="single"/>
        </w:rPr>
      </w:pPr>
      <w:r>
        <w:rPr>
          <w:rFonts w:asciiTheme="minorEastAsia" w:hAnsiTheme="minorEastAsia" w:eastAsiaTheme="minorEastAsia"/>
          <w:bCs/>
          <w:sz w:val="24"/>
        </w:rPr>
        <w:t>4）退场期限：监理服务完成后，监理人应当书面提出退场申请，并在获得委托人批准后组织退场。</w:t>
      </w:r>
    </w:p>
    <w:p>
      <w:pPr>
        <w:adjustRightInd w:val="0"/>
        <w:snapToGrid w:val="0"/>
        <w:spacing w:line="288" w:lineRule="auto"/>
        <w:ind w:firstLine="420"/>
        <w:rPr>
          <w:rFonts w:asciiTheme="minorEastAsia" w:hAnsiTheme="minorEastAsia" w:eastAsiaTheme="minorEastAsia"/>
          <w:bCs/>
          <w:sz w:val="24"/>
          <w:u w:val="single"/>
        </w:rPr>
      </w:pPr>
      <w:r>
        <w:rPr>
          <w:rFonts w:asciiTheme="minorEastAsia" w:hAnsiTheme="minorEastAsia" w:eastAsiaTheme="minorEastAsia"/>
          <w:bCs/>
          <w:sz w:val="24"/>
        </w:rPr>
        <w:t>2.1.2 监理工作内容还包括：</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2</w:t>
      </w:r>
      <w:r>
        <w:rPr>
          <w:rFonts w:hint="eastAsia" w:asciiTheme="minorEastAsia" w:hAnsiTheme="minorEastAsia" w:eastAsiaTheme="minorEastAsia"/>
          <w:bCs/>
          <w:sz w:val="24"/>
        </w:rPr>
        <w:t>）补充约定：熟悉并掌握合同文件，了解施工现场，以分项工程为单位，实施监理工作交底，认真填写监理工作交底记录。</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对工程设计中的技术问题，按照安全和优化的原则，事先征得委托人的同意后，向设计人提出建议。当发现工程设计不符合国家颁布的建设工程质量标准或设计合同约定的质量标准时，监理人应当书面报告委托人并要求设计人更正。</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3）补充约定：认真做好第一次工地会议和常规工地会议、监理会议的会议记录，按时下发会议纪要；会议纪要由监理人整理并在相应会议后48小时内分发给出席会议的各方；各方在收到会议纪要后24小时内，如有任何异议，应将有关异议以书面形式通知监理人；对在上述时限内提出的任何有效异议，监理人应将此类书面异议转发给其他出席会议方，有异议的事项在下一个会议上更新讨论或由监理人依合同条件的有关约定发出相应指示。</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（5）补充约定：如主要施工承包人人员的从业资格、持证上岗等情况不符合相关法规、委托人的制度办法等工程管理规定，可勒令进行整改，并</w:t>
      </w:r>
      <w:r>
        <w:rPr>
          <w:rFonts w:hint="eastAsia" w:asciiTheme="minorEastAsia" w:hAnsiTheme="minorEastAsia" w:eastAsiaTheme="minorEastAsia"/>
          <w:bCs/>
          <w:sz w:val="24"/>
        </w:rPr>
        <w:t>报委托人批准按照施工合同约定要求承包人承担违约责任</w:t>
      </w:r>
      <w:r>
        <w:rPr>
          <w:rFonts w:asciiTheme="minorEastAsia" w:hAnsiTheme="minorEastAsia" w:eastAsiaTheme="minorEastAsia"/>
          <w:bCs/>
          <w:sz w:val="24"/>
        </w:rPr>
        <w:t>；</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（7）补充约定：及时排查、分析并发现影响进度的隐患，督促施工单位采取有效措施加以预防。若发现工</w:t>
      </w:r>
      <w:r>
        <w:rPr>
          <w:rFonts w:hint="eastAsia" w:asciiTheme="minorEastAsia" w:hAnsiTheme="minorEastAsia" w:eastAsiaTheme="minorEastAsia"/>
          <w:bCs/>
          <w:sz w:val="24"/>
        </w:rPr>
        <w:t>期延误</w:t>
      </w:r>
      <w:r>
        <w:rPr>
          <w:rFonts w:asciiTheme="minorEastAsia" w:hAnsiTheme="minorEastAsia" w:eastAsiaTheme="minorEastAsia"/>
          <w:bCs/>
          <w:sz w:val="24"/>
        </w:rPr>
        <w:t>，应分析原因，并督促和协调施工单位调整施工计划，保证合同工期的实现</w:t>
      </w:r>
      <w:r>
        <w:rPr>
          <w:rFonts w:hint="eastAsia" w:asciiTheme="minorEastAsia" w:hAnsiTheme="minorEastAsia" w:eastAsiaTheme="minorEastAsia"/>
          <w:bCs/>
          <w:sz w:val="24"/>
        </w:rPr>
        <w:t>，</w:t>
      </w:r>
      <w:r>
        <w:rPr>
          <w:rFonts w:asciiTheme="minorEastAsia" w:hAnsiTheme="minorEastAsia" w:eastAsiaTheme="minorEastAsia"/>
          <w:bCs/>
          <w:sz w:val="24"/>
        </w:rPr>
        <w:t>并</w:t>
      </w:r>
      <w:r>
        <w:rPr>
          <w:rFonts w:hint="eastAsia" w:asciiTheme="minorEastAsia" w:hAnsiTheme="minorEastAsia" w:eastAsiaTheme="minorEastAsia"/>
          <w:bCs/>
          <w:sz w:val="24"/>
        </w:rPr>
        <w:t>按照施工合同约定要求承包人承担违约责任</w:t>
      </w:r>
      <w:r>
        <w:rPr>
          <w:rFonts w:asciiTheme="minorEastAsia" w:hAnsiTheme="minorEastAsia" w:eastAsiaTheme="minorEastAsia"/>
          <w:bCs/>
          <w:sz w:val="24"/>
        </w:rPr>
        <w:t>；</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按照委托人规定的格式、内容、要求和期限，编制总监办的监理周报、监理月报、支付季报或其它报表，并按时上报；</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对</w:t>
      </w:r>
      <w:r>
        <w:rPr>
          <w:rFonts w:asciiTheme="minorEastAsia" w:hAnsiTheme="minorEastAsia" w:eastAsiaTheme="minorEastAsia"/>
          <w:bCs/>
          <w:sz w:val="24"/>
        </w:rPr>
        <w:t>工程施工进度</w:t>
      </w:r>
      <w:r>
        <w:rPr>
          <w:rFonts w:hint="eastAsia" w:asciiTheme="minorEastAsia" w:hAnsiTheme="minorEastAsia" w:eastAsiaTheme="minorEastAsia"/>
          <w:bCs/>
          <w:sz w:val="24"/>
        </w:rPr>
        <w:t>进行</w:t>
      </w:r>
      <w:r>
        <w:rPr>
          <w:rFonts w:asciiTheme="minorEastAsia" w:hAnsiTheme="minorEastAsia" w:eastAsiaTheme="minorEastAsia"/>
          <w:bCs/>
          <w:sz w:val="24"/>
        </w:rPr>
        <w:t>检查、监督，</w:t>
      </w:r>
      <w:r>
        <w:rPr>
          <w:rFonts w:hint="eastAsia" w:asciiTheme="minorEastAsia" w:hAnsiTheme="minorEastAsia" w:eastAsiaTheme="minorEastAsia"/>
          <w:bCs/>
          <w:sz w:val="24"/>
        </w:rPr>
        <w:t>当</w:t>
      </w:r>
      <w:r>
        <w:rPr>
          <w:rFonts w:asciiTheme="minorEastAsia" w:hAnsiTheme="minorEastAsia" w:eastAsiaTheme="minorEastAsia"/>
          <w:bCs/>
          <w:sz w:val="24"/>
        </w:rPr>
        <w:t>工程实际竣工日期提前或超过工程施工合同约定的竣工期限</w:t>
      </w:r>
      <w:r>
        <w:rPr>
          <w:rFonts w:hint="eastAsia" w:asciiTheme="minorEastAsia" w:hAnsiTheme="minorEastAsia" w:eastAsiaTheme="minorEastAsia"/>
          <w:bCs/>
          <w:sz w:val="24"/>
        </w:rPr>
        <w:t>时</w:t>
      </w:r>
      <w:r>
        <w:rPr>
          <w:rFonts w:asciiTheme="minorEastAsia" w:hAnsiTheme="minorEastAsia" w:eastAsiaTheme="minorEastAsia"/>
          <w:bCs/>
          <w:sz w:val="24"/>
        </w:rPr>
        <w:t>及时</w:t>
      </w:r>
      <w:r>
        <w:rPr>
          <w:rFonts w:hint="eastAsia" w:asciiTheme="minorEastAsia" w:hAnsiTheme="minorEastAsia" w:eastAsiaTheme="minorEastAsia"/>
          <w:bCs/>
          <w:sz w:val="24"/>
        </w:rPr>
        <w:t>书面</w:t>
      </w:r>
      <w:r>
        <w:rPr>
          <w:rFonts w:asciiTheme="minorEastAsia" w:hAnsiTheme="minorEastAsia" w:eastAsiaTheme="minorEastAsia"/>
          <w:bCs/>
          <w:sz w:val="24"/>
        </w:rPr>
        <w:t>报告委托人；</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9</w:t>
      </w:r>
      <w:r>
        <w:rPr>
          <w:rFonts w:hint="eastAsia" w:asciiTheme="minorEastAsia" w:hAnsiTheme="minorEastAsia" w:eastAsiaTheme="minorEastAsia"/>
          <w:bCs/>
          <w:sz w:val="24"/>
        </w:rPr>
        <w:t>）补充约定：审查分包合同和分包人的资质，控制外购成品件或半成品件、原材料及混合料的质量；负责审核承包人的成品保护措施并监督承包人成品保护情况；</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12</w:t>
      </w:r>
      <w:r>
        <w:rPr>
          <w:rFonts w:hint="eastAsia" w:asciiTheme="minorEastAsia" w:hAnsiTheme="minorEastAsia" w:eastAsiaTheme="minorEastAsia"/>
          <w:bCs/>
          <w:sz w:val="24"/>
        </w:rPr>
        <w:t>）补充约定：审查拟用于本工程的原始材料、成套设备（无论该材料、设备是委托人提供还是承包人提供）的品质以及工艺试验和标准试验；对审查合格的建筑材料、建筑构配件和设备，监理工程师应当及时签字；未经监理工程师签字认可的建筑材料、建筑构配件和设备，监理人应当禁止施工单位在工程中使用和安装，并禁止施工单位进行下一道工序的施工；</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建立现场监理的试验、检测工作体系。依据设计要求、技术规范和要求按照合同约定或相关规范要求的项目与频率（监理独立抽检的频率为承包人检验频率的10%），在委托人认可的质量检验单位独立开展监理试验、检测工作，并且完成见证取样工作。监理人员应采用自备的检测设备和计量器具进行现场试验、检测，且所用的计量器具必须经计量检测单位检验，并在有效期内使用。所有自行或者外委试验检测的相关费用均已包含在正常</w:t>
      </w:r>
      <w:r>
        <w:rPr>
          <w:rFonts w:hint="eastAsia" w:asciiTheme="minorEastAsia" w:hAnsiTheme="minorEastAsia" w:eastAsiaTheme="minorEastAsia"/>
          <w:bCs/>
          <w:sz w:val="24"/>
        </w:rPr>
        <w:t>工作酬金</w:t>
      </w:r>
      <w:r>
        <w:rPr>
          <w:rFonts w:asciiTheme="minorEastAsia" w:hAnsiTheme="minorEastAsia" w:eastAsiaTheme="minorEastAsia"/>
          <w:bCs/>
          <w:sz w:val="24"/>
        </w:rPr>
        <w:t>中；如监理人不能按照委托人要求按时配备试验检测设备或委托相应的检测单位进行检测，委托人有权代为配置或委托，</w:t>
      </w:r>
      <w:r>
        <w:rPr>
          <w:rFonts w:hint="eastAsia" w:asciiTheme="minorEastAsia" w:hAnsiTheme="minorEastAsia" w:eastAsiaTheme="minorEastAsia"/>
          <w:bCs/>
          <w:sz w:val="24"/>
        </w:rPr>
        <w:t>由此发生的</w:t>
      </w:r>
      <w:r>
        <w:rPr>
          <w:rFonts w:asciiTheme="minorEastAsia" w:hAnsiTheme="minorEastAsia" w:eastAsiaTheme="minorEastAsia"/>
          <w:bCs/>
          <w:sz w:val="24"/>
        </w:rPr>
        <w:t>费用</w:t>
      </w:r>
      <w:r>
        <w:rPr>
          <w:rFonts w:hint="eastAsia" w:asciiTheme="minorEastAsia" w:hAnsiTheme="minorEastAsia" w:eastAsiaTheme="minorEastAsia"/>
          <w:bCs/>
          <w:sz w:val="24"/>
        </w:rPr>
        <w:t>双倍从最近一期应支付的监理正常工作酬金</w:t>
      </w:r>
      <w:r>
        <w:rPr>
          <w:rFonts w:asciiTheme="minorEastAsia" w:hAnsiTheme="minorEastAsia" w:eastAsiaTheme="minorEastAsia"/>
          <w:bCs/>
          <w:sz w:val="24"/>
        </w:rPr>
        <w:t>中扣除；</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对委托人提供的用于本工程的材料、设备等，监理人须严格依据施工合同约定控制承包人对材料、设备的领用，</w:t>
      </w:r>
      <w:r>
        <w:rPr>
          <w:rFonts w:hint="eastAsia" w:asciiTheme="minorEastAsia" w:hAnsiTheme="minorEastAsia" w:eastAsiaTheme="minorEastAsia"/>
          <w:bCs/>
          <w:sz w:val="24"/>
        </w:rPr>
        <w:t>保证承包人不多领、不替换，如发现承包人存在多领材料、设备，监理人应要求承包人将多领的材料设备及时交还；如发现承包人未使用本应由委托人提供的材料设备，监理人应要求承包人将已经使用的非委托人提供的材料、设备全部拆除，并将该部分材料设备全部清除出场；否则，监理人应按照承包人多领、替换的材料、设备价值的10%向委托人支付违约金，同时协助委托人追究承包人的违约责任</w:t>
      </w:r>
      <w:r>
        <w:rPr>
          <w:rFonts w:asciiTheme="minorEastAsia" w:hAnsiTheme="minorEastAsia" w:eastAsiaTheme="minorEastAsia"/>
          <w:bCs/>
          <w:sz w:val="24"/>
        </w:rPr>
        <w:t>；</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13</w:t>
      </w:r>
      <w:r>
        <w:rPr>
          <w:rFonts w:hint="eastAsia" w:asciiTheme="minorEastAsia" w:hAnsiTheme="minorEastAsia" w:eastAsiaTheme="minorEastAsia"/>
          <w:bCs/>
          <w:sz w:val="24"/>
        </w:rPr>
        <w:t>）补充约定：</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w:t>
      </w:r>
      <w:r>
        <w:rPr>
          <w:rFonts w:hint="eastAsia" w:asciiTheme="minorEastAsia" w:hAnsiTheme="minorEastAsia" w:eastAsiaTheme="minorEastAsia"/>
          <w:bCs/>
          <w:sz w:val="24"/>
        </w:rPr>
        <w:t>）《已标价的工程量清单》核算</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①监理人在收到正式施工图纸后28天内独立完成</w:t>
      </w:r>
      <w:r>
        <w:rPr>
          <w:rFonts w:hint="eastAsia" w:asciiTheme="minorEastAsia" w:hAnsiTheme="minorEastAsia" w:eastAsiaTheme="minorEastAsia"/>
          <w:bCs/>
          <w:sz w:val="24"/>
        </w:rPr>
        <w:t>《</w:t>
      </w:r>
      <w:r>
        <w:rPr>
          <w:rFonts w:asciiTheme="minorEastAsia" w:hAnsiTheme="minorEastAsia" w:eastAsiaTheme="minorEastAsia"/>
          <w:bCs/>
          <w:sz w:val="24"/>
        </w:rPr>
        <w:t>已标价工程量清单</w:t>
      </w:r>
      <w:r>
        <w:rPr>
          <w:rFonts w:hint="eastAsia" w:asciiTheme="minorEastAsia" w:hAnsiTheme="minorEastAsia" w:eastAsiaTheme="minorEastAsia"/>
          <w:bCs/>
          <w:sz w:val="24"/>
        </w:rPr>
        <w:t>》</w:t>
      </w:r>
      <w:r>
        <w:rPr>
          <w:rFonts w:asciiTheme="minorEastAsia" w:hAnsiTheme="minorEastAsia" w:eastAsiaTheme="minorEastAsia"/>
          <w:bCs/>
          <w:sz w:val="24"/>
        </w:rPr>
        <w:t>核算工作，并将所形成的成果文件上报委托人。</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②监理人在收到承包人的工程数量核算及组价书面文件后</w:t>
      </w:r>
      <w:r>
        <w:rPr>
          <w:rFonts w:asciiTheme="minorEastAsia" w:hAnsiTheme="minorEastAsia" w:eastAsiaTheme="minorEastAsia"/>
          <w:bCs/>
          <w:sz w:val="24"/>
        </w:rPr>
        <w:t>28</w:t>
      </w:r>
      <w:r>
        <w:rPr>
          <w:rFonts w:hint="eastAsia" w:asciiTheme="minorEastAsia" w:hAnsiTheme="minorEastAsia" w:eastAsiaTheme="minorEastAsia"/>
          <w:bCs/>
          <w:sz w:val="24"/>
        </w:rPr>
        <w:t>天内，须依据相关规范标准、合同约定、委托人管理制度等完成核对工作；对双方无异议部分，监理人须及时上报委托人批准。监理人对于施工承包人上报的新增工程及变更洽商中的综合单价进行审核，审核后须出具明确的书面审核意见，报委托人批准后执行。</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③核算成果文件应按委托人的要求进行编制，经委托人审核，发承包双方签字盖章后生效，作为《已标价的工程量清单》的最新版本。</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2）计量与支付：计量、支付、工程结算经监理人审核后报委托人批准。</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14</w:t>
      </w:r>
      <w:r>
        <w:rPr>
          <w:rFonts w:hint="eastAsia" w:asciiTheme="minorEastAsia" w:hAnsiTheme="minorEastAsia" w:eastAsiaTheme="minorEastAsia"/>
          <w:bCs/>
          <w:sz w:val="24"/>
        </w:rPr>
        <w:t>）补充约定：</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w:t>
      </w:r>
      <w:r>
        <w:rPr>
          <w:rFonts w:hint="eastAsia" w:asciiTheme="minorEastAsia" w:hAnsiTheme="minorEastAsia" w:eastAsiaTheme="minorEastAsia"/>
          <w:bCs/>
          <w:sz w:val="24"/>
        </w:rPr>
        <w:t>）质量</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详细地收集并记录每天的施工情况，包括设备材料的安装使用情况，及时分析监测单位的信息资料，提出合理的施工措施</w:t>
      </w:r>
      <w:r>
        <w:rPr>
          <w:rFonts w:asciiTheme="minorEastAsia" w:hAnsiTheme="minorEastAsia" w:eastAsiaTheme="minorEastAsia"/>
          <w:bCs/>
          <w:sz w:val="24"/>
        </w:rPr>
        <w:t>；</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审查施工承包人实施本工程的专项施工方案及主要方法或工艺，在关键的施工工序上必须进行旁站监理；</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加强开展监理的预控工作，避免不合格品及质量事故的出现，对国家相关规范标准及委托人要求必须旁站监理的工程项目实施旁站监理，进行全过程控制，做好旁站记录；</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监理人对工程上使用的材料、施工安全和施工质量具有检验权。监理人对于不符合规范标准、设计要求或合同约定的材料、构配件、设备，无论承包人提供还是委托人提供，在征得委托人的同意后，有权勒令承包人停止使用。对于不符合规范和质量标准的工序、分部分项工程和不安全施工作业，有权勒令承包人停工整改或返工。在施工承包人出现质量问题或安全隐患，委托人要求暂停施工或发生其他紧急情况时，监理人有权</w:t>
      </w:r>
      <w:r>
        <w:rPr>
          <w:rFonts w:hint="eastAsia" w:asciiTheme="minorEastAsia" w:hAnsiTheme="minorEastAsia" w:eastAsiaTheme="minorEastAsia"/>
          <w:bCs/>
          <w:sz w:val="24"/>
        </w:rPr>
        <w:t>要求施工承包人</w:t>
      </w:r>
      <w:r>
        <w:rPr>
          <w:rFonts w:asciiTheme="minorEastAsia" w:hAnsiTheme="minorEastAsia" w:eastAsiaTheme="minorEastAsia"/>
          <w:bCs/>
          <w:sz w:val="24"/>
        </w:rPr>
        <w:t>暂停部分或全部工程施工，在施工承包人</w:t>
      </w:r>
      <w:r>
        <w:rPr>
          <w:rFonts w:hint="eastAsia" w:asciiTheme="minorEastAsia" w:hAnsiTheme="minorEastAsia" w:eastAsiaTheme="minorEastAsia"/>
          <w:bCs/>
          <w:sz w:val="24"/>
        </w:rPr>
        <w:t>按照监理人的要求完成</w:t>
      </w:r>
      <w:r>
        <w:rPr>
          <w:rFonts w:asciiTheme="minorEastAsia" w:hAnsiTheme="minorEastAsia" w:eastAsiaTheme="minorEastAsia"/>
          <w:bCs/>
          <w:sz w:val="24"/>
        </w:rPr>
        <w:t>了整改并提出复工申请后，承包人</w:t>
      </w:r>
      <w:r>
        <w:rPr>
          <w:rFonts w:hint="eastAsia" w:asciiTheme="minorEastAsia" w:hAnsiTheme="minorEastAsia" w:eastAsiaTheme="minorEastAsia"/>
          <w:bCs/>
          <w:sz w:val="24"/>
        </w:rPr>
        <w:t>接到</w:t>
      </w:r>
      <w:r>
        <w:rPr>
          <w:rFonts w:asciiTheme="minorEastAsia" w:hAnsiTheme="minorEastAsia" w:eastAsiaTheme="minorEastAsia"/>
          <w:bCs/>
          <w:sz w:val="24"/>
        </w:rPr>
        <w:t>监理人复工令后方能复工；</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w:t>
      </w:r>
      <w:r>
        <w:rPr>
          <w:rFonts w:hint="eastAsia" w:asciiTheme="minorEastAsia" w:hAnsiTheme="minorEastAsia" w:eastAsiaTheme="minorEastAsia"/>
          <w:bCs/>
          <w:sz w:val="24"/>
        </w:rPr>
        <w:t>）安全</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审查施工承包人建立和落实安全管理体系，落实施工承包人的安全生产岗位和职责。</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负责代表委托人监督、检查施工承包人安全生产各方面情况；根据委托人与施工承包人签订的合同及安全责任保证书内容，检查施工承包人落实情况；</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审批专项安全技术方案，建立安全监理台帐，建立总监办公室对施工安全生产的监督管理体系，明确各项管理制度和措施</w:t>
      </w:r>
      <w:r>
        <w:rPr>
          <w:rFonts w:asciiTheme="minorEastAsia" w:hAnsiTheme="minorEastAsia" w:eastAsiaTheme="minorEastAsia"/>
          <w:bCs/>
          <w:sz w:val="24"/>
        </w:rPr>
        <w:t>,</w:t>
      </w:r>
      <w:r>
        <w:rPr>
          <w:rFonts w:hint="eastAsia" w:asciiTheme="minorEastAsia" w:hAnsiTheme="minorEastAsia" w:eastAsiaTheme="minorEastAsia"/>
          <w:bCs/>
          <w:sz w:val="24"/>
        </w:rPr>
        <w:t>并加以实施；</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委派安全监理工程师对安全生产进行监督和管理；</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按照建设工程监理规范、政府、委托人有关施工安全管理规定和工地安全管理的有关规定对施工过程进行安全检查；对施工承包人的各项安全操作规程、安全生产责任制等进行审定；</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督促和检查施工单位制定安全生产责任制，建立完善的安全生产保证体系；</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对特殊工种作业人员有效操作证件和主要施工机械质量鉴定证书和安全鉴定证书以及施工机具的安全保护措施进行审核；</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审查施工承包人进场的施工机械，定期检定的设备及安全设施的检定情况和报审程序；</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按规定程序审核安全技术措施及专项施工方案，施工机械及安全设施，安全防护、文明施工措施项目等费用；</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根据风险源类别等级编制监控管理方案，对风险源和监测单位实施监控管理，发现异常情况及时报告并采取应急措施，并依照安全生产的法规、规定、标准及监理合同的要求，分析不同的施工阶段和不同的施工工序可能发生的安全隐患，制定相应的安全技术措施，并对措施的实施情况进行监理；</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及时排查、排除安全隐患，调查、处理工程安全事故。对工程实施过程中发生或发现的安全事故，应按安全事故的严重程度，依据《建设工程安全生产管理条例》，要求施工承包人提交事故调查报告，提出处理方案和安全生产补救措施，经安全监理人员审核同意后实施，或由总监理工程师签发《工程暂停令》，并及时向监理人、委托人及建设行政主管部门报告；</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有权对不安全行为、不文明施工行为发出《安全监理指令书》、《文明施工监理指令书》；每周组织一次专项安全检查，每月组织一次全面检查，每半年、一年总结一次安全管理情况，并以书面形式向委托人进行安全生产的专题报告；</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督促并指导施工承包人建立完整的安全台帐，并定期进行检查；</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督促施工承包人落实安全交底制度。工程施工前，必须对工程参与人员进行安全生产的宣传教育，组织学习国务院、市、局、公司颁发的关于安全生产的</w:t>
      </w:r>
      <w:r>
        <w:rPr>
          <w:rFonts w:asciiTheme="minorEastAsia" w:hAnsiTheme="minorEastAsia" w:eastAsiaTheme="minorEastAsia"/>
          <w:bCs/>
          <w:sz w:val="24"/>
        </w:rPr>
        <w:t>“</w:t>
      </w:r>
      <w:r>
        <w:rPr>
          <w:rFonts w:hint="eastAsia" w:asciiTheme="minorEastAsia" w:hAnsiTheme="minorEastAsia" w:eastAsiaTheme="minorEastAsia"/>
          <w:bCs/>
          <w:sz w:val="24"/>
        </w:rPr>
        <w:t>规定</w:t>
      </w:r>
      <w:r>
        <w:rPr>
          <w:rFonts w:asciiTheme="minorEastAsia" w:hAnsiTheme="minorEastAsia" w:eastAsiaTheme="minorEastAsia"/>
          <w:bCs/>
          <w:sz w:val="24"/>
        </w:rPr>
        <w:t>”</w:t>
      </w:r>
      <w:r>
        <w:rPr>
          <w:rFonts w:hint="eastAsia" w:asciiTheme="minorEastAsia" w:hAnsiTheme="minorEastAsia" w:eastAsiaTheme="minorEastAsia"/>
          <w:bCs/>
          <w:sz w:val="24"/>
        </w:rPr>
        <w:t>、</w:t>
      </w:r>
      <w:r>
        <w:rPr>
          <w:rFonts w:asciiTheme="minorEastAsia" w:hAnsiTheme="minorEastAsia" w:eastAsiaTheme="minorEastAsia"/>
          <w:bCs/>
          <w:sz w:val="24"/>
        </w:rPr>
        <w:t>“</w:t>
      </w:r>
      <w:r>
        <w:rPr>
          <w:rFonts w:hint="eastAsia" w:asciiTheme="minorEastAsia" w:hAnsiTheme="minorEastAsia" w:eastAsiaTheme="minorEastAsia"/>
          <w:bCs/>
          <w:sz w:val="24"/>
        </w:rPr>
        <w:t>条例</w:t>
      </w:r>
      <w:r>
        <w:rPr>
          <w:rFonts w:asciiTheme="minorEastAsia" w:hAnsiTheme="minorEastAsia" w:eastAsiaTheme="minorEastAsia"/>
          <w:bCs/>
          <w:sz w:val="24"/>
        </w:rPr>
        <w:t>”</w:t>
      </w:r>
      <w:r>
        <w:rPr>
          <w:rFonts w:hint="eastAsia" w:asciiTheme="minorEastAsia" w:hAnsiTheme="minorEastAsia" w:eastAsiaTheme="minorEastAsia"/>
          <w:bCs/>
          <w:sz w:val="24"/>
        </w:rPr>
        <w:t>和</w:t>
      </w:r>
      <w:r>
        <w:rPr>
          <w:rFonts w:asciiTheme="minorEastAsia" w:hAnsiTheme="minorEastAsia" w:eastAsiaTheme="minorEastAsia"/>
          <w:bCs/>
          <w:sz w:val="24"/>
        </w:rPr>
        <w:t>“</w:t>
      </w:r>
      <w:r>
        <w:rPr>
          <w:rFonts w:hint="eastAsia" w:asciiTheme="minorEastAsia" w:hAnsiTheme="minorEastAsia" w:eastAsiaTheme="minorEastAsia"/>
          <w:bCs/>
          <w:sz w:val="24"/>
        </w:rPr>
        <w:t>安全生产</w:t>
      </w:r>
      <w:r>
        <w:rPr>
          <w:rFonts w:asciiTheme="minorEastAsia" w:hAnsiTheme="minorEastAsia" w:eastAsiaTheme="minorEastAsia"/>
          <w:bCs/>
          <w:sz w:val="24"/>
        </w:rPr>
        <w:t>”</w:t>
      </w:r>
      <w:r>
        <w:rPr>
          <w:rFonts w:hint="eastAsia" w:asciiTheme="minorEastAsia" w:hAnsiTheme="minorEastAsia" w:eastAsiaTheme="minorEastAsia"/>
          <w:bCs/>
          <w:sz w:val="24"/>
        </w:rPr>
        <w:t>操作规程，并对安全交底进行书面记录。在施工过程中，应根据现场人员的变化、施工工法和施工工况的变化等实际情况，督促施工承包人对施工参与人员进行专项的安全交底，进行施工过程中的安全控制。</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及时发现并制止承包人的各种违章作业，督促其整改。对重大安全问题有权责令承包人停工整改。</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主持安全生产工作例会，并编写会议纪要。每周组织安全生产施工例会，检查安全生产措施的落实情况，研究施工中存在的安全隐患，及时补充完善安全措施。</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督促并检查施工承包人按规定作好施工区域与非施工区域（含交叉作业）之间分隔、路拦、道路警示标志的设置等；</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（15）补充约定：根据合同文件和委托人授权，对于施工承包人施工过程中出现的违约行为，要及时签发监理指示并抄报委托人；</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17）补充约定：按国家相关规范标准及委托人要求的检验项目和检验频率、工序对工程质量进行实测实量验收。重点部位要求100%工序、100%检验项目和100%检验频率，即全频率验收，对隐蔽工程进行复验。试验项目和试验频率按委托人要求办理，验收已完合格的工程量；参与工程质量、安全事故的分析及处理，检查计量器具的合格使用期及帐物卡后，应认真填写工序质量验收单及有关记录；</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（18）补充约定：</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1）变更索赔：变更索赔的程序及审核标准按委托人相关的管理办法执行；</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2）根据合同约定处理违约事件，协调争端，在争议解决过程中作证。</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19</w:t>
      </w:r>
      <w:r>
        <w:rPr>
          <w:rFonts w:hint="eastAsia" w:asciiTheme="minorEastAsia" w:hAnsiTheme="minorEastAsia" w:eastAsiaTheme="minorEastAsia"/>
          <w:bCs/>
          <w:sz w:val="24"/>
        </w:rPr>
        <w:t>）补充约定：按照有关要求负责检查施工承包人竣工资料的整理与编制，使其达到档案管理部门和委托人要求的竣工文件标准。</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20</w:t>
      </w:r>
      <w:r>
        <w:rPr>
          <w:rFonts w:hint="eastAsia" w:asciiTheme="minorEastAsia" w:hAnsiTheme="minorEastAsia" w:eastAsiaTheme="minorEastAsia"/>
          <w:bCs/>
          <w:sz w:val="24"/>
        </w:rPr>
        <w:t>）补充约定：监理人向承包人出具经委托人签认的竣工验收证书及工程接收证书；缺陷责任期期满后，监理人向承包人出具经委托人签认的工程缺陷责任期终止证书；</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21</w:t>
      </w:r>
      <w:r>
        <w:rPr>
          <w:rFonts w:hint="eastAsia" w:asciiTheme="minorEastAsia" w:hAnsiTheme="minorEastAsia" w:eastAsiaTheme="minorEastAsia"/>
          <w:bCs/>
          <w:sz w:val="24"/>
        </w:rPr>
        <w:t>）补充约定：审核竣工结算资料；并报委托人和政府相关部门批准后，签发竣工结算证书；缺陷责任期期满后，监理人向承包人出具经委托人签认的最终结清证书；配合委托人完成本工程的审计工作。</w:t>
      </w:r>
    </w:p>
    <w:p>
      <w:pPr>
        <w:adjustRightInd w:val="0"/>
        <w:snapToGrid w:val="0"/>
        <w:spacing w:line="288" w:lineRule="auto"/>
        <w:ind w:firstLine="422"/>
        <w:rPr>
          <w:rFonts w:asciiTheme="minorEastAsia" w:hAnsiTheme="minorEastAsia" w:eastAsiaTheme="minorEastAsia"/>
          <w:b/>
          <w:bCs/>
          <w:sz w:val="24"/>
        </w:rPr>
      </w:pPr>
      <w:r>
        <w:rPr>
          <w:rFonts w:hint="eastAsia" w:asciiTheme="minorEastAsia" w:hAnsiTheme="minorEastAsia" w:eastAsiaTheme="minorEastAsia"/>
          <w:b/>
          <w:bCs/>
          <w:sz w:val="24"/>
        </w:rPr>
        <w:t>本项新增如下内容：</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24</w:t>
      </w:r>
      <w:r>
        <w:rPr>
          <w:rFonts w:hint="eastAsia" w:asciiTheme="minorEastAsia" w:hAnsiTheme="minorEastAsia" w:eastAsiaTheme="minorEastAsia"/>
          <w:bCs/>
          <w:sz w:val="24"/>
        </w:rPr>
        <w:t>）文明施工、环境保护：</w:t>
      </w:r>
    </w:p>
    <w:p>
      <w:pPr>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1）督促、检查承包人办理各类政府主管部门许可证及申报。包括但不限于：施工许可证；掘路执照；公路、城市道路施工许可证；临时占路许可证；渣土处置证；夜间施工许可证等；</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w:t>
      </w:r>
      <w:r>
        <w:rPr>
          <w:rFonts w:hint="eastAsia" w:asciiTheme="minorEastAsia" w:hAnsiTheme="minorEastAsia" w:eastAsiaTheme="minorEastAsia"/>
          <w:bCs/>
          <w:sz w:val="24"/>
        </w:rPr>
        <w:t>）检查并审核施工承包人对公用管线的保护措施和应急措施的落实情况；</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3</w:t>
      </w:r>
      <w:r>
        <w:rPr>
          <w:rFonts w:hint="eastAsia" w:asciiTheme="minorEastAsia" w:hAnsiTheme="minorEastAsia" w:eastAsiaTheme="minorEastAsia"/>
          <w:bCs/>
          <w:sz w:val="24"/>
        </w:rPr>
        <w:t>）检查并督促施工承包人按规定进行各类材料及土方的堆放，做到整齐有序，不侵占人行道、车行道、消防通道。</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4</w:t>
      </w:r>
      <w:r>
        <w:rPr>
          <w:rFonts w:hint="eastAsia" w:asciiTheme="minorEastAsia" w:hAnsiTheme="minorEastAsia" w:eastAsiaTheme="minorEastAsia"/>
          <w:bCs/>
          <w:sz w:val="24"/>
        </w:rPr>
        <w:t>）检查并督促承包人采取防止渣土洒落、泥浆废水流溢、扬尘污染治理的施工措施，减少施工对市容环境和绿化的污染。</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5</w:t>
      </w:r>
      <w:r>
        <w:rPr>
          <w:rFonts w:hint="eastAsia" w:asciiTheme="minorEastAsia" w:hAnsiTheme="minorEastAsia" w:eastAsiaTheme="minorEastAsia"/>
          <w:bCs/>
          <w:sz w:val="24"/>
        </w:rPr>
        <w:t>）检查污染源的污染物排放情况和污染治理设施运行情况，检查排污许可证和限期治理项目的执行情况，以及检查建设项目“三同时”（防治污染及其他公害的设施与主体工程同时设计、同时施工、同时投产）制度的执行情况。</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6</w:t>
      </w:r>
      <w:r>
        <w:rPr>
          <w:rFonts w:hint="eastAsia" w:asciiTheme="minorEastAsia" w:hAnsiTheme="minorEastAsia" w:eastAsiaTheme="minorEastAsia"/>
          <w:bCs/>
          <w:sz w:val="24"/>
        </w:rPr>
        <w:t>）协助调查、处理环境污染事故和环境污染纠纷；发现环境污染事故或接受举报后，应根据污染事故报告制度及时向环保行政主管部门报告，实地调查和记录环境污染或事故现场状况，并采取应急措施控制；</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7</w:t>
      </w:r>
      <w:r>
        <w:rPr>
          <w:rFonts w:hint="eastAsia" w:asciiTheme="minorEastAsia" w:hAnsiTheme="minorEastAsia" w:eastAsiaTheme="minorEastAsia"/>
          <w:bCs/>
          <w:sz w:val="24"/>
        </w:rPr>
        <w:t>）检查并督促承包人严格控制施工噪声。为监控施工现场的噪声，监理单位应配置噪声测试仪器。每月测试二次，并将测试数据列入监理月报中。</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8</w:t>
      </w:r>
      <w:r>
        <w:rPr>
          <w:rFonts w:hint="eastAsia" w:asciiTheme="minorEastAsia" w:hAnsiTheme="minorEastAsia" w:eastAsiaTheme="minorEastAsia"/>
          <w:bCs/>
          <w:sz w:val="24"/>
        </w:rPr>
        <w:t>）检查并督促承包人按规定建立各项管理制度，落实卫生包干责任制，搞好施工区域和生活区域的环境卫生。</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9</w:t>
      </w:r>
      <w:r>
        <w:rPr>
          <w:rFonts w:hint="eastAsia" w:asciiTheme="minorEastAsia" w:hAnsiTheme="minorEastAsia" w:eastAsiaTheme="minorEastAsia"/>
          <w:bCs/>
          <w:sz w:val="24"/>
        </w:rPr>
        <w:t>）工程竣工后，检查并督促承包人在规定期限内完成现场的清场工作。</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10</w:t>
      </w:r>
      <w:r>
        <w:rPr>
          <w:rFonts w:hint="eastAsia" w:asciiTheme="minorEastAsia" w:hAnsiTheme="minorEastAsia" w:eastAsiaTheme="minorEastAsia"/>
          <w:bCs/>
          <w:sz w:val="24"/>
        </w:rPr>
        <w:t>）督促承包人落实防台、防汛、防涝等三防措施；消防措施；减少大气污染的措施等。</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11</w:t>
      </w:r>
      <w:r>
        <w:rPr>
          <w:rFonts w:hint="eastAsia" w:asciiTheme="minorEastAsia" w:hAnsiTheme="minorEastAsia" w:eastAsiaTheme="minorEastAsia"/>
          <w:bCs/>
          <w:sz w:val="24"/>
        </w:rPr>
        <w:t>）对检查中发现的问题，要以书面形式通知承包人进行整改，并将整改情况及时向委托人</w:t>
      </w:r>
      <w:r>
        <w:rPr>
          <w:rFonts w:asciiTheme="minorEastAsia" w:hAnsiTheme="minorEastAsia" w:eastAsiaTheme="minorEastAsia"/>
          <w:bCs/>
          <w:sz w:val="24"/>
        </w:rPr>
        <w:t>/</w:t>
      </w:r>
      <w:r>
        <w:rPr>
          <w:rFonts w:hint="eastAsia" w:asciiTheme="minorEastAsia" w:hAnsiTheme="minorEastAsia" w:eastAsiaTheme="minorEastAsia"/>
          <w:bCs/>
          <w:sz w:val="24"/>
        </w:rPr>
        <w:t>项目管理单位汇报。</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12</w:t>
      </w:r>
      <w:r>
        <w:rPr>
          <w:rFonts w:hint="eastAsia" w:asciiTheme="minorEastAsia" w:hAnsiTheme="minorEastAsia" w:eastAsiaTheme="minorEastAsia"/>
          <w:bCs/>
          <w:sz w:val="24"/>
        </w:rPr>
        <w:t>）加强文明施工的检查，每月组织文明施工例会，并编写会议纪要。</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13</w:t>
      </w:r>
      <w:r>
        <w:rPr>
          <w:rFonts w:hint="eastAsia" w:asciiTheme="minorEastAsia" w:hAnsiTheme="minorEastAsia" w:eastAsiaTheme="minorEastAsia"/>
          <w:bCs/>
          <w:sz w:val="24"/>
        </w:rPr>
        <w:t>）检查督促承包人严格执行委托人的有关文明施工、环境保护中的规定。</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25</w:t>
      </w:r>
      <w:r>
        <w:rPr>
          <w:rFonts w:hint="eastAsia" w:asciiTheme="minorEastAsia" w:hAnsiTheme="minorEastAsia" w:eastAsiaTheme="minorEastAsia"/>
          <w:bCs/>
          <w:sz w:val="24"/>
        </w:rPr>
        <w:t>）监督施工承包人认真执行缺陷责任期的工作计划，检查和验收剩余工程，对已交工工程中出现的缺陷、病害调查其原因并确定相应责任；</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26</w:t>
      </w:r>
      <w:r>
        <w:rPr>
          <w:rFonts w:hint="eastAsia" w:asciiTheme="minorEastAsia" w:hAnsiTheme="minorEastAsia" w:eastAsiaTheme="minorEastAsia"/>
          <w:bCs/>
          <w:sz w:val="24"/>
        </w:rPr>
        <w:t>）配合委托人完成对监理工作的履约检查工作；接受委托人对监理人违约行为的惩罚措施。监理人应当按照投标函承诺及委托人的要求，选派监理人员，及时撤换不称职的监理人员。</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27</w:t>
      </w:r>
      <w:r>
        <w:rPr>
          <w:rFonts w:hint="eastAsia" w:asciiTheme="minorEastAsia" w:hAnsiTheme="minorEastAsia" w:eastAsiaTheme="minorEastAsia"/>
          <w:bCs/>
          <w:sz w:val="24"/>
        </w:rPr>
        <w:t>）监理人应配合委托人委托的第三方单位（如第三方监测、质量检测、控制测量等）完成相关的业务工作。</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28</w:t>
      </w:r>
      <w:r>
        <w:rPr>
          <w:rFonts w:hint="eastAsia" w:asciiTheme="minorEastAsia" w:hAnsiTheme="minorEastAsia" w:eastAsiaTheme="minorEastAsia"/>
          <w:bCs/>
          <w:sz w:val="24"/>
        </w:rPr>
        <w:t>）配合完成暂估价项目的采购。</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29</w:t>
      </w:r>
      <w:r>
        <w:rPr>
          <w:rFonts w:hint="eastAsia" w:asciiTheme="minorEastAsia" w:hAnsiTheme="minorEastAsia" w:eastAsiaTheme="minorEastAsia"/>
          <w:bCs/>
          <w:sz w:val="24"/>
        </w:rPr>
        <w:t>）甲供设备的安装、调试、系统试运行及其他需要施工承包人、系统集成商完成的工作均在监理人监理范围之内。</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3</w:t>
      </w:r>
      <w:r>
        <w:rPr>
          <w:rFonts w:hint="eastAsia" w:asciiTheme="minorEastAsia" w:hAnsiTheme="minorEastAsia" w:eastAsiaTheme="minorEastAsia"/>
          <w:bCs/>
          <w:sz w:val="24"/>
        </w:rPr>
        <w:t>0）监理人应对工程设计中的技术问题，按照安全和优化的原则，在征得委托人的同意后，可向设计人提出建议；如发现设计工程质量不符合国家规定或合同约定标准时，应当及时报告委托人要求设计人予以更正。</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3</w:t>
      </w:r>
      <w:r>
        <w:rPr>
          <w:rFonts w:hint="eastAsia" w:asciiTheme="minorEastAsia" w:hAnsiTheme="minorEastAsia" w:eastAsiaTheme="minorEastAsia"/>
          <w:bCs/>
          <w:sz w:val="24"/>
        </w:rPr>
        <w:t>1）监理人应按照监理规范规程审批承包人提交的施工组织设计和技术方案；按照保质量、保工期和降低成本的原则，参与或组织会审施工图设计，并向委托人提出书面报告。</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3</w:t>
      </w:r>
      <w:r>
        <w:rPr>
          <w:rFonts w:hint="eastAsia" w:asciiTheme="minorEastAsia" w:hAnsiTheme="minorEastAsia" w:eastAsiaTheme="minorEastAsia"/>
          <w:bCs/>
          <w:sz w:val="24"/>
        </w:rPr>
        <w:t>2）监理人负责组织、主持工程建设有关协作单位的接口协调工作（包括施工接口、设计接口、对内接口、对外接口等），重要协调事项应当事先向委托人报告。施工接口包括但不限于主体工程的接口、土建施工、装修施工与设备安装接口等；设计接口包括但不限于各设计专业接口、各系统接口等。</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3</w:t>
      </w:r>
      <w:r>
        <w:rPr>
          <w:rFonts w:hint="eastAsia" w:asciiTheme="minorEastAsia" w:hAnsiTheme="minorEastAsia" w:eastAsiaTheme="minorEastAsia"/>
          <w:bCs/>
          <w:sz w:val="24"/>
        </w:rPr>
        <w:t>3）监理人对于不符合规范标准、设计要求或合同约定的材料、构配件、设备，在征得委托人的同意后，有权勒令承包人停止使用；对于不符合规范和质量标准的工序、分部分项工程和不安全施工作业，在征得委托人的同意后，有权勒令承包人停工整改或返工，承包人得到监理人复工令后方能复工。</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3</w:t>
      </w:r>
      <w:r>
        <w:rPr>
          <w:rFonts w:hint="eastAsia" w:asciiTheme="minorEastAsia" w:hAnsiTheme="minorEastAsia" w:eastAsiaTheme="minorEastAsia"/>
          <w:bCs/>
          <w:sz w:val="24"/>
        </w:rPr>
        <w:t>4）监理人应对工程施工进度进行检查、监督，并应及时报告委托人；同时监理人应对监理范围内的设备安装调试及系统间联调进行协调、监督并配合综合联调的工作，根据调试情况及出现的问题按发包人要求按时提交汇报材料。</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3</w:t>
      </w:r>
      <w:r>
        <w:rPr>
          <w:rFonts w:hint="eastAsia" w:asciiTheme="minorEastAsia" w:hAnsiTheme="minorEastAsia" w:eastAsiaTheme="minorEastAsia"/>
          <w:bCs/>
          <w:sz w:val="24"/>
        </w:rPr>
        <w:t>5）监理人应当依据承包人的任务划分，在双方约定的工程价格范围内，对工程款进行计量、支付与签认，以及工程结算的复核确认或否决；未经总监理工程师签字确认，委托人不予支付相应款项。</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3</w:t>
      </w:r>
      <w:r>
        <w:rPr>
          <w:rFonts w:hint="eastAsia" w:asciiTheme="minorEastAsia" w:hAnsiTheme="minorEastAsia" w:eastAsiaTheme="minorEastAsia"/>
          <w:bCs/>
          <w:sz w:val="24"/>
        </w:rPr>
        <w:t>6）监理人有权对不具备开工条件的分部工程拒绝发布开工令，对不安全行为、不文明施工行为发出《安全监理指令书》、《文明施工监理指令书》。</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3</w:t>
      </w:r>
      <w:r>
        <w:rPr>
          <w:rFonts w:hint="eastAsia" w:asciiTheme="minorEastAsia" w:hAnsiTheme="minorEastAsia" w:eastAsiaTheme="minorEastAsia"/>
          <w:bCs/>
          <w:sz w:val="24"/>
        </w:rPr>
        <w:t>7）如主要施工技术人员的从业资格、持证上岗等情况不符合相关法规、合同约定或委托人的管理制度等，监理人应当勒令整改，并视情况对承包人进行处罚。</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3</w:t>
      </w:r>
      <w:r>
        <w:rPr>
          <w:rFonts w:hint="eastAsia" w:asciiTheme="minorEastAsia" w:hAnsiTheme="minorEastAsia" w:eastAsiaTheme="minorEastAsia"/>
          <w:bCs/>
          <w:sz w:val="24"/>
        </w:rPr>
        <w:t>8）监理人在收到承包人依据正式施工图设计文件进行工程数量核算及组价书面文件</w:t>
      </w:r>
      <w:r>
        <w:rPr>
          <w:rFonts w:asciiTheme="minorEastAsia" w:hAnsiTheme="minorEastAsia" w:eastAsiaTheme="minorEastAsia"/>
          <w:bCs/>
          <w:sz w:val="24"/>
        </w:rPr>
        <w:t>28</w:t>
      </w:r>
      <w:r>
        <w:rPr>
          <w:rFonts w:hint="eastAsia" w:asciiTheme="minorEastAsia" w:hAnsiTheme="minorEastAsia" w:eastAsiaTheme="minorEastAsia"/>
          <w:bCs/>
          <w:sz w:val="24"/>
        </w:rPr>
        <w:t>天内，须依据合同约定、相关规范标准、委托人管理制度等进行审核；对双方无异议部分，监理人须及时上报委托人批准，对于有异议部分，双方协商解决，如协商无法解决，则按第</w:t>
      </w:r>
      <w:r>
        <w:rPr>
          <w:rFonts w:asciiTheme="minorEastAsia" w:hAnsiTheme="minorEastAsia" w:eastAsiaTheme="minorEastAsia"/>
          <w:bCs/>
          <w:sz w:val="24"/>
        </w:rPr>
        <w:t>7</w:t>
      </w:r>
      <w:r>
        <w:rPr>
          <w:rFonts w:hint="eastAsia" w:asciiTheme="minorEastAsia" w:hAnsiTheme="minorEastAsia" w:eastAsiaTheme="minorEastAsia"/>
          <w:bCs/>
          <w:sz w:val="24"/>
        </w:rPr>
        <w:t>条相关规定处理。</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（39）按委托人要求参与政府审计工作。</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（40）按照委托人信息化管理的要求填报相关资料。</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4</w:t>
      </w:r>
      <w:r>
        <w:rPr>
          <w:rFonts w:hint="eastAsia" w:asciiTheme="minorEastAsia" w:hAnsiTheme="minorEastAsia" w:eastAsiaTheme="minorEastAsia"/>
          <w:bCs/>
          <w:sz w:val="24"/>
        </w:rPr>
        <w:t>1）委托人委托或应由监理人完成的其它工作。</w:t>
      </w:r>
    </w:p>
    <w:p>
      <w:pPr>
        <w:keepNext/>
        <w:keepLines/>
        <w:spacing w:line="288" w:lineRule="auto"/>
        <w:outlineLvl w:val="2"/>
        <w:rPr>
          <w:rFonts w:asciiTheme="minorEastAsia" w:hAnsiTheme="minorEastAsia" w:eastAsiaTheme="minorEastAsia"/>
          <w:b/>
          <w:bCs/>
          <w:sz w:val="24"/>
        </w:rPr>
      </w:pPr>
      <w:bookmarkStart w:id="1147" w:name="_Toc499204986"/>
      <w:bookmarkStart w:id="1148" w:name="_Toc499311201"/>
      <w:bookmarkStart w:id="1149" w:name="_Toc11773"/>
      <w:bookmarkStart w:id="1150" w:name="_Toc578"/>
      <w:bookmarkStart w:id="1151" w:name="_Toc443898852"/>
      <w:bookmarkStart w:id="1152" w:name="_Toc496098766"/>
      <w:r>
        <w:rPr>
          <w:rFonts w:asciiTheme="minorEastAsia" w:hAnsiTheme="minorEastAsia" w:eastAsiaTheme="minorEastAsia"/>
          <w:b/>
          <w:sz w:val="24"/>
        </w:rPr>
        <w:t xml:space="preserve">2.2 </w:t>
      </w:r>
      <w:r>
        <w:rPr>
          <w:rFonts w:hint="eastAsia" w:asciiTheme="minorEastAsia" w:hAnsiTheme="minorEastAsia" w:eastAsiaTheme="minorEastAsia"/>
          <w:b/>
          <w:sz w:val="24"/>
        </w:rPr>
        <w:t>监理与相关服务依据</w:t>
      </w:r>
      <w:bookmarkEnd w:id="1147"/>
      <w:bookmarkEnd w:id="1148"/>
      <w:bookmarkEnd w:id="1149"/>
      <w:bookmarkEnd w:id="1150"/>
      <w:bookmarkEnd w:id="1151"/>
      <w:bookmarkEnd w:id="1152"/>
    </w:p>
    <w:p>
      <w:pPr>
        <w:adjustRightInd w:val="0"/>
        <w:snapToGrid w:val="0"/>
        <w:spacing w:line="288"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第</w:t>
      </w:r>
      <w:r>
        <w:rPr>
          <w:rFonts w:asciiTheme="minorEastAsia" w:hAnsiTheme="minorEastAsia" w:eastAsiaTheme="minorEastAsia"/>
          <w:b/>
          <w:bCs/>
          <w:sz w:val="24"/>
        </w:rPr>
        <w:t>2.2.1</w:t>
      </w:r>
      <w:r>
        <w:rPr>
          <w:rFonts w:hint="eastAsia" w:asciiTheme="minorEastAsia" w:hAnsiTheme="minorEastAsia" w:eastAsiaTheme="minorEastAsia"/>
          <w:b/>
          <w:bCs/>
          <w:sz w:val="24"/>
        </w:rPr>
        <w:t>项增加如下内容：</w:t>
      </w:r>
    </w:p>
    <w:p>
      <w:pPr>
        <w:adjustRightInd w:val="0"/>
        <w:snapToGrid w:val="0"/>
        <w:spacing w:line="288" w:lineRule="auto"/>
        <w:ind w:firstLine="720" w:firstLineChars="300"/>
        <w:rPr>
          <w:rFonts w:asciiTheme="minorEastAsia" w:hAnsiTheme="minorEastAsia" w:eastAsiaTheme="minorEastAsia"/>
          <w:bCs/>
          <w:sz w:val="24"/>
        </w:rPr>
      </w:pPr>
      <w:r>
        <w:rPr>
          <w:rFonts w:asciiTheme="minorEastAsia" w:hAnsiTheme="minorEastAsia" w:eastAsiaTheme="minorEastAsia"/>
          <w:bCs/>
          <w:sz w:val="24"/>
        </w:rPr>
        <w:t>（5）经审批同意的施工单位编制的施工组织设计</w:t>
      </w:r>
      <w:r>
        <w:rPr>
          <w:rFonts w:hint="eastAsia" w:asciiTheme="minorEastAsia" w:hAnsiTheme="minorEastAsia" w:eastAsiaTheme="minorEastAsia"/>
          <w:bCs/>
          <w:sz w:val="24"/>
        </w:rPr>
        <w:t>；</w:t>
      </w:r>
    </w:p>
    <w:p>
      <w:pPr>
        <w:adjustRightInd w:val="0"/>
        <w:snapToGrid w:val="0"/>
        <w:spacing w:line="288" w:lineRule="auto"/>
        <w:ind w:firstLine="720" w:firstLineChars="300"/>
        <w:rPr>
          <w:rFonts w:asciiTheme="minorEastAsia" w:hAnsiTheme="minorEastAsia" w:eastAsiaTheme="minorEastAsia"/>
          <w:bCs/>
          <w:sz w:val="24"/>
        </w:rPr>
      </w:pPr>
      <w:r>
        <w:rPr>
          <w:rFonts w:asciiTheme="minorEastAsia" w:hAnsiTheme="minorEastAsia" w:eastAsiaTheme="minorEastAsia"/>
          <w:bCs/>
          <w:sz w:val="24"/>
        </w:rPr>
        <w:t>（6）经委托人认可的监理大纲、监理规划及监理实施细则；</w:t>
      </w:r>
    </w:p>
    <w:p>
      <w:pPr>
        <w:adjustRightInd w:val="0"/>
        <w:snapToGrid w:val="0"/>
        <w:spacing w:line="288" w:lineRule="auto"/>
        <w:ind w:firstLine="720" w:firstLineChars="300"/>
        <w:rPr>
          <w:rFonts w:asciiTheme="minorEastAsia" w:hAnsiTheme="minorEastAsia" w:eastAsiaTheme="minorEastAsia"/>
          <w:bCs/>
          <w:sz w:val="24"/>
        </w:rPr>
      </w:pPr>
      <w:r>
        <w:rPr>
          <w:rFonts w:asciiTheme="minorEastAsia" w:hAnsiTheme="minorEastAsia" w:eastAsiaTheme="minorEastAsia"/>
          <w:bCs/>
          <w:sz w:val="24"/>
        </w:rPr>
        <w:t>（7）委托人的相关管理办法、制度、规定。</w:t>
      </w:r>
    </w:p>
    <w:p>
      <w:pPr>
        <w:adjustRightInd w:val="0"/>
        <w:snapToGrid w:val="0"/>
        <w:spacing w:line="288" w:lineRule="auto"/>
        <w:ind w:firstLine="420"/>
        <w:rPr>
          <w:rFonts w:asciiTheme="minorEastAsia" w:hAnsiTheme="minorEastAsia" w:eastAsiaTheme="minorEastAsia"/>
          <w:bCs/>
          <w:dstrike/>
          <w:sz w:val="24"/>
        </w:rPr>
      </w:pPr>
      <w:r>
        <w:rPr>
          <w:rFonts w:asciiTheme="minorEastAsia" w:hAnsiTheme="minorEastAsia" w:eastAsiaTheme="minorEastAsia"/>
          <w:bCs/>
          <w:sz w:val="24"/>
        </w:rPr>
        <w:t>2.2.2 相关服务依据包括：</w:t>
      </w:r>
      <w:r>
        <w:rPr>
          <w:rFonts w:hint="eastAsia" w:asciiTheme="minorEastAsia" w:hAnsiTheme="minorEastAsia" w:eastAsiaTheme="minorEastAsia"/>
          <w:bCs/>
          <w:sz w:val="24"/>
          <w:u w:val="single"/>
        </w:rPr>
        <w:t>/</w:t>
      </w:r>
      <w:r>
        <w:rPr>
          <w:rFonts w:asciiTheme="minorEastAsia" w:hAnsiTheme="minorEastAsia" w:eastAsiaTheme="minorEastAsia"/>
          <w:bCs/>
          <w:sz w:val="24"/>
        </w:rPr>
        <w:t>。</w:t>
      </w:r>
    </w:p>
    <w:p>
      <w:pPr>
        <w:keepNext/>
        <w:keepLines/>
        <w:spacing w:line="288" w:lineRule="auto"/>
        <w:outlineLvl w:val="2"/>
        <w:rPr>
          <w:rFonts w:asciiTheme="minorEastAsia" w:hAnsiTheme="minorEastAsia" w:eastAsiaTheme="minorEastAsia"/>
          <w:b/>
          <w:sz w:val="24"/>
        </w:rPr>
      </w:pPr>
      <w:bookmarkStart w:id="1153" w:name="_Toc496098767"/>
      <w:bookmarkStart w:id="1154" w:name="_Toc443898853"/>
      <w:bookmarkStart w:id="1155" w:name="_Toc499311202"/>
      <w:bookmarkStart w:id="1156" w:name="_Toc26554"/>
      <w:bookmarkStart w:id="1157" w:name="_Toc10752"/>
      <w:bookmarkStart w:id="1158" w:name="_Toc499204987"/>
      <w:r>
        <w:rPr>
          <w:rFonts w:asciiTheme="minorEastAsia" w:hAnsiTheme="minorEastAsia" w:eastAsiaTheme="minorEastAsia"/>
          <w:b/>
          <w:sz w:val="24"/>
        </w:rPr>
        <w:t xml:space="preserve">2.3 </w:t>
      </w:r>
      <w:r>
        <w:rPr>
          <w:rFonts w:hint="eastAsia" w:asciiTheme="minorEastAsia" w:hAnsiTheme="minorEastAsia" w:eastAsiaTheme="minorEastAsia"/>
          <w:b/>
          <w:sz w:val="24"/>
        </w:rPr>
        <w:t>项目监理机构和人员</w:t>
      </w:r>
      <w:bookmarkEnd w:id="1153"/>
      <w:bookmarkEnd w:id="1154"/>
      <w:bookmarkEnd w:id="1155"/>
      <w:bookmarkEnd w:id="1156"/>
      <w:bookmarkEnd w:id="1157"/>
      <w:bookmarkEnd w:id="1158"/>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2.3.1补充约定：</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监理人在接到委托人发出的指令后，应立即按照合同的要求组织人员、建立机构，并按照委托人的要求进驻现场开展工作；除委托人提供的监理工作条件外，监理人应当根据委托人要求和工作需要，按照投标文件中的承诺，自行配置满足监理需求的工作条件，并且不得低于招标文件要求，其相关费用已全部包含在签约正常监理服务收费中</w:t>
      </w:r>
      <w:r>
        <w:rPr>
          <w:rFonts w:hint="eastAsia" w:asciiTheme="minorEastAsia" w:hAnsiTheme="minorEastAsia" w:eastAsiaTheme="minorEastAsia"/>
          <w:bCs/>
          <w:sz w:val="24"/>
        </w:rPr>
        <w:t>；监理人的设备仪器应在合同履行期间保持状况完好，未经委托人同意，不得随意更改或撤换。</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监理人在服务现场设置总监办，总监办应按合同约定及现行的法律法规、规范标准等开展工作，总监办自行购置其所需要的生活、办公、交通工具、物品，总监办应当独立于施工承包人的办公生活区域，设立办公和生活所需的场所、设施、设备，并自行承担相应的费用。</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监理人应委派监理工程师，作为监理人的合法代表在服务现场开展工作，并与委托人建立工作联系；监理人应当根据工程情况，配备相应专业的安全人员，实施安全监理工作；辅助工作人员（包括司机、文秘、行政后勤、炊事人员等）由监理人自行聘用，费用包含在正常监理服务收费中；监理人员（包括监理人聘用的辅助工作人员）应严格遵守委托人制定的各项规章制度。</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2.3.2</w:t>
      </w:r>
      <w:r>
        <w:rPr>
          <w:rFonts w:hint="eastAsia" w:asciiTheme="minorEastAsia" w:hAnsiTheme="minorEastAsia" w:eastAsiaTheme="minorEastAsia"/>
          <w:bCs/>
          <w:sz w:val="24"/>
        </w:rPr>
        <w:t>补充约定：</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在合同</w:t>
      </w:r>
      <w:r>
        <w:rPr>
          <w:rFonts w:hint="eastAsia" w:asciiTheme="minorEastAsia" w:hAnsiTheme="minorEastAsia" w:eastAsiaTheme="minorEastAsia"/>
          <w:bCs/>
          <w:sz w:val="24"/>
        </w:rPr>
        <w:t>履行</w:t>
      </w:r>
      <w:r>
        <w:rPr>
          <w:rFonts w:asciiTheme="minorEastAsia" w:hAnsiTheme="minorEastAsia" w:eastAsiaTheme="minorEastAsia"/>
          <w:bCs/>
          <w:sz w:val="24"/>
        </w:rPr>
        <w:t>期内，监理人应</w:t>
      </w:r>
      <w:r>
        <w:rPr>
          <w:rFonts w:hint="eastAsia" w:asciiTheme="minorEastAsia" w:hAnsiTheme="minorEastAsia" w:eastAsiaTheme="minorEastAsia"/>
          <w:bCs/>
          <w:sz w:val="24"/>
        </w:rPr>
        <w:t>按投标文件及合同约定</w:t>
      </w:r>
      <w:r>
        <w:rPr>
          <w:rFonts w:asciiTheme="minorEastAsia" w:hAnsiTheme="minorEastAsia" w:eastAsiaTheme="minorEastAsia"/>
          <w:bCs/>
          <w:sz w:val="24"/>
        </w:rPr>
        <w:t>任命一名合格称职的总监理工程师进驻现场。总监理工程师应受理与监理人有关的所有通知、指示、同意、批准、证书、决定及其他通讯联络。</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监理人对总监理工程师的任命应取得委托人的书面批准，并在合同生效后14天内将总监理工程师的姓名及其他详细资料以书面形式通知承包人。</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没有委托人的事先</w:t>
      </w:r>
      <w:r>
        <w:rPr>
          <w:rFonts w:hint="eastAsia" w:asciiTheme="minorEastAsia" w:hAnsiTheme="minorEastAsia" w:eastAsiaTheme="minorEastAsia"/>
          <w:bCs/>
          <w:sz w:val="24"/>
        </w:rPr>
        <w:t>书面</w:t>
      </w:r>
      <w:r>
        <w:rPr>
          <w:rFonts w:asciiTheme="minorEastAsia" w:hAnsiTheme="minorEastAsia" w:eastAsiaTheme="minorEastAsia"/>
          <w:bCs/>
          <w:sz w:val="24"/>
        </w:rPr>
        <w:t>同意，监理人不得更换</w:t>
      </w:r>
      <w:r>
        <w:rPr>
          <w:rFonts w:hint="eastAsia" w:asciiTheme="minorEastAsia" w:hAnsiTheme="minorEastAsia" w:eastAsiaTheme="minorEastAsia"/>
          <w:bCs/>
          <w:sz w:val="24"/>
        </w:rPr>
        <w:t>项目管理机构人员。</w:t>
      </w:r>
      <w:r>
        <w:rPr>
          <w:rFonts w:hint="eastAsia" w:asciiTheme="minorEastAsia" w:hAnsiTheme="minorEastAsia" w:eastAsiaTheme="minorEastAsia"/>
          <w:bCs/>
          <w:kern w:val="0"/>
          <w:sz w:val="24"/>
        </w:rPr>
        <w:t>总监理工程师的变更应符合河南省、许昌市及委托人相关规定。</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经</w:t>
      </w:r>
      <w:r>
        <w:rPr>
          <w:rFonts w:asciiTheme="minorEastAsia" w:hAnsiTheme="minorEastAsia" w:eastAsiaTheme="minorEastAsia"/>
          <w:bCs/>
          <w:sz w:val="24"/>
        </w:rPr>
        <w:t>委托人</w:t>
      </w:r>
      <w:r>
        <w:rPr>
          <w:rFonts w:hint="eastAsia" w:asciiTheme="minorEastAsia" w:hAnsiTheme="minorEastAsia" w:eastAsiaTheme="minorEastAsia"/>
          <w:bCs/>
          <w:sz w:val="24"/>
        </w:rPr>
        <w:t>书面</w:t>
      </w:r>
      <w:r>
        <w:rPr>
          <w:rFonts w:asciiTheme="minorEastAsia" w:hAnsiTheme="minorEastAsia" w:eastAsiaTheme="minorEastAsia"/>
          <w:bCs/>
          <w:sz w:val="24"/>
        </w:rPr>
        <w:t>同意</w:t>
      </w:r>
      <w:r>
        <w:rPr>
          <w:rFonts w:hint="eastAsia" w:asciiTheme="minorEastAsia" w:hAnsiTheme="minorEastAsia" w:eastAsiaTheme="minorEastAsia"/>
          <w:bCs/>
          <w:sz w:val="24"/>
        </w:rPr>
        <w:t>更换总监理工程师的</w:t>
      </w:r>
      <w:r>
        <w:rPr>
          <w:rFonts w:asciiTheme="minorEastAsia" w:hAnsiTheme="minorEastAsia" w:eastAsiaTheme="minorEastAsia"/>
          <w:bCs/>
          <w:sz w:val="24"/>
        </w:rPr>
        <w:t>，监理人应书面通知委托人和承包人新任总监理工程师的姓名及其它详细情况，同时明确前任到期时间及新任开始时间；在</w:t>
      </w:r>
      <w:r>
        <w:rPr>
          <w:rFonts w:hint="eastAsia" w:asciiTheme="minorEastAsia" w:hAnsiTheme="minorEastAsia" w:eastAsiaTheme="minorEastAsia"/>
          <w:bCs/>
          <w:sz w:val="24"/>
        </w:rPr>
        <w:t>委托人和承包人</w:t>
      </w:r>
      <w:r>
        <w:rPr>
          <w:rFonts w:asciiTheme="minorEastAsia" w:hAnsiTheme="minorEastAsia" w:eastAsiaTheme="minorEastAsia"/>
          <w:bCs/>
          <w:sz w:val="24"/>
        </w:rPr>
        <w:t>收到相应的通知之前，任何对总监理工程师的任命或更换均不产生合同效力。</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对于本合同而言，经监理人任命的并且发承包双方已经收到相应通知的总监理工程师，应是监理人唯一的合法代理人。如果总监理工程师将他的任何职责和权利委托给他的代表，此类总监理工程师代表应视为监理人的合法代理人。</w:t>
      </w:r>
    </w:p>
    <w:p>
      <w:pPr>
        <w:adjustRightInd w:val="0"/>
        <w:snapToGrid w:val="0"/>
        <w:spacing w:line="288" w:lineRule="auto"/>
        <w:ind w:firstLine="484" w:firstLineChars="202"/>
        <w:rPr>
          <w:rFonts w:asciiTheme="minorEastAsia" w:hAnsiTheme="minorEastAsia" w:eastAsiaTheme="minorEastAsia"/>
          <w:bCs/>
          <w:sz w:val="24"/>
        </w:rPr>
      </w:pPr>
      <w:r>
        <w:rPr>
          <w:rFonts w:asciiTheme="minorEastAsia" w:hAnsiTheme="minorEastAsia" w:eastAsiaTheme="minorEastAsia"/>
          <w:bCs/>
          <w:sz w:val="24"/>
        </w:rPr>
        <w:t>总监理工程师和总监代表必须常驻工地，每个月至少22天。总监理工程师、总监代表若需离开现场应提前向委托人提交书面申请，并指定临时的现场负责人，经委托人书面同意且履行请假手续后才能离开。离开期间，总监理工程师、总监代表指定的现场负责人应能完全履行其职责；总监理工程师和总监代表不得同时离开工地。</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 xml:space="preserve">总监理工程师不得将下列工作委托其他监理人员： </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 xml:space="preserve">1）主持编写项目监理规划、审批项目监理实施细则； </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 xml:space="preserve">2）签发工程开工/复工报审表、工程暂停令、进度款付款证书、竣工付款证书、最终结清证书、竣工验收证书、工程接收证书、缺陷责任期终止证书； </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3）审核签认竣工结算文件；</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4）调解委托人与承包人的合同争议、处理索赔、审批工程延期；</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5）根据工程项目的进展情况进行监理人员的调配，调换不称职的监理人员。</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2.3.3</w:t>
      </w:r>
      <w:r>
        <w:rPr>
          <w:rFonts w:hint="eastAsia" w:asciiTheme="minorEastAsia" w:hAnsiTheme="minorEastAsia" w:eastAsiaTheme="minorEastAsia"/>
          <w:bCs/>
          <w:sz w:val="24"/>
        </w:rPr>
        <w:t>修改为：</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现场监理人员可不必在整个监理服务阶段满员配备，但应专业齐全,符合每阶段工作需要。全部监理人员到岗与撤场都应事先征得委托人同意。</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监理人原则上不得更换其总监理工程师，但如果根据需要必须更换时，应事先征得委托人的批准，更换后应书面通知委托人和施工承包人，同时明确前任到期时间及新任开始时间；在他们收到相应通知之前，任何对总监理工程师的任命或更换均不产生合同效力。</w:t>
      </w:r>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经委托人确认的投入监理人员在工程进行的过程中，原则上不允许更换。监理人更换项目监理机构其他监理人员应事先得到委托人的同意。总监理工程师、总监理工程师代表、安全总监及工程师及现场监理工程师必须常驻工地现场，离开工地时，应获得委托人的批准。</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sz w:val="24"/>
        </w:rPr>
        <w:t xml:space="preserve">2.3.4 </w:t>
      </w:r>
      <w:r>
        <w:rPr>
          <w:rFonts w:asciiTheme="minorEastAsia" w:hAnsiTheme="minorEastAsia" w:eastAsiaTheme="minorEastAsia"/>
          <w:bCs/>
          <w:kern w:val="0"/>
          <w:sz w:val="24"/>
        </w:rPr>
        <w:t>更换监理人员的其他情形：</w:t>
      </w:r>
      <w:r>
        <w:rPr>
          <w:rFonts w:asciiTheme="minorEastAsia" w:hAnsiTheme="minorEastAsia" w:eastAsiaTheme="minorEastAsia"/>
          <w:bCs/>
          <w:kern w:val="0"/>
          <w:sz w:val="24"/>
          <w:u w:val="single"/>
        </w:rPr>
        <w:t xml:space="preserve">        /   </w:t>
      </w:r>
      <w:r>
        <w:rPr>
          <w:rFonts w:asciiTheme="minorEastAsia" w:hAnsiTheme="minorEastAsia" w:eastAsiaTheme="minorEastAsia"/>
          <w:bCs/>
          <w:kern w:val="0"/>
          <w:sz w:val="24"/>
        </w:rPr>
        <w:t>。</w:t>
      </w:r>
    </w:p>
    <w:p>
      <w:pPr>
        <w:keepNext/>
        <w:keepLines/>
        <w:spacing w:line="288" w:lineRule="auto"/>
        <w:outlineLvl w:val="2"/>
        <w:rPr>
          <w:rFonts w:asciiTheme="minorEastAsia" w:hAnsiTheme="minorEastAsia" w:eastAsiaTheme="minorEastAsia"/>
          <w:b/>
          <w:sz w:val="24"/>
        </w:rPr>
      </w:pPr>
      <w:bookmarkStart w:id="1159" w:name="_Toc8420"/>
      <w:bookmarkStart w:id="1160" w:name="_Toc443898854"/>
      <w:bookmarkStart w:id="1161" w:name="_Toc496098768"/>
      <w:bookmarkStart w:id="1162" w:name="_Toc1769"/>
      <w:bookmarkStart w:id="1163" w:name="_Toc499311203"/>
      <w:bookmarkStart w:id="1164" w:name="_Toc499204988"/>
      <w:r>
        <w:rPr>
          <w:rFonts w:asciiTheme="minorEastAsia" w:hAnsiTheme="minorEastAsia" w:eastAsiaTheme="minorEastAsia"/>
          <w:b/>
          <w:sz w:val="24"/>
        </w:rPr>
        <w:t xml:space="preserve">2.4 </w:t>
      </w:r>
      <w:r>
        <w:rPr>
          <w:rFonts w:hint="eastAsia" w:asciiTheme="minorEastAsia" w:hAnsiTheme="minorEastAsia" w:eastAsiaTheme="minorEastAsia"/>
          <w:b/>
          <w:sz w:val="24"/>
        </w:rPr>
        <w:t>履行职责</w:t>
      </w:r>
      <w:bookmarkEnd w:id="1159"/>
      <w:bookmarkEnd w:id="1160"/>
      <w:bookmarkEnd w:id="1161"/>
      <w:bookmarkEnd w:id="1162"/>
      <w:bookmarkEnd w:id="1163"/>
      <w:bookmarkEnd w:id="1164"/>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 xml:space="preserve">2.4.3 </w:t>
      </w:r>
      <w:r>
        <w:rPr>
          <w:rFonts w:hint="eastAsia" w:asciiTheme="minorEastAsia" w:hAnsiTheme="minorEastAsia" w:eastAsiaTheme="minorEastAsia"/>
          <w:bCs/>
          <w:sz w:val="24"/>
        </w:rPr>
        <w:t>对监理人的授权范围：</w:t>
      </w:r>
    </w:p>
    <w:p>
      <w:pPr>
        <w:adjustRightInd w:val="0"/>
        <w:snapToGrid w:val="0"/>
        <w:spacing w:line="288" w:lineRule="auto"/>
        <w:ind w:firstLine="453" w:firstLineChars="189"/>
        <w:rPr>
          <w:rFonts w:asciiTheme="minorEastAsia" w:hAnsiTheme="minorEastAsia" w:eastAsiaTheme="minorEastAsia"/>
          <w:bCs/>
          <w:sz w:val="24"/>
        </w:rPr>
      </w:pPr>
      <w:r>
        <w:rPr>
          <w:rFonts w:asciiTheme="minorEastAsia" w:hAnsiTheme="minorEastAsia" w:eastAsiaTheme="minorEastAsia"/>
          <w:bCs/>
          <w:sz w:val="24"/>
        </w:rPr>
        <w:t>监理人在行使以下权力前须经委托人事先批准：</w:t>
      </w:r>
    </w:p>
    <w:p>
      <w:pPr>
        <w:adjustRightInd w:val="0"/>
        <w:snapToGrid w:val="0"/>
        <w:spacing w:line="288" w:lineRule="auto"/>
        <w:ind w:firstLine="453" w:firstLineChars="189"/>
        <w:rPr>
          <w:rFonts w:asciiTheme="minorEastAsia" w:hAnsiTheme="minorEastAsia" w:eastAsiaTheme="minorEastAsia"/>
          <w:bCs/>
          <w:sz w:val="24"/>
        </w:rPr>
      </w:pPr>
      <w:r>
        <w:rPr>
          <w:rFonts w:asciiTheme="minorEastAsia" w:hAnsiTheme="minorEastAsia" w:eastAsiaTheme="minorEastAsia"/>
          <w:bCs/>
          <w:sz w:val="24"/>
        </w:rPr>
        <w:t>1）发布开工令、暂时停工或复工令（如在紧急情况下未能事先报告时，则应在24小时内向委托人作出书面报告。）；</w:t>
      </w:r>
    </w:p>
    <w:p>
      <w:pPr>
        <w:adjustRightInd w:val="0"/>
        <w:snapToGrid w:val="0"/>
        <w:spacing w:line="288" w:lineRule="auto"/>
        <w:ind w:firstLine="453" w:firstLineChars="189"/>
        <w:rPr>
          <w:rFonts w:asciiTheme="minorEastAsia" w:hAnsiTheme="minorEastAsia" w:eastAsiaTheme="minorEastAsia"/>
          <w:bCs/>
          <w:sz w:val="24"/>
        </w:rPr>
      </w:pPr>
      <w:r>
        <w:rPr>
          <w:rFonts w:asciiTheme="minorEastAsia" w:hAnsiTheme="minorEastAsia" w:eastAsiaTheme="minorEastAsia"/>
          <w:bCs/>
          <w:sz w:val="24"/>
        </w:rPr>
        <w:t>2）决定工期延长；</w:t>
      </w:r>
    </w:p>
    <w:p>
      <w:pPr>
        <w:adjustRightInd w:val="0"/>
        <w:snapToGrid w:val="0"/>
        <w:spacing w:line="288" w:lineRule="auto"/>
        <w:ind w:firstLine="453" w:firstLineChars="189"/>
        <w:rPr>
          <w:rFonts w:asciiTheme="minorEastAsia" w:hAnsiTheme="minorEastAsia" w:eastAsiaTheme="minorEastAsia"/>
          <w:bCs/>
          <w:sz w:val="24"/>
        </w:rPr>
      </w:pPr>
      <w:r>
        <w:rPr>
          <w:rFonts w:asciiTheme="minorEastAsia" w:hAnsiTheme="minorEastAsia" w:eastAsiaTheme="minorEastAsia"/>
          <w:bCs/>
          <w:sz w:val="24"/>
        </w:rPr>
        <w:t>3）同意将工程的非关键、非主体结构部分分包给具有相应资质的分包人</w:t>
      </w:r>
      <w:r>
        <w:rPr>
          <w:rFonts w:hint="eastAsia" w:asciiTheme="minorEastAsia" w:hAnsiTheme="minorEastAsia" w:eastAsiaTheme="minorEastAsia"/>
          <w:bCs/>
          <w:sz w:val="24"/>
        </w:rPr>
        <w:t>；</w:t>
      </w:r>
    </w:p>
    <w:p>
      <w:pPr>
        <w:adjustRightInd w:val="0"/>
        <w:snapToGrid w:val="0"/>
        <w:spacing w:line="288" w:lineRule="auto"/>
        <w:ind w:firstLine="453" w:firstLineChars="189"/>
        <w:rPr>
          <w:rFonts w:asciiTheme="minorEastAsia" w:hAnsiTheme="minorEastAsia" w:eastAsiaTheme="minorEastAsia"/>
          <w:bCs/>
          <w:sz w:val="24"/>
        </w:rPr>
      </w:pPr>
      <w:r>
        <w:rPr>
          <w:rFonts w:asciiTheme="minorEastAsia" w:hAnsiTheme="minorEastAsia" w:eastAsiaTheme="minorEastAsia"/>
          <w:bCs/>
          <w:sz w:val="24"/>
        </w:rPr>
        <w:t>4）审查批准技术规范</w:t>
      </w:r>
      <w:r>
        <w:rPr>
          <w:rFonts w:hint="eastAsia" w:asciiTheme="minorEastAsia" w:hAnsiTheme="minorEastAsia" w:eastAsiaTheme="minorEastAsia"/>
          <w:bCs/>
          <w:sz w:val="24"/>
        </w:rPr>
        <w:t>（</w:t>
      </w:r>
      <w:r>
        <w:rPr>
          <w:rFonts w:asciiTheme="minorEastAsia" w:hAnsiTheme="minorEastAsia" w:eastAsiaTheme="minorEastAsia"/>
          <w:bCs/>
          <w:sz w:val="24"/>
        </w:rPr>
        <w:t>规格</w:t>
      </w:r>
      <w:r>
        <w:rPr>
          <w:rFonts w:hint="eastAsia" w:asciiTheme="minorEastAsia" w:hAnsiTheme="minorEastAsia" w:eastAsiaTheme="minorEastAsia"/>
          <w:bCs/>
          <w:sz w:val="24"/>
        </w:rPr>
        <w:t>）</w:t>
      </w:r>
      <w:r>
        <w:rPr>
          <w:rFonts w:asciiTheme="minorEastAsia" w:hAnsiTheme="minorEastAsia" w:eastAsiaTheme="minorEastAsia"/>
          <w:bCs/>
          <w:sz w:val="24"/>
        </w:rPr>
        <w:t>或设计的变更，并发出实施变更的指示；</w:t>
      </w:r>
    </w:p>
    <w:p>
      <w:pPr>
        <w:adjustRightInd w:val="0"/>
        <w:snapToGrid w:val="0"/>
        <w:spacing w:line="288" w:lineRule="auto"/>
        <w:ind w:firstLine="453" w:firstLineChars="189"/>
        <w:rPr>
          <w:rFonts w:asciiTheme="minorEastAsia" w:hAnsiTheme="minorEastAsia" w:eastAsiaTheme="minorEastAsia"/>
          <w:bCs/>
          <w:sz w:val="24"/>
        </w:rPr>
      </w:pPr>
      <w:r>
        <w:rPr>
          <w:rFonts w:asciiTheme="minorEastAsia" w:hAnsiTheme="minorEastAsia" w:eastAsiaTheme="minorEastAsia"/>
          <w:bCs/>
          <w:sz w:val="24"/>
        </w:rPr>
        <w:t>5）确定工期、费用索赔及有关暂列金额的使用；</w:t>
      </w:r>
    </w:p>
    <w:p>
      <w:pPr>
        <w:adjustRightInd w:val="0"/>
        <w:snapToGrid w:val="0"/>
        <w:spacing w:line="288" w:lineRule="auto"/>
        <w:ind w:firstLine="453" w:firstLineChars="189"/>
        <w:rPr>
          <w:rFonts w:asciiTheme="minorEastAsia" w:hAnsiTheme="minorEastAsia" w:eastAsiaTheme="minorEastAsia"/>
          <w:bCs/>
          <w:sz w:val="24"/>
        </w:rPr>
      </w:pPr>
      <w:r>
        <w:rPr>
          <w:rFonts w:asciiTheme="minorEastAsia" w:hAnsiTheme="minorEastAsia" w:eastAsiaTheme="minorEastAsia"/>
          <w:bCs/>
          <w:sz w:val="24"/>
        </w:rPr>
        <w:t>6）涉及责任事件的签认需要办理现场签证，以及对材料、设备单价需要进行市场询价、定价的。</w:t>
      </w:r>
    </w:p>
    <w:p>
      <w:pPr>
        <w:adjustRightInd w:val="0"/>
        <w:snapToGrid w:val="0"/>
        <w:spacing w:line="288" w:lineRule="auto"/>
        <w:ind w:firstLine="453" w:firstLineChars="189"/>
        <w:rPr>
          <w:rFonts w:asciiTheme="minorEastAsia" w:hAnsiTheme="minorEastAsia" w:eastAsiaTheme="minorEastAsia"/>
          <w:bCs/>
          <w:sz w:val="24"/>
        </w:rPr>
      </w:pPr>
      <w:r>
        <w:rPr>
          <w:rFonts w:asciiTheme="minorEastAsia" w:hAnsiTheme="minorEastAsia" w:eastAsiaTheme="minorEastAsia"/>
          <w:bCs/>
          <w:sz w:val="24"/>
        </w:rPr>
        <w:t>7）对不符合规范标准、设计要求或合同约定的材料、构配件、设备勒令承包人停止使用；对不符合规范和质量标准的工序、分部分项工程和不安全施工作业，勒令承包人停工整改或返工。</w:t>
      </w:r>
    </w:p>
    <w:p>
      <w:pPr>
        <w:adjustRightInd w:val="0"/>
        <w:snapToGrid w:val="0"/>
        <w:spacing w:line="288" w:lineRule="auto"/>
        <w:ind w:firstLine="453" w:firstLineChars="189"/>
        <w:rPr>
          <w:rFonts w:asciiTheme="minorEastAsia" w:hAnsiTheme="minorEastAsia" w:eastAsiaTheme="minorEastAsia"/>
          <w:bCs/>
          <w:sz w:val="24"/>
        </w:rPr>
      </w:pPr>
      <w:r>
        <w:rPr>
          <w:rFonts w:asciiTheme="minorEastAsia" w:hAnsiTheme="minorEastAsia" w:eastAsiaTheme="minorEastAsia"/>
          <w:bCs/>
          <w:sz w:val="24"/>
        </w:rPr>
        <w:t>8）对核算后已标价工程量清单的批准</w:t>
      </w:r>
      <w:r>
        <w:rPr>
          <w:rFonts w:hint="eastAsia" w:asciiTheme="minorEastAsia" w:hAnsiTheme="minorEastAsia" w:eastAsiaTheme="minorEastAsia"/>
          <w:bCs/>
          <w:sz w:val="24"/>
        </w:rPr>
        <w:t>；</w:t>
      </w:r>
      <w:r>
        <w:rPr>
          <w:rFonts w:asciiTheme="minorEastAsia" w:hAnsiTheme="minorEastAsia" w:eastAsiaTheme="minorEastAsia"/>
          <w:bCs/>
          <w:sz w:val="24"/>
        </w:rPr>
        <w:t>在工程施工合同约定的工程价格范围内</w:t>
      </w:r>
      <w:r>
        <w:rPr>
          <w:rFonts w:hint="eastAsia" w:asciiTheme="minorEastAsia" w:hAnsiTheme="minorEastAsia" w:eastAsiaTheme="minorEastAsia"/>
          <w:bCs/>
          <w:sz w:val="24"/>
        </w:rPr>
        <w:t>，对</w:t>
      </w:r>
      <w:r>
        <w:rPr>
          <w:rFonts w:asciiTheme="minorEastAsia" w:hAnsiTheme="minorEastAsia" w:eastAsiaTheme="minorEastAsia"/>
          <w:bCs/>
          <w:sz w:val="24"/>
        </w:rPr>
        <w:t>工程款支付的审核及签认。未经总监理工程师签字确认，委托人不支付工程款。</w:t>
      </w:r>
    </w:p>
    <w:p>
      <w:pPr>
        <w:adjustRightInd w:val="0"/>
        <w:snapToGrid w:val="0"/>
        <w:spacing w:line="288" w:lineRule="auto"/>
        <w:ind w:firstLine="453" w:firstLineChars="189"/>
        <w:rPr>
          <w:rFonts w:asciiTheme="minorEastAsia" w:hAnsiTheme="minorEastAsia" w:eastAsiaTheme="minorEastAsia"/>
          <w:bCs/>
          <w:sz w:val="24"/>
        </w:rPr>
      </w:pPr>
      <w:r>
        <w:rPr>
          <w:rFonts w:asciiTheme="minorEastAsia" w:hAnsiTheme="minorEastAsia" w:eastAsiaTheme="minorEastAsia"/>
          <w:bCs/>
          <w:sz w:val="24"/>
        </w:rPr>
        <w:t>9）监理人要求承包人撤换由其派遣或雇佣的不能胜任、或玩忽职守、工作不负责任的人员，上述撤换的人员未经监理人同意不得重新回到本合同工程工作。</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10</w:t>
      </w:r>
      <w:r>
        <w:rPr>
          <w:rFonts w:hint="eastAsia" w:asciiTheme="minorEastAsia" w:hAnsiTheme="minorEastAsia" w:eastAsiaTheme="minorEastAsia"/>
          <w:bCs/>
          <w:sz w:val="24"/>
        </w:rPr>
        <w:t>）</w:t>
      </w:r>
      <w:r>
        <w:rPr>
          <w:rFonts w:asciiTheme="minorEastAsia" w:hAnsiTheme="minorEastAsia" w:eastAsiaTheme="minorEastAsia"/>
          <w:bCs/>
          <w:sz w:val="24"/>
        </w:rPr>
        <w:t>监理人依据国家、省市颁布的法律、法规、规章、强制性标准、政策性文件、施工承包合同、本监理合同、委托人相关管理制度、办法对施工承包人在履约过程中的违约行为提出惩罚措施，经委托人批准后在当期计量支付款中扣除。</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尽管有以上规定的任务和权力要获得委托人的批准，但如果发生非常紧急情况，监理人认为将造成人员伤亡、或危及工程或邻近的财产或从委托人的权益考虑需立即采取行动的，监理人有权发布处理这种危急状况所必须的指令，承包人应按监理人的指令竭尽全力去处置或减轻危急状况。尽管监理人指令未事先征得委托人的批准，但承包人应立即执行，监理人应尽快向委托人补办确认手续，并根据实际情况确定所增加的费用，在报委托人批准之后通知承包人。</w:t>
      </w:r>
    </w:p>
    <w:p>
      <w:pPr>
        <w:adjustRightInd w:val="0"/>
        <w:snapToGrid w:val="0"/>
        <w:spacing w:line="288" w:lineRule="auto"/>
        <w:ind w:firstLine="360" w:firstLineChars="150"/>
        <w:rPr>
          <w:rFonts w:asciiTheme="minorEastAsia" w:hAnsiTheme="minorEastAsia" w:eastAsiaTheme="minorEastAsia"/>
          <w:bCs/>
          <w:sz w:val="24"/>
        </w:rPr>
      </w:pPr>
      <w:r>
        <w:rPr>
          <w:rFonts w:asciiTheme="minorEastAsia" w:hAnsiTheme="minorEastAsia" w:eastAsiaTheme="minorEastAsia"/>
          <w:bCs/>
          <w:kern w:val="0"/>
          <w:sz w:val="24"/>
        </w:rPr>
        <w:t>2.4.4 监理人有权要求承包人调换其人员</w:t>
      </w:r>
      <w:r>
        <w:rPr>
          <w:rFonts w:asciiTheme="minorEastAsia" w:hAnsiTheme="minorEastAsia" w:eastAsiaTheme="minorEastAsia"/>
          <w:bCs/>
          <w:sz w:val="24"/>
        </w:rPr>
        <w:t>的限制条件：</w:t>
      </w:r>
      <w:r>
        <w:rPr>
          <w:rFonts w:hint="eastAsia" w:asciiTheme="minorEastAsia" w:hAnsiTheme="minorEastAsia" w:eastAsiaTheme="minorEastAsia"/>
          <w:bCs/>
          <w:sz w:val="24"/>
          <w:u w:val="single"/>
        </w:rPr>
        <w:t>实际发生时，与委托人代表协商解决，最终经委托人同意后要求承包人调换</w:t>
      </w:r>
      <w:r>
        <w:rPr>
          <w:rFonts w:asciiTheme="minorEastAsia" w:hAnsiTheme="minorEastAsia" w:eastAsiaTheme="minorEastAsia"/>
          <w:bCs/>
          <w:sz w:val="24"/>
        </w:rPr>
        <w:t>。</w:t>
      </w:r>
    </w:p>
    <w:p>
      <w:pPr>
        <w:adjustRightInd w:val="0"/>
        <w:snapToGrid w:val="0"/>
        <w:spacing w:line="288" w:lineRule="auto"/>
        <w:ind w:firstLine="361" w:firstLineChars="150"/>
        <w:rPr>
          <w:rFonts w:asciiTheme="minorEastAsia" w:hAnsiTheme="minorEastAsia" w:eastAsiaTheme="minorEastAsia"/>
          <w:b/>
          <w:bCs/>
          <w:sz w:val="24"/>
        </w:rPr>
      </w:pPr>
      <w:r>
        <w:rPr>
          <w:rFonts w:hint="eastAsia" w:asciiTheme="minorEastAsia" w:hAnsiTheme="minorEastAsia" w:eastAsiaTheme="minorEastAsia"/>
          <w:b/>
          <w:bCs/>
          <w:sz w:val="24"/>
        </w:rPr>
        <w:t>第</w:t>
      </w:r>
      <w:r>
        <w:rPr>
          <w:rFonts w:asciiTheme="minorEastAsia" w:hAnsiTheme="minorEastAsia" w:eastAsiaTheme="minorEastAsia"/>
          <w:b/>
          <w:bCs/>
          <w:sz w:val="24"/>
        </w:rPr>
        <w:t>2.4</w:t>
      </w:r>
      <w:r>
        <w:rPr>
          <w:rFonts w:hint="eastAsia" w:asciiTheme="minorEastAsia" w:hAnsiTheme="minorEastAsia" w:eastAsiaTheme="minorEastAsia"/>
          <w:b/>
          <w:bCs/>
          <w:sz w:val="24"/>
        </w:rPr>
        <w:t>款增加如下内容：</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2.4.5</w:t>
      </w:r>
      <w:r>
        <w:rPr>
          <w:rFonts w:hint="eastAsia" w:asciiTheme="minorEastAsia" w:hAnsiTheme="minorEastAsia" w:eastAsiaTheme="minorEastAsia"/>
          <w:bCs/>
          <w:sz w:val="24"/>
        </w:rPr>
        <w:t>正常情况下，由监理人发出的任何指示都应是书面的。出于某种原因，监理人认为有必要以口头形式发出这类指示时，监理人应在上述口头指示发出后</w:t>
      </w:r>
      <w:r>
        <w:rPr>
          <w:rFonts w:asciiTheme="minorEastAsia" w:hAnsiTheme="minorEastAsia" w:eastAsiaTheme="minorEastAsia"/>
          <w:bCs/>
          <w:sz w:val="24"/>
        </w:rPr>
        <w:t>3</w:t>
      </w:r>
      <w:r>
        <w:rPr>
          <w:rFonts w:hint="eastAsia" w:asciiTheme="minorEastAsia" w:hAnsiTheme="minorEastAsia" w:eastAsiaTheme="minorEastAsia"/>
          <w:bCs/>
          <w:sz w:val="24"/>
        </w:rPr>
        <w:t>天内，以书面形式予以确认，书面确认内容与当时的口头指示应当一致。承包人如在监理人发出口头指示后</w:t>
      </w:r>
      <w:r>
        <w:rPr>
          <w:rFonts w:asciiTheme="minorEastAsia" w:hAnsiTheme="minorEastAsia" w:eastAsiaTheme="minorEastAsia"/>
          <w:bCs/>
          <w:sz w:val="24"/>
        </w:rPr>
        <w:t>3</w:t>
      </w:r>
      <w:r>
        <w:rPr>
          <w:rFonts w:hint="eastAsia" w:asciiTheme="minorEastAsia" w:hAnsiTheme="minorEastAsia" w:eastAsiaTheme="minorEastAsia"/>
          <w:bCs/>
          <w:sz w:val="24"/>
        </w:rPr>
        <w:t>天内未收到其书面确认，应立即以书面形式要求监理人确认上述口头指示。如果发出书面要求后</w:t>
      </w:r>
      <w:r>
        <w:rPr>
          <w:rFonts w:asciiTheme="minorEastAsia" w:hAnsiTheme="minorEastAsia" w:eastAsiaTheme="minorEastAsia"/>
          <w:bCs/>
          <w:sz w:val="24"/>
        </w:rPr>
        <w:t>3</w:t>
      </w:r>
      <w:r>
        <w:rPr>
          <w:rFonts w:hint="eastAsia" w:asciiTheme="minorEastAsia" w:hAnsiTheme="minorEastAsia" w:eastAsiaTheme="minorEastAsia"/>
          <w:bCs/>
          <w:sz w:val="24"/>
        </w:rPr>
        <w:t>日内未予答复的，则此类口头指示视为已被监理人确认。</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2.4.6</w:t>
      </w:r>
      <w:r>
        <w:rPr>
          <w:rFonts w:hint="eastAsia" w:asciiTheme="minorEastAsia" w:hAnsiTheme="minorEastAsia" w:eastAsiaTheme="minorEastAsia"/>
          <w:bCs/>
          <w:sz w:val="24"/>
        </w:rPr>
        <w:t>由于监理人指示错误、指示延误或未能在合同约定的时间内给出书面澄清、解答、决定，并且这种行为已经或将要导致工程的进展受到影响，承包人应就此通知监理人并陈述工程进展受到影响的原因，及已经或可能造成的影响。监理人在收到此类通知和核实证明承包人的损失并报委托人批准之后决定。</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2.4.7</w:t>
      </w:r>
      <w:r>
        <w:rPr>
          <w:rFonts w:hint="eastAsia" w:asciiTheme="minorEastAsia" w:hAnsiTheme="minorEastAsia" w:eastAsiaTheme="minorEastAsia"/>
          <w:bCs/>
          <w:sz w:val="24"/>
        </w:rPr>
        <w:t>监理人应按施工承包合同中约定的时间，对承包人呈报给监理人的任何需其批复的函件、文件、要求等做出书面批复。如果监理人未能在上述约定的时间内对呈报的函件、文件、要求等给予书面批复，承包人应立即以书面形式要求监理人予以批准；如果承包人发出书面要求后</w:t>
      </w:r>
      <w:r>
        <w:rPr>
          <w:rFonts w:asciiTheme="minorEastAsia" w:hAnsiTheme="minorEastAsia" w:eastAsiaTheme="minorEastAsia"/>
          <w:bCs/>
          <w:sz w:val="24"/>
        </w:rPr>
        <w:t>3</w:t>
      </w:r>
      <w:r>
        <w:rPr>
          <w:rFonts w:hint="eastAsia" w:asciiTheme="minorEastAsia" w:hAnsiTheme="minorEastAsia" w:eastAsiaTheme="minorEastAsia"/>
          <w:bCs/>
          <w:sz w:val="24"/>
        </w:rPr>
        <w:t>日内未被监理人以书面形式拒绝，则视为监理人已对承包人所呈报的上述函件、文件、要求等已批准和确认。</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2.4.8</w:t>
      </w:r>
      <w:r>
        <w:rPr>
          <w:rFonts w:hint="eastAsia" w:asciiTheme="minorEastAsia" w:hAnsiTheme="minorEastAsia" w:eastAsiaTheme="minorEastAsia"/>
          <w:bCs/>
          <w:sz w:val="24"/>
        </w:rPr>
        <w:t>如果施工承包合同中未约定监理人应当做出上述任何批复、澄清、解答或决定的时间期限，承包人应在呈报上述有关函件、文件、要求等的同时就监理人的批复、澄清、解答或决定的时间提出一个合理时限</w:t>
      </w:r>
      <w:r>
        <w:rPr>
          <w:rFonts w:asciiTheme="minorEastAsia" w:hAnsiTheme="minorEastAsia" w:eastAsiaTheme="minorEastAsia"/>
          <w:bCs/>
          <w:sz w:val="24"/>
        </w:rPr>
        <w:t>(</w:t>
      </w:r>
      <w:r>
        <w:rPr>
          <w:rFonts w:hint="eastAsia" w:asciiTheme="minorEastAsia" w:hAnsiTheme="minorEastAsia" w:eastAsiaTheme="minorEastAsia"/>
          <w:bCs/>
          <w:sz w:val="24"/>
        </w:rPr>
        <w:t>但最多不超过</w:t>
      </w:r>
      <w:r>
        <w:rPr>
          <w:rFonts w:asciiTheme="minorEastAsia" w:hAnsiTheme="minorEastAsia" w:eastAsiaTheme="minorEastAsia"/>
          <w:bCs/>
          <w:sz w:val="24"/>
        </w:rPr>
        <w:t>21</w:t>
      </w:r>
      <w:r>
        <w:rPr>
          <w:rFonts w:hint="eastAsia" w:asciiTheme="minorEastAsia" w:hAnsiTheme="minorEastAsia" w:eastAsiaTheme="minorEastAsia"/>
          <w:bCs/>
          <w:sz w:val="24"/>
        </w:rPr>
        <w:t>天</w:t>
      </w:r>
      <w:r>
        <w:rPr>
          <w:rFonts w:asciiTheme="minorEastAsia" w:hAnsiTheme="minorEastAsia" w:eastAsiaTheme="minorEastAsia"/>
          <w:bCs/>
          <w:sz w:val="24"/>
        </w:rPr>
        <w:t>)</w:t>
      </w:r>
      <w:r>
        <w:rPr>
          <w:rFonts w:hint="eastAsia" w:asciiTheme="minorEastAsia" w:hAnsiTheme="minorEastAsia" w:eastAsiaTheme="minorEastAsia"/>
          <w:bCs/>
          <w:sz w:val="24"/>
        </w:rPr>
        <w:t>，如监理人未对该时限提出书面异议，则应视为该时限已被监理人接受，并受上述条款的约束。</w:t>
      </w:r>
    </w:p>
    <w:p>
      <w:pPr>
        <w:keepNext/>
        <w:keepLines/>
        <w:spacing w:line="288" w:lineRule="auto"/>
        <w:outlineLvl w:val="2"/>
        <w:rPr>
          <w:rFonts w:asciiTheme="minorEastAsia" w:hAnsiTheme="minorEastAsia" w:eastAsiaTheme="minorEastAsia"/>
          <w:b/>
          <w:sz w:val="24"/>
        </w:rPr>
      </w:pPr>
      <w:bookmarkStart w:id="1165" w:name="_Toc443898855"/>
      <w:bookmarkStart w:id="1166" w:name="_Toc496098769"/>
      <w:bookmarkStart w:id="1167" w:name="_Toc29684"/>
      <w:bookmarkStart w:id="1168" w:name="_Toc15666"/>
      <w:bookmarkStart w:id="1169" w:name="_Toc499311204"/>
      <w:bookmarkStart w:id="1170" w:name="_Toc499204989"/>
      <w:r>
        <w:rPr>
          <w:rFonts w:asciiTheme="minorEastAsia" w:hAnsiTheme="minorEastAsia" w:eastAsiaTheme="minorEastAsia"/>
          <w:b/>
          <w:sz w:val="24"/>
        </w:rPr>
        <w:t xml:space="preserve">2.5 </w:t>
      </w:r>
      <w:r>
        <w:rPr>
          <w:rFonts w:hint="eastAsia" w:asciiTheme="minorEastAsia" w:hAnsiTheme="minorEastAsia" w:eastAsiaTheme="minorEastAsia"/>
          <w:b/>
          <w:sz w:val="24"/>
        </w:rPr>
        <w:t>提交报告</w:t>
      </w:r>
      <w:bookmarkEnd w:id="1165"/>
      <w:bookmarkEnd w:id="1166"/>
      <w:bookmarkEnd w:id="1167"/>
      <w:bookmarkEnd w:id="1168"/>
      <w:bookmarkEnd w:id="1169"/>
      <w:bookmarkEnd w:id="1170"/>
    </w:p>
    <w:p>
      <w:pPr>
        <w:adjustRightInd w:val="0"/>
        <w:snapToGrid w:val="0"/>
        <w:spacing w:line="288" w:lineRule="auto"/>
        <w:ind w:firstLine="420"/>
        <w:rPr>
          <w:rFonts w:asciiTheme="minorEastAsia" w:hAnsiTheme="minorEastAsia" w:eastAsiaTheme="minorEastAsia"/>
          <w:bCs/>
          <w:sz w:val="24"/>
          <w:u w:val="single"/>
        </w:rPr>
      </w:pPr>
      <w:r>
        <w:rPr>
          <w:rFonts w:asciiTheme="minorEastAsia" w:hAnsiTheme="minorEastAsia" w:eastAsiaTheme="minorEastAsia"/>
          <w:bCs/>
          <w:sz w:val="24"/>
        </w:rPr>
        <w:t>监理人应提交报告的种类</w:t>
      </w:r>
      <w:r>
        <w:rPr>
          <w:rFonts w:hint="eastAsia" w:asciiTheme="minorEastAsia" w:hAnsiTheme="minorEastAsia" w:eastAsiaTheme="minorEastAsia"/>
          <w:bCs/>
          <w:sz w:val="24"/>
        </w:rPr>
        <w:t>（</w:t>
      </w:r>
      <w:r>
        <w:rPr>
          <w:rFonts w:asciiTheme="minorEastAsia" w:hAnsiTheme="minorEastAsia" w:eastAsiaTheme="minorEastAsia"/>
          <w:bCs/>
          <w:kern w:val="0"/>
          <w:sz w:val="24"/>
        </w:rPr>
        <w:t>包括监理规划、监理月报及约定的专项报告</w:t>
      </w:r>
      <w:r>
        <w:rPr>
          <w:rFonts w:hint="eastAsia" w:asciiTheme="minorEastAsia" w:hAnsiTheme="minorEastAsia" w:eastAsiaTheme="minorEastAsia"/>
          <w:bCs/>
          <w:kern w:val="0"/>
          <w:sz w:val="24"/>
        </w:rPr>
        <w:t>）</w:t>
      </w:r>
      <w:r>
        <w:rPr>
          <w:rFonts w:asciiTheme="minorEastAsia" w:hAnsiTheme="minorEastAsia" w:eastAsiaTheme="minorEastAsia"/>
          <w:bCs/>
          <w:sz w:val="24"/>
        </w:rPr>
        <w:t>、时间和份数</w:t>
      </w:r>
      <w:r>
        <w:rPr>
          <w:rFonts w:asciiTheme="minorEastAsia" w:hAnsiTheme="minorEastAsia" w:eastAsiaTheme="minorEastAsia"/>
          <w:bCs/>
          <w:kern w:val="0"/>
          <w:sz w:val="24"/>
        </w:rPr>
        <w:t>：</w:t>
      </w:r>
      <w:r>
        <w:rPr>
          <w:rFonts w:hint="eastAsia" w:asciiTheme="minorEastAsia" w:hAnsiTheme="minorEastAsia" w:eastAsiaTheme="minorEastAsia"/>
          <w:bCs/>
          <w:sz w:val="24"/>
          <w:u w:val="single"/>
        </w:rPr>
        <w:t>按照委托人相关管理办法执行</w:t>
      </w:r>
      <w:r>
        <w:rPr>
          <w:rFonts w:asciiTheme="minorEastAsia" w:hAnsiTheme="minorEastAsia" w:eastAsiaTheme="minorEastAsia"/>
          <w:bCs/>
          <w:sz w:val="24"/>
        </w:rPr>
        <w:t>。</w:t>
      </w:r>
    </w:p>
    <w:p>
      <w:pPr>
        <w:keepNext/>
        <w:keepLines/>
        <w:spacing w:line="288" w:lineRule="auto"/>
        <w:outlineLvl w:val="2"/>
        <w:rPr>
          <w:rFonts w:asciiTheme="minorEastAsia" w:hAnsiTheme="minorEastAsia" w:eastAsiaTheme="minorEastAsia"/>
          <w:b/>
          <w:sz w:val="24"/>
        </w:rPr>
      </w:pPr>
      <w:bookmarkStart w:id="1171" w:name="_Toc499311205"/>
      <w:bookmarkStart w:id="1172" w:name="_Toc5879"/>
      <w:bookmarkStart w:id="1173" w:name="_Toc499204990"/>
      <w:bookmarkStart w:id="1174" w:name="_Toc10762"/>
      <w:bookmarkStart w:id="1175" w:name="_Toc443898856"/>
      <w:bookmarkStart w:id="1176" w:name="_Toc496098770"/>
      <w:r>
        <w:rPr>
          <w:rFonts w:asciiTheme="minorEastAsia" w:hAnsiTheme="minorEastAsia" w:eastAsiaTheme="minorEastAsia"/>
          <w:b/>
          <w:sz w:val="24"/>
        </w:rPr>
        <w:t xml:space="preserve">2.7 </w:t>
      </w:r>
      <w:r>
        <w:rPr>
          <w:rFonts w:hint="eastAsia" w:asciiTheme="minorEastAsia" w:hAnsiTheme="minorEastAsia" w:eastAsiaTheme="minorEastAsia"/>
          <w:b/>
          <w:sz w:val="24"/>
        </w:rPr>
        <w:t>使用委托人的财产</w:t>
      </w:r>
      <w:bookmarkEnd w:id="1171"/>
      <w:bookmarkEnd w:id="1172"/>
      <w:bookmarkEnd w:id="1173"/>
      <w:bookmarkEnd w:id="1174"/>
      <w:bookmarkEnd w:id="1175"/>
      <w:bookmarkEnd w:id="1176"/>
    </w:p>
    <w:p>
      <w:pPr>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sz w:val="24"/>
        </w:rPr>
        <w:t>附录B中由委托人无偿提供的房屋、设备</w:t>
      </w:r>
      <w:r>
        <w:rPr>
          <w:rFonts w:hint="eastAsia" w:asciiTheme="minorEastAsia" w:hAnsiTheme="minorEastAsia" w:eastAsiaTheme="minorEastAsia"/>
          <w:bCs/>
          <w:sz w:val="24"/>
        </w:rPr>
        <w:t>等</w:t>
      </w:r>
      <w:r>
        <w:rPr>
          <w:rFonts w:asciiTheme="minorEastAsia" w:hAnsiTheme="minorEastAsia" w:eastAsiaTheme="minorEastAsia"/>
          <w:bCs/>
          <w:sz w:val="24"/>
        </w:rPr>
        <w:t>的所有权属于：</w:t>
      </w:r>
      <w:r>
        <w:rPr>
          <w:rFonts w:hint="eastAsia" w:asciiTheme="minorEastAsia" w:hAnsiTheme="minorEastAsia" w:eastAsiaTheme="minorEastAsia"/>
          <w:bCs/>
          <w:sz w:val="24"/>
          <w:u w:val="single"/>
        </w:rPr>
        <w:t xml:space="preserve">委托人 </w:t>
      </w:r>
      <w:r>
        <w:rPr>
          <w:rFonts w:asciiTheme="minorEastAsia" w:hAnsiTheme="minorEastAsia" w:eastAsiaTheme="minorEastAsia"/>
          <w:bCs/>
          <w:sz w:val="24"/>
        </w:rPr>
        <w:t>。</w:t>
      </w:r>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监理人应在本合同终止</w:t>
      </w:r>
      <w:r>
        <w:rPr>
          <w:rFonts w:hint="eastAsia" w:asciiTheme="minorEastAsia" w:hAnsiTheme="minorEastAsia" w:eastAsiaTheme="minorEastAsia"/>
          <w:bCs/>
          <w:sz w:val="24"/>
        </w:rPr>
        <w:t>时</w:t>
      </w:r>
      <w:r>
        <w:rPr>
          <w:rFonts w:asciiTheme="minorEastAsia" w:hAnsiTheme="minorEastAsia" w:eastAsiaTheme="minorEastAsia"/>
          <w:bCs/>
          <w:sz w:val="24"/>
        </w:rPr>
        <w:t>移交委托人无偿提供的房屋、设备，移交的时间和方式为</w:t>
      </w:r>
      <w:r>
        <w:rPr>
          <w:rFonts w:hint="eastAsia" w:asciiTheme="minorEastAsia" w:hAnsiTheme="minorEastAsia" w:eastAsiaTheme="minorEastAsia"/>
          <w:bCs/>
          <w:sz w:val="24"/>
        </w:rPr>
        <w:t>：</w:t>
      </w:r>
      <w:r>
        <w:rPr>
          <w:rFonts w:asciiTheme="minorEastAsia" w:hAnsiTheme="minorEastAsia" w:eastAsiaTheme="minorEastAsia"/>
          <w:bCs/>
          <w:sz w:val="24"/>
        </w:rPr>
        <w:t>在本合同终止</w:t>
      </w:r>
      <w:r>
        <w:rPr>
          <w:rFonts w:hint="eastAsia" w:asciiTheme="minorEastAsia" w:hAnsiTheme="minorEastAsia" w:eastAsiaTheme="minorEastAsia"/>
          <w:bCs/>
          <w:sz w:val="24"/>
        </w:rPr>
        <w:t>日，按照无偿提供时的清单全部归还移交个委托人</w:t>
      </w:r>
      <w:r>
        <w:rPr>
          <w:rFonts w:asciiTheme="minorEastAsia" w:hAnsiTheme="minorEastAsia" w:eastAsiaTheme="minorEastAsia"/>
          <w:bCs/>
          <w:sz w:val="24"/>
        </w:rPr>
        <w:t>。</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补充约定：</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监理人有义务妥善使用、保管委托人提供的设施、设备及物品，对于由于监理人的原因造成的非正常损毁与短缺，监理人负有全面的赔偿责任。</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监理人使用、保管、和移交委托人财产所需的费用，应当包含在监理人的正常监理服务收费之中。</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监理人应将所有依据合同发出或收到的函件复制给委托人。</w:t>
      </w:r>
    </w:p>
    <w:p>
      <w:pPr>
        <w:adjustRightInd w:val="0"/>
        <w:snapToGrid w:val="0"/>
        <w:spacing w:line="288" w:lineRule="auto"/>
        <w:rPr>
          <w:rFonts w:asciiTheme="minorEastAsia" w:hAnsiTheme="minorEastAsia" w:eastAsiaTheme="minorEastAsia"/>
          <w:bCs/>
          <w:sz w:val="24"/>
        </w:rPr>
      </w:pPr>
      <w:r>
        <w:rPr>
          <w:rFonts w:hint="eastAsia" w:asciiTheme="minorEastAsia" w:hAnsiTheme="minorEastAsia" w:eastAsiaTheme="minorEastAsia"/>
          <w:sz w:val="24"/>
        </w:rPr>
        <w:t>2.8 监理人在领取中标通知书时须向招标代理机构缴纳代理服务费壹拾万元整。</w:t>
      </w:r>
    </w:p>
    <w:p>
      <w:pPr>
        <w:keepNext/>
        <w:keepLines/>
        <w:spacing w:beforeLines="50" w:afterLines="50" w:line="288" w:lineRule="auto"/>
        <w:outlineLvl w:val="1"/>
        <w:rPr>
          <w:rFonts w:asciiTheme="minorEastAsia" w:hAnsiTheme="minorEastAsia" w:eastAsiaTheme="minorEastAsia"/>
          <w:b/>
          <w:bCs/>
          <w:sz w:val="24"/>
        </w:rPr>
      </w:pPr>
      <w:bookmarkStart w:id="1177" w:name="_Toc14631"/>
      <w:bookmarkStart w:id="1178" w:name="_Toc496098771"/>
      <w:bookmarkStart w:id="1179" w:name="_Toc443898857"/>
      <w:r>
        <w:rPr>
          <w:rFonts w:asciiTheme="minorEastAsia" w:hAnsiTheme="minorEastAsia" w:eastAsiaTheme="minorEastAsia"/>
          <w:b/>
          <w:bCs/>
          <w:sz w:val="24"/>
        </w:rPr>
        <w:t xml:space="preserve">3. </w:t>
      </w:r>
      <w:r>
        <w:rPr>
          <w:rFonts w:hint="eastAsia" w:asciiTheme="minorEastAsia" w:hAnsiTheme="minorEastAsia" w:eastAsiaTheme="minorEastAsia"/>
          <w:b/>
          <w:bCs/>
          <w:sz w:val="24"/>
        </w:rPr>
        <w:t>委托人权利义务</w:t>
      </w:r>
      <w:bookmarkEnd w:id="1177"/>
      <w:bookmarkEnd w:id="1178"/>
      <w:bookmarkEnd w:id="1179"/>
    </w:p>
    <w:p>
      <w:pPr>
        <w:keepNext/>
        <w:keepLines/>
        <w:spacing w:line="288" w:lineRule="auto"/>
        <w:outlineLvl w:val="2"/>
        <w:rPr>
          <w:rFonts w:asciiTheme="minorEastAsia" w:hAnsiTheme="minorEastAsia" w:eastAsiaTheme="minorEastAsia"/>
          <w:b/>
          <w:sz w:val="24"/>
        </w:rPr>
      </w:pPr>
      <w:bookmarkStart w:id="1180" w:name="_Toc443898858"/>
      <w:bookmarkStart w:id="1181" w:name="_Toc499204992"/>
      <w:bookmarkStart w:id="1182" w:name="_Toc496098772"/>
      <w:bookmarkStart w:id="1183" w:name="_Toc499311207"/>
      <w:bookmarkStart w:id="1184" w:name="_Toc6009"/>
      <w:bookmarkStart w:id="1185" w:name="_Toc31270"/>
      <w:r>
        <w:rPr>
          <w:rFonts w:asciiTheme="minorEastAsia" w:hAnsiTheme="minorEastAsia" w:eastAsiaTheme="minorEastAsia"/>
          <w:b/>
          <w:sz w:val="24"/>
        </w:rPr>
        <w:t xml:space="preserve">3.4 </w:t>
      </w:r>
      <w:r>
        <w:rPr>
          <w:rFonts w:hint="eastAsia" w:asciiTheme="minorEastAsia" w:hAnsiTheme="minorEastAsia" w:eastAsiaTheme="minorEastAsia"/>
          <w:b/>
          <w:sz w:val="24"/>
        </w:rPr>
        <w:t>委托人代表</w:t>
      </w:r>
      <w:bookmarkEnd w:id="1180"/>
      <w:bookmarkEnd w:id="1181"/>
      <w:bookmarkEnd w:id="1182"/>
      <w:bookmarkEnd w:id="1183"/>
      <w:bookmarkEnd w:id="1184"/>
      <w:bookmarkEnd w:id="1185"/>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委托人代表为：。</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委托人代表在授权范围内受理与委托人有关的所有通知、指示、同意、批准、证书、决定及其他通讯联络。</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对于本合同而言，经委托人任命并且监理人已收到相应书面通知的委托人代表，应是委托人的合法代理人。</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除非合同中己注明委托人代表的姓名，否则委托人应在合同生效后7天内将其任命的委托人代表的姓名及其它详细资料通知监理人。</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委托人根据需要可能随时更换其代表，更换后应书面通知监理人，同时明确前任到期时间及新任开始时间；在他们收到相应通知之前，任何对委托人代表的任命或更换均不产生合同效力。</w:t>
      </w:r>
    </w:p>
    <w:p>
      <w:pPr>
        <w:keepNext/>
        <w:keepLines/>
        <w:spacing w:line="288" w:lineRule="auto"/>
        <w:outlineLvl w:val="2"/>
        <w:rPr>
          <w:rFonts w:asciiTheme="minorEastAsia" w:hAnsiTheme="minorEastAsia" w:eastAsiaTheme="minorEastAsia"/>
          <w:b/>
          <w:sz w:val="24"/>
        </w:rPr>
      </w:pPr>
      <w:bookmarkStart w:id="1186" w:name="_Toc499311208"/>
      <w:bookmarkStart w:id="1187" w:name="_Toc496098773"/>
      <w:bookmarkStart w:id="1188" w:name="_Toc499204993"/>
      <w:bookmarkStart w:id="1189" w:name="_Toc9428"/>
      <w:bookmarkStart w:id="1190" w:name="_Toc7065"/>
      <w:bookmarkStart w:id="1191" w:name="_Toc443898859"/>
      <w:r>
        <w:rPr>
          <w:rFonts w:asciiTheme="minorEastAsia" w:hAnsiTheme="minorEastAsia" w:eastAsiaTheme="minorEastAsia"/>
          <w:b/>
          <w:sz w:val="24"/>
        </w:rPr>
        <w:t xml:space="preserve">3.6 </w:t>
      </w:r>
      <w:r>
        <w:rPr>
          <w:rFonts w:hint="eastAsia" w:asciiTheme="minorEastAsia" w:hAnsiTheme="minorEastAsia" w:eastAsiaTheme="minorEastAsia"/>
          <w:b/>
          <w:sz w:val="24"/>
        </w:rPr>
        <w:t>答复修改为：</w:t>
      </w:r>
      <w:bookmarkEnd w:id="1186"/>
      <w:bookmarkEnd w:id="1187"/>
      <w:bookmarkEnd w:id="1188"/>
      <w:bookmarkEnd w:id="1189"/>
      <w:bookmarkEnd w:id="1190"/>
      <w:bookmarkEnd w:id="1191"/>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委托人同意在</w:t>
      </w:r>
      <w:r>
        <w:rPr>
          <w:rFonts w:asciiTheme="minorEastAsia" w:hAnsiTheme="minorEastAsia" w:eastAsiaTheme="minorEastAsia"/>
          <w:bCs/>
          <w:sz w:val="24"/>
          <w:u w:val="single"/>
        </w:rPr>
        <w:t>7</w:t>
      </w:r>
      <w:r>
        <w:rPr>
          <w:rFonts w:asciiTheme="minorEastAsia" w:hAnsiTheme="minorEastAsia" w:eastAsiaTheme="minorEastAsia"/>
          <w:bCs/>
          <w:sz w:val="24"/>
        </w:rPr>
        <w:t>天内，对监理人书面提交并要求做出决定的事宜给予书面答复。</w:t>
      </w:r>
      <w:r>
        <w:rPr>
          <w:rFonts w:hint="eastAsia" w:asciiTheme="minorEastAsia" w:hAnsiTheme="minorEastAsia" w:eastAsiaTheme="minorEastAsia"/>
          <w:sz w:val="24"/>
        </w:rPr>
        <w:t>若因相关事宜情况复杂无法在7天内作出答复的，经书面通知监理人，委托人可以适当延长答复期限。</w:t>
      </w:r>
      <w:r>
        <w:rPr>
          <w:rFonts w:hint="eastAsia" w:asciiTheme="minorEastAsia" w:hAnsiTheme="minorEastAsia" w:eastAsiaTheme="minorEastAsia"/>
          <w:bCs/>
          <w:sz w:val="24"/>
        </w:rPr>
        <w:t>超过延长期限仍未答复的，监理人应催告委托人及时答复。</w:t>
      </w:r>
    </w:p>
    <w:p>
      <w:pPr>
        <w:adjustRightInd w:val="0"/>
        <w:snapToGrid w:val="0"/>
        <w:spacing w:line="288" w:lineRule="auto"/>
        <w:ind w:firstLine="422"/>
        <w:rPr>
          <w:rFonts w:asciiTheme="minorEastAsia" w:hAnsiTheme="minorEastAsia" w:eastAsiaTheme="minorEastAsia"/>
          <w:b/>
          <w:bCs/>
          <w:sz w:val="24"/>
        </w:rPr>
      </w:pPr>
      <w:r>
        <w:rPr>
          <w:rFonts w:hint="eastAsia" w:asciiTheme="minorEastAsia" w:hAnsiTheme="minorEastAsia" w:eastAsiaTheme="minorEastAsia"/>
          <w:b/>
          <w:bCs/>
          <w:sz w:val="24"/>
        </w:rPr>
        <w:t>第</w:t>
      </w:r>
      <w:r>
        <w:rPr>
          <w:rFonts w:asciiTheme="minorEastAsia" w:hAnsiTheme="minorEastAsia" w:eastAsiaTheme="minorEastAsia"/>
          <w:b/>
          <w:bCs/>
          <w:sz w:val="24"/>
        </w:rPr>
        <w:t>3</w:t>
      </w:r>
      <w:r>
        <w:rPr>
          <w:rFonts w:hint="eastAsia" w:asciiTheme="minorEastAsia" w:hAnsiTheme="minorEastAsia" w:eastAsiaTheme="minorEastAsia"/>
          <w:b/>
          <w:bCs/>
          <w:sz w:val="24"/>
        </w:rPr>
        <w:t>条新增如下约定：</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3.8委托人有权按照相关考核办法对监理人进行履约检查，如监理人不能满足合同约定，有权责令改进，并有按照相关条款索取违约赔偿金的权利。</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3.9委托人按照相关考核办法对监理人作业人员的工作能力和业务水平</w:t>
      </w:r>
      <w:r>
        <w:rPr>
          <w:rFonts w:hint="eastAsia" w:asciiTheme="minorEastAsia" w:hAnsiTheme="minorEastAsia" w:eastAsiaTheme="minorEastAsia"/>
          <w:bCs/>
          <w:sz w:val="24"/>
        </w:rPr>
        <w:t>进行</w:t>
      </w:r>
      <w:r>
        <w:rPr>
          <w:rFonts w:asciiTheme="minorEastAsia" w:hAnsiTheme="minorEastAsia" w:eastAsiaTheme="minorEastAsia"/>
          <w:bCs/>
          <w:sz w:val="24"/>
        </w:rPr>
        <w:t>考核，对于无法胜任监理任务的作业人员，委托人有权提出更换，监理人</w:t>
      </w:r>
      <w:r>
        <w:rPr>
          <w:rFonts w:hint="eastAsia" w:asciiTheme="minorEastAsia" w:hAnsiTheme="minorEastAsia" w:eastAsiaTheme="minorEastAsia"/>
          <w:bCs/>
          <w:sz w:val="24"/>
        </w:rPr>
        <w:t>必</w:t>
      </w:r>
      <w:r>
        <w:rPr>
          <w:rFonts w:asciiTheme="minorEastAsia" w:hAnsiTheme="minorEastAsia" w:eastAsiaTheme="minorEastAsia"/>
          <w:bCs/>
          <w:sz w:val="24"/>
        </w:rPr>
        <w:t>须予以执行。</w:t>
      </w:r>
    </w:p>
    <w:p>
      <w:pPr>
        <w:adjustRightInd w:val="0"/>
        <w:snapToGrid w:val="0"/>
        <w:spacing w:line="288" w:lineRule="auto"/>
        <w:ind w:firstLine="420"/>
        <w:rPr>
          <w:rFonts w:asciiTheme="minorEastAsia" w:hAnsiTheme="minorEastAsia" w:eastAsiaTheme="minorEastAsia"/>
          <w:sz w:val="24"/>
        </w:rPr>
      </w:pPr>
      <w:r>
        <w:rPr>
          <w:rFonts w:asciiTheme="minorEastAsia" w:hAnsiTheme="minorEastAsia" w:eastAsiaTheme="minorEastAsia"/>
          <w:bCs/>
          <w:sz w:val="24"/>
        </w:rPr>
        <w:t>3.10监理人无法继续履行或明确表示不履行或实质上已停止履行监理合同时，</w:t>
      </w:r>
      <w:r>
        <w:rPr>
          <w:rFonts w:hint="eastAsia" w:asciiTheme="minorEastAsia" w:hAnsiTheme="minorEastAsia" w:eastAsiaTheme="minorEastAsia"/>
          <w:bCs/>
          <w:sz w:val="24"/>
        </w:rPr>
        <w:t>委托人有权通知监理人解除本合同，合同自委托人解除合同通知送达监理人时解除。本合同解除后</w:t>
      </w:r>
      <w:r>
        <w:rPr>
          <w:rFonts w:asciiTheme="minorEastAsia" w:hAnsiTheme="minorEastAsia" w:eastAsiaTheme="minorEastAsia"/>
          <w:bCs/>
          <w:sz w:val="24"/>
        </w:rPr>
        <w:t>委托人可将本合同范围内的部分或全部</w:t>
      </w:r>
      <w:r>
        <w:rPr>
          <w:rFonts w:hint="eastAsia" w:asciiTheme="minorEastAsia" w:hAnsiTheme="minorEastAsia" w:eastAsiaTheme="minorEastAsia"/>
          <w:bCs/>
          <w:sz w:val="24"/>
        </w:rPr>
        <w:t>剩余</w:t>
      </w:r>
      <w:r>
        <w:rPr>
          <w:rFonts w:asciiTheme="minorEastAsia" w:hAnsiTheme="minorEastAsia" w:eastAsiaTheme="minorEastAsia"/>
          <w:bCs/>
          <w:sz w:val="24"/>
        </w:rPr>
        <w:t>工作委托其他</w:t>
      </w:r>
      <w:r>
        <w:rPr>
          <w:rFonts w:hint="eastAsia" w:asciiTheme="minorEastAsia" w:hAnsiTheme="minorEastAsia" w:eastAsiaTheme="minorEastAsia"/>
          <w:bCs/>
          <w:sz w:val="24"/>
        </w:rPr>
        <w:t>监理</w:t>
      </w:r>
      <w:r>
        <w:rPr>
          <w:rFonts w:asciiTheme="minorEastAsia" w:hAnsiTheme="minorEastAsia" w:eastAsiaTheme="minorEastAsia"/>
          <w:bCs/>
          <w:sz w:val="24"/>
        </w:rPr>
        <w:t>单位完成</w:t>
      </w:r>
      <w:r>
        <w:rPr>
          <w:rFonts w:hint="eastAsia" w:asciiTheme="minorEastAsia" w:hAnsiTheme="minorEastAsia" w:eastAsiaTheme="minorEastAsia"/>
          <w:bCs/>
          <w:sz w:val="24"/>
        </w:rPr>
        <w:t>，因另行委托其他监理单位导致本合同约定工程监理费用增加的，增加部分的监理费用由监理人承担，委托人有权从应付监理人监理费中直接扣除。</w:t>
      </w:r>
    </w:p>
    <w:p>
      <w:pPr>
        <w:keepNext/>
        <w:keepLines/>
        <w:spacing w:beforeLines="50" w:afterLines="50" w:line="288" w:lineRule="auto"/>
        <w:outlineLvl w:val="1"/>
        <w:rPr>
          <w:rFonts w:asciiTheme="minorEastAsia" w:hAnsiTheme="minorEastAsia" w:eastAsiaTheme="minorEastAsia"/>
          <w:b/>
          <w:bCs/>
          <w:sz w:val="24"/>
        </w:rPr>
      </w:pPr>
      <w:bookmarkStart w:id="1192" w:name="_Toc29109"/>
      <w:bookmarkStart w:id="1193" w:name="_Toc496098774"/>
      <w:bookmarkStart w:id="1194" w:name="_Toc443898860"/>
      <w:r>
        <w:rPr>
          <w:rFonts w:asciiTheme="minorEastAsia" w:hAnsiTheme="minorEastAsia" w:eastAsiaTheme="minorEastAsia"/>
          <w:b/>
          <w:bCs/>
          <w:sz w:val="24"/>
        </w:rPr>
        <w:t xml:space="preserve">4. </w:t>
      </w:r>
      <w:r>
        <w:rPr>
          <w:rFonts w:hint="eastAsia" w:asciiTheme="minorEastAsia" w:hAnsiTheme="minorEastAsia" w:eastAsiaTheme="minorEastAsia"/>
          <w:b/>
          <w:bCs/>
          <w:sz w:val="24"/>
        </w:rPr>
        <w:t>违约责任</w:t>
      </w:r>
      <w:bookmarkEnd w:id="1192"/>
      <w:bookmarkEnd w:id="1193"/>
      <w:bookmarkEnd w:id="1194"/>
    </w:p>
    <w:p>
      <w:pPr>
        <w:keepNext/>
        <w:keepLines/>
        <w:spacing w:line="288" w:lineRule="auto"/>
        <w:outlineLvl w:val="2"/>
        <w:rPr>
          <w:rFonts w:asciiTheme="minorEastAsia" w:hAnsiTheme="minorEastAsia" w:eastAsiaTheme="minorEastAsia"/>
          <w:b/>
          <w:sz w:val="24"/>
        </w:rPr>
      </w:pPr>
      <w:bookmarkStart w:id="1195" w:name="_Toc8837"/>
      <w:bookmarkStart w:id="1196" w:name="_Toc499311210"/>
      <w:bookmarkStart w:id="1197" w:name="_Toc499204995"/>
      <w:bookmarkStart w:id="1198" w:name="_Toc443898861"/>
      <w:bookmarkStart w:id="1199" w:name="_Toc496098775"/>
      <w:bookmarkStart w:id="1200" w:name="_Toc21668"/>
      <w:r>
        <w:rPr>
          <w:rFonts w:asciiTheme="minorEastAsia" w:hAnsiTheme="minorEastAsia" w:eastAsiaTheme="minorEastAsia"/>
          <w:b/>
          <w:sz w:val="24"/>
        </w:rPr>
        <w:t xml:space="preserve">4.1 </w:t>
      </w:r>
      <w:r>
        <w:rPr>
          <w:rFonts w:hint="eastAsia" w:asciiTheme="minorEastAsia" w:hAnsiTheme="minorEastAsia" w:eastAsiaTheme="minorEastAsia"/>
          <w:b/>
          <w:sz w:val="24"/>
        </w:rPr>
        <w:t>监理人的违约责任</w:t>
      </w:r>
      <w:bookmarkEnd w:id="1195"/>
      <w:bookmarkEnd w:id="1196"/>
      <w:bookmarkEnd w:id="1197"/>
      <w:bookmarkEnd w:id="1198"/>
      <w:bookmarkEnd w:id="1199"/>
      <w:bookmarkEnd w:id="1200"/>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4.1.1监理人赔偿金额按下列方法确定：</w:t>
      </w:r>
    </w:p>
    <w:p>
      <w:pPr>
        <w:adjustRightInd w:val="0"/>
        <w:snapToGrid w:val="0"/>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监理人应按照因其违约给委托人造成的全部经济损失向委托人赔偿；损失无法计算的，如果本合同对具体的违约情形约定有违约金的，监理人应支付违约金。</w:t>
      </w:r>
    </w:p>
    <w:p>
      <w:pPr>
        <w:adjustRightInd w:val="0"/>
        <w:snapToGrid w:val="0"/>
        <w:spacing w:line="288" w:lineRule="auto"/>
        <w:ind w:firstLine="422"/>
        <w:rPr>
          <w:rFonts w:asciiTheme="minorEastAsia" w:hAnsiTheme="minorEastAsia" w:eastAsiaTheme="minorEastAsia"/>
          <w:bCs/>
          <w:kern w:val="0"/>
          <w:sz w:val="24"/>
        </w:rPr>
      </w:pPr>
      <w:r>
        <w:rPr>
          <w:rFonts w:hint="eastAsia" w:asciiTheme="minorEastAsia" w:hAnsiTheme="minorEastAsia" w:eastAsiaTheme="minorEastAsia"/>
          <w:b/>
          <w:bCs/>
          <w:sz w:val="24"/>
        </w:rPr>
        <w:t>第</w:t>
      </w:r>
      <w:r>
        <w:rPr>
          <w:rFonts w:asciiTheme="minorEastAsia" w:hAnsiTheme="minorEastAsia" w:eastAsiaTheme="minorEastAsia"/>
          <w:b/>
          <w:bCs/>
          <w:sz w:val="24"/>
        </w:rPr>
        <w:t>4.1</w:t>
      </w:r>
      <w:r>
        <w:rPr>
          <w:rFonts w:hint="eastAsia" w:asciiTheme="minorEastAsia" w:hAnsiTheme="minorEastAsia" w:eastAsiaTheme="minorEastAsia"/>
          <w:b/>
          <w:bCs/>
          <w:sz w:val="24"/>
        </w:rPr>
        <w:t>款新增如下约定：</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4.1.3违约金补充约定</w:t>
      </w:r>
      <w:r>
        <w:rPr>
          <w:rFonts w:hint="eastAsia" w:asciiTheme="minorEastAsia" w:hAnsiTheme="minorEastAsia" w:eastAsiaTheme="minorEastAsia"/>
          <w:bCs/>
          <w:kern w:val="0"/>
          <w:sz w:val="24"/>
        </w:rPr>
        <w:t>（监理合同金额在1000万元及以上的，违约金金额按下述条款执行，监理合同金额在1000万元以下的，违约金金额按下述条款规定金额的50%执行）</w:t>
      </w:r>
    </w:p>
    <w:p>
      <w:pPr>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（1）监理人更换项目管理机构人员，须</w:t>
      </w:r>
      <w:r>
        <w:rPr>
          <w:rFonts w:asciiTheme="minorEastAsia" w:hAnsiTheme="minorEastAsia" w:eastAsiaTheme="minorEastAsia"/>
          <w:bCs/>
          <w:sz w:val="24"/>
        </w:rPr>
        <w:t>经委托人同意</w:t>
      </w:r>
      <w:r>
        <w:rPr>
          <w:rFonts w:hint="eastAsia" w:asciiTheme="minorEastAsia" w:hAnsiTheme="minorEastAsia" w:eastAsiaTheme="minorEastAsia"/>
          <w:bCs/>
          <w:sz w:val="24"/>
        </w:rPr>
        <w:t>，并按下列标准向委托人支付违约金：总监理工程师、总监理工程师代表</w:t>
      </w:r>
      <w:r>
        <w:rPr>
          <w:rFonts w:asciiTheme="minorEastAsia" w:hAnsiTheme="minorEastAsia" w:eastAsiaTheme="minorEastAsia"/>
          <w:bCs/>
          <w:sz w:val="24"/>
        </w:rPr>
        <w:t>为</w:t>
      </w:r>
      <w:r>
        <w:rPr>
          <w:rFonts w:hint="eastAsia" w:asciiTheme="minorEastAsia" w:hAnsiTheme="minorEastAsia" w:eastAsiaTheme="minorEastAsia"/>
          <w:bCs/>
          <w:sz w:val="24"/>
        </w:rPr>
        <w:t>伍拾万</w:t>
      </w:r>
      <w:r>
        <w:rPr>
          <w:rFonts w:asciiTheme="minorEastAsia" w:hAnsiTheme="minorEastAsia" w:eastAsiaTheme="minorEastAsia"/>
          <w:bCs/>
          <w:sz w:val="24"/>
        </w:rPr>
        <w:t>元/人·次，</w:t>
      </w:r>
      <w:r>
        <w:rPr>
          <w:rFonts w:hint="eastAsia" w:asciiTheme="minorEastAsia" w:hAnsiTheme="minorEastAsia" w:eastAsiaTheme="minorEastAsia"/>
          <w:bCs/>
          <w:sz w:val="24"/>
        </w:rPr>
        <w:t>安全总监、合约工程师、</w:t>
      </w:r>
      <w:r>
        <w:rPr>
          <w:rFonts w:asciiTheme="minorEastAsia" w:hAnsiTheme="minorEastAsia" w:eastAsiaTheme="minorEastAsia"/>
          <w:bCs/>
          <w:sz w:val="24"/>
        </w:rPr>
        <w:t>试验检测工程师</w:t>
      </w:r>
      <w:r>
        <w:rPr>
          <w:rFonts w:hint="eastAsia" w:asciiTheme="minorEastAsia" w:hAnsiTheme="minorEastAsia" w:eastAsiaTheme="minorEastAsia"/>
          <w:bCs/>
          <w:sz w:val="24"/>
        </w:rPr>
        <w:t>、测量工程师为叁拾万</w:t>
      </w:r>
      <w:r>
        <w:rPr>
          <w:rFonts w:asciiTheme="minorEastAsia" w:hAnsiTheme="minorEastAsia" w:eastAsiaTheme="minorEastAsia"/>
          <w:bCs/>
          <w:sz w:val="24"/>
        </w:rPr>
        <w:t>元/人·次</w:t>
      </w:r>
      <w:r>
        <w:rPr>
          <w:rFonts w:hint="eastAsia" w:asciiTheme="minorEastAsia" w:hAnsiTheme="minorEastAsia" w:eastAsiaTheme="minorEastAsia"/>
          <w:bCs/>
          <w:sz w:val="24"/>
        </w:rPr>
        <w:t>，其他专业监理工程师为贰万</w:t>
      </w:r>
      <w:r>
        <w:rPr>
          <w:rFonts w:asciiTheme="minorEastAsia" w:hAnsiTheme="minorEastAsia" w:eastAsiaTheme="minorEastAsia"/>
          <w:bCs/>
          <w:sz w:val="24"/>
        </w:rPr>
        <w:t>元/人·次。</w:t>
      </w:r>
    </w:p>
    <w:p>
      <w:pPr>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2）</w:t>
      </w:r>
      <w:r>
        <w:rPr>
          <w:rFonts w:hint="eastAsia" w:asciiTheme="minorEastAsia" w:hAnsiTheme="minorEastAsia" w:eastAsiaTheme="minorEastAsia"/>
          <w:bCs/>
          <w:sz w:val="24"/>
        </w:rPr>
        <w:t>监理人未按照招标文件要求配置其他专业监理工程师的，委托人认为可以满足工程需要的，监理人应向委托人支付违约金，违约金标准为拾万</w:t>
      </w:r>
      <w:r>
        <w:rPr>
          <w:rFonts w:asciiTheme="minorEastAsia" w:hAnsiTheme="minorEastAsia" w:eastAsiaTheme="minorEastAsia"/>
          <w:bCs/>
          <w:sz w:val="24"/>
        </w:rPr>
        <w:t>元/人</w:t>
      </w:r>
      <w:r>
        <w:rPr>
          <w:rFonts w:hint="eastAsia" w:asciiTheme="minorEastAsia" w:hAnsiTheme="minorEastAsia" w:eastAsiaTheme="minorEastAsia"/>
          <w:bCs/>
          <w:sz w:val="24"/>
        </w:rPr>
        <w:t>；委托人认为不能满足工程需要的，可以解除合同。</w:t>
      </w:r>
    </w:p>
    <w:p>
      <w:pPr>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w:t>
      </w:r>
      <w:r>
        <w:rPr>
          <w:rFonts w:asciiTheme="minorEastAsia" w:hAnsiTheme="minorEastAsia" w:eastAsiaTheme="minorEastAsia"/>
          <w:bCs/>
          <w:kern w:val="0"/>
          <w:sz w:val="24"/>
        </w:rPr>
        <w:t>3）</w:t>
      </w:r>
      <w:r>
        <w:rPr>
          <w:rFonts w:hint="eastAsia" w:asciiTheme="minorEastAsia" w:hAnsiTheme="minorEastAsia" w:eastAsiaTheme="minorEastAsia"/>
          <w:bCs/>
          <w:kern w:val="0"/>
          <w:sz w:val="24"/>
        </w:rPr>
        <w:t>监理人人员不能胜任工作的，委托人可以要求限期更换，监理人应按要求更换合格人员，并承担本项第（1）目所约定的</w:t>
      </w:r>
      <w:r>
        <w:rPr>
          <w:rFonts w:hint="eastAsia" w:asciiTheme="minorEastAsia" w:hAnsiTheme="minorEastAsia" w:eastAsiaTheme="minorEastAsia"/>
          <w:bCs/>
          <w:sz w:val="24"/>
        </w:rPr>
        <w:t>违约金；</w:t>
      </w:r>
      <w:r>
        <w:rPr>
          <w:rFonts w:hint="eastAsia" w:asciiTheme="minorEastAsia" w:hAnsiTheme="minorEastAsia" w:eastAsiaTheme="minorEastAsia"/>
          <w:bCs/>
          <w:kern w:val="0"/>
          <w:sz w:val="24"/>
        </w:rPr>
        <w:t>监理人未按委托人要求更换的，视为擅自缺岗，按本项第（5）目的约定承担违约责任。</w:t>
      </w:r>
    </w:p>
    <w:p>
      <w:pPr>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4）若因监理人人员未按合同约定进场，每逾期到场一日，应按照以下标准向委托人支付违约金，违约金标准为：总监理工程师、总监理工程师代表、安全总监为壹万元/人·日，专业监理工程师为伍仟元/人·日；总监理工程师、总监理工程师代表、安全总监连续逾期7日未进场的，委托人有权通知监理人解除本合同，本合同自委托人解除合同通知送达监理人时解除，本合同解除后，委托人有权不予支付任何费用，同时监理人还应按照本合同约定的监理服务酬金总额的20%向委托人支付违约金。</w:t>
      </w:r>
    </w:p>
    <w:p>
      <w:pPr>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（5）监理人员</w:t>
      </w:r>
      <w:r>
        <w:rPr>
          <w:rFonts w:asciiTheme="minorEastAsia" w:hAnsiTheme="minorEastAsia" w:eastAsiaTheme="minorEastAsia"/>
          <w:bCs/>
          <w:kern w:val="0"/>
          <w:sz w:val="24"/>
        </w:rPr>
        <w:t>擅自</w:t>
      </w:r>
      <w:r>
        <w:rPr>
          <w:rFonts w:hint="eastAsia" w:asciiTheme="minorEastAsia" w:hAnsiTheme="minorEastAsia" w:eastAsiaTheme="minorEastAsia"/>
          <w:bCs/>
          <w:kern w:val="0"/>
          <w:sz w:val="24"/>
        </w:rPr>
        <w:t>缺岗</w:t>
      </w: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监理人应向委托人支付违约金，</w:t>
      </w:r>
      <w:r>
        <w:rPr>
          <w:rFonts w:asciiTheme="minorEastAsia" w:hAnsiTheme="minorEastAsia" w:eastAsiaTheme="minorEastAsia"/>
          <w:bCs/>
          <w:kern w:val="0"/>
          <w:sz w:val="24"/>
        </w:rPr>
        <w:t>违约金标准为：</w:t>
      </w:r>
      <w:r>
        <w:rPr>
          <w:rFonts w:hint="eastAsia" w:asciiTheme="minorEastAsia" w:hAnsiTheme="minorEastAsia" w:eastAsiaTheme="minorEastAsia"/>
          <w:bCs/>
          <w:kern w:val="0"/>
          <w:sz w:val="24"/>
        </w:rPr>
        <w:t>总监理工程师、总监理工程师代表</w:t>
      </w:r>
      <w:r>
        <w:rPr>
          <w:rFonts w:asciiTheme="minorEastAsia" w:hAnsiTheme="minorEastAsia" w:eastAsiaTheme="minorEastAsia"/>
          <w:bCs/>
          <w:kern w:val="0"/>
          <w:sz w:val="24"/>
        </w:rPr>
        <w:t>为</w:t>
      </w:r>
      <w:r>
        <w:rPr>
          <w:rFonts w:hint="eastAsia" w:asciiTheme="minorEastAsia" w:hAnsiTheme="minorEastAsia" w:eastAsiaTheme="minorEastAsia"/>
          <w:bCs/>
          <w:kern w:val="0"/>
          <w:sz w:val="24"/>
        </w:rPr>
        <w:t>陆仟</w:t>
      </w:r>
      <w:r>
        <w:rPr>
          <w:rFonts w:asciiTheme="minorEastAsia" w:hAnsiTheme="minorEastAsia" w:eastAsiaTheme="minorEastAsia"/>
          <w:bCs/>
          <w:kern w:val="0"/>
          <w:sz w:val="24"/>
        </w:rPr>
        <w:t>元/人·</w:t>
      </w:r>
      <w:r>
        <w:rPr>
          <w:rFonts w:hint="eastAsia" w:asciiTheme="minorEastAsia" w:hAnsiTheme="minorEastAsia" w:eastAsiaTheme="minorEastAsia"/>
          <w:bCs/>
          <w:kern w:val="0"/>
          <w:sz w:val="24"/>
        </w:rPr>
        <w:t>日</w:t>
      </w:r>
      <w:r>
        <w:rPr>
          <w:rFonts w:asciiTheme="minorEastAsia" w:hAnsiTheme="minorEastAsia" w:eastAsiaTheme="minorEastAsia"/>
          <w:bCs/>
          <w:kern w:val="0"/>
          <w:sz w:val="24"/>
        </w:rPr>
        <w:t>，</w:t>
      </w:r>
      <w:r>
        <w:rPr>
          <w:rFonts w:hint="eastAsia" w:asciiTheme="minorEastAsia" w:hAnsiTheme="minorEastAsia" w:eastAsiaTheme="minorEastAsia"/>
          <w:bCs/>
          <w:sz w:val="24"/>
        </w:rPr>
        <w:t>安全总监、合约计量工程师、</w:t>
      </w:r>
      <w:r>
        <w:rPr>
          <w:rFonts w:asciiTheme="minorEastAsia" w:hAnsiTheme="minorEastAsia" w:eastAsiaTheme="minorEastAsia"/>
          <w:bCs/>
          <w:sz w:val="24"/>
        </w:rPr>
        <w:t>试验检测工程师</w:t>
      </w:r>
      <w:r>
        <w:rPr>
          <w:rFonts w:hint="eastAsia" w:asciiTheme="minorEastAsia" w:hAnsiTheme="minorEastAsia" w:eastAsiaTheme="minorEastAsia"/>
          <w:bCs/>
          <w:sz w:val="24"/>
        </w:rPr>
        <w:t>、测量工程师为肆仟</w:t>
      </w:r>
      <w:r>
        <w:rPr>
          <w:rFonts w:asciiTheme="minorEastAsia" w:hAnsiTheme="minorEastAsia" w:eastAsiaTheme="minorEastAsia"/>
          <w:bCs/>
          <w:sz w:val="24"/>
        </w:rPr>
        <w:t>元/人·</w:t>
      </w:r>
      <w:r>
        <w:rPr>
          <w:rFonts w:hint="eastAsia" w:asciiTheme="minorEastAsia" w:hAnsiTheme="minorEastAsia" w:eastAsiaTheme="minorEastAsia"/>
          <w:bCs/>
          <w:sz w:val="24"/>
        </w:rPr>
        <w:t>日，其他专业监理工程师为叁仟</w:t>
      </w:r>
      <w:r>
        <w:rPr>
          <w:rFonts w:asciiTheme="minorEastAsia" w:hAnsiTheme="minorEastAsia" w:eastAsiaTheme="minorEastAsia"/>
          <w:bCs/>
          <w:sz w:val="24"/>
        </w:rPr>
        <w:t>元/人·</w:t>
      </w:r>
      <w:r>
        <w:rPr>
          <w:rFonts w:hint="eastAsia" w:asciiTheme="minorEastAsia" w:hAnsiTheme="minorEastAsia" w:eastAsiaTheme="minorEastAsia"/>
          <w:bCs/>
          <w:sz w:val="24"/>
        </w:rPr>
        <w:t>日</w:t>
      </w:r>
      <w:r>
        <w:rPr>
          <w:rFonts w:hint="eastAsia" w:asciiTheme="minorEastAsia" w:hAnsiTheme="minorEastAsia" w:eastAsiaTheme="minorEastAsia"/>
          <w:bCs/>
          <w:kern w:val="0"/>
          <w:sz w:val="24"/>
        </w:rPr>
        <w:t>。监理人员</w:t>
      </w:r>
      <w:r>
        <w:rPr>
          <w:rFonts w:asciiTheme="minorEastAsia" w:hAnsiTheme="minorEastAsia" w:eastAsiaTheme="minorEastAsia"/>
          <w:bCs/>
          <w:kern w:val="0"/>
          <w:sz w:val="24"/>
        </w:rPr>
        <w:t>擅自</w:t>
      </w:r>
      <w:r>
        <w:rPr>
          <w:rFonts w:hint="eastAsia" w:asciiTheme="minorEastAsia" w:hAnsiTheme="minorEastAsia" w:eastAsiaTheme="minorEastAsia"/>
          <w:bCs/>
          <w:kern w:val="0"/>
          <w:sz w:val="24"/>
        </w:rPr>
        <w:t>缺岗情节严重的，委托人可以解除合同。擅自缺岗违约金累计最高限额为签约合同价的10%。</w:t>
      </w:r>
    </w:p>
    <w:p>
      <w:pPr>
        <w:adjustRightInd w:val="0"/>
        <w:snapToGrid w:val="0"/>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6）监理人人员存在有接受承包人吃请、礼物、礼金及其他利益安排等有违廉洁自律的情况的，监理人应按照以下标准向委托人支付违约金，违约金标准为：总监理工程师、总监理工程师代表、安全总监为伍万元/人·次，专业监理工程师为叁万元/人·次，如因此给委托人造成损失的，监理人还应按照本合同4.1.1条约定向委托人承担赔偿责任。</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7</w:t>
      </w: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监理人</w:t>
      </w:r>
      <w:r>
        <w:rPr>
          <w:rFonts w:asciiTheme="minorEastAsia" w:hAnsiTheme="minorEastAsia" w:eastAsiaTheme="minorEastAsia"/>
          <w:bCs/>
          <w:kern w:val="0"/>
          <w:sz w:val="24"/>
        </w:rPr>
        <w:t>擅自聘用未经委托人同意的人员从事监理工作，一经发现，</w:t>
      </w:r>
      <w:r>
        <w:rPr>
          <w:rFonts w:hint="eastAsia" w:asciiTheme="minorEastAsia" w:hAnsiTheme="minorEastAsia" w:eastAsiaTheme="minorEastAsia"/>
          <w:bCs/>
          <w:kern w:val="0"/>
          <w:sz w:val="24"/>
        </w:rPr>
        <w:t>限期</w:t>
      </w:r>
      <w:r>
        <w:rPr>
          <w:rFonts w:asciiTheme="minorEastAsia" w:hAnsiTheme="minorEastAsia" w:eastAsiaTheme="minorEastAsia"/>
          <w:bCs/>
          <w:kern w:val="0"/>
          <w:sz w:val="24"/>
        </w:rPr>
        <w:t>撤换该人员</w:t>
      </w:r>
      <w:r>
        <w:rPr>
          <w:rFonts w:hint="eastAsia" w:asciiTheme="minorEastAsia" w:hAnsiTheme="minorEastAsia" w:eastAsiaTheme="minorEastAsia"/>
          <w:bCs/>
          <w:kern w:val="0"/>
          <w:sz w:val="24"/>
        </w:rPr>
        <w:t>，</w:t>
      </w:r>
      <w:r>
        <w:rPr>
          <w:rFonts w:asciiTheme="minorEastAsia" w:hAnsiTheme="minorEastAsia" w:eastAsiaTheme="minorEastAsia"/>
          <w:bCs/>
          <w:kern w:val="0"/>
          <w:sz w:val="24"/>
        </w:rPr>
        <w:t>并</w:t>
      </w:r>
      <w:r>
        <w:rPr>
          <w:rFonts w:hint="eastAsia" w:asciiTheme="minorEastAsia" w:hAnsiTheme="minorEastAsia" w:eastAsiaTheme="minorEastAsia"/>
          <w:bCs/>
          <w:kern w:val="0"/>
          <w:sz w:val="24"/>
        </w:rPr>
        <w:t>按照壹万</w:t>
      </w:r>
      <w:r>
        <w:rPr>
          <w:rFonts w:asciiTheme="minorEastAsia" w:hAnsiTheme="minorEastAsia" w:eastAsiaTheme="minorEastAsia"/>
          <w:bCs/>
          <w:kern w:val="0"/>
          <w:sz w:val="24"/>
        </w:rPr>
        <w:t>元/人·次</w:t>
      </w:r>
      <w:r>
        <w:rPr>
          <w:rFonts w:hint="eastAsia" w:asciiTheme="minorEastAsia" w:hAnsiTheme="minorEastAsia" w:eastAsiaTheme="minorEastAsia"/>
          <w:bCs/>
          <w:kern w:val="0"/>
          <w:sz w:val="24"/>
        </w:rPr>
        <w:t>的标准向委托人支付</w:t>
      </w:r>
      <w:r>
        <w:rPr>
          <w:rFonts w:asciiTheme="minorEastAsia" w:hAnsiTheme="minorEastAsia" w:eastAsiaTheme="minorEastAsia"/>
          <w:bCs/>
          <w:kern w:val="0"/>
          <w:sz w:val="24"/>
        </w:rPr>
        <w:t>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8</w:t>
      </w:r>
      <w:r>
        <w:rPr>
          <w:rFonts w:asciiTheme="minorEastAsia" w:hAnsiTheme="minorEastAsia" w:eastAsiaTheme="minorEastAsia"/>
          <w:bCs/>
          <w:kern w:val="0"/>
          <w:sz w:val="24"/>
        </w:rPr>
        <w:t>）未经委托人同意的人员签认监理资料，一经发现，监理资料无效，</w:t>
      </w:r>
      <w:r>
        <w:rPr>
          <w:rFonts w:hint="eastAsia" w:asciiTheme="minorEastAsia" w:hAnsiTheme="minorEastAsia" w:eastAsiaTheme="minorEastAsia"/>
          <w:bCs/>
          <w:kern w:val="0"/>
          <w:sz w:val="24"/>
        </w:rPr>
        <w:t>限期</w:t>
      </w:r>
      <w:r>
        <w:rPr>
          <w:rFonts w:asciiTheme="minorEastAsia" w:hAnsiTheme="minorEastAsia" w:eastAsiaTheme="minorEastAsia"/>
          <w:bCs/>
          <w:kern w:val="0"/>
          <w:sz w:val="24"/>
        </w:rPr>
        <w:t>撤换该人员并</w:t>
      </w:r>
      <w:r>
        <w:rPr>
          <w:rFonts w:hint="eastAsia" w:asciiTheme="minorEastAsia" w:hAnsiTheme="minorEastAsia" w:eastAsiaTheme="minorEastAsia"/>
          <w:bCs/>
          <w:kern w:val="0"/>
          <w:sz w:val="24"/>
        </w:rPr>
        <w:t>按照壹万</w:t>
      </w:r>
      <w:r>
        <w:rPr>
          <w:rFonts w:asciiTheme="minorEastAsia" w:hAnsiTheme="minorEastAsia" w:eastAsiaTheme="minorEastAsia"/>
          <w:bCs/>
          <w:kern w:val="0"/>
          <w:sz w:val="24"/>
        </w:rPr>
        <w:t>元/次</w:t>
      </w:r>
      <w:r>
        <w:rPr>
          <w:rFonts w:hint="eastAsia" w:asciiTheme="minorEastAsia" w:hAnsiTheme="minorEastAsia" w:eastAsiaTheme="minorEastAsia"/>
          <w:bCs/>
          <w:kern w:val="0"/>
          <w:sz w:val="24"/>
        </w:rPr>
        <w:t>的标准向委托人支付</w:t>
      </w:r>
      <w:r>
        <w:rPr>
          <w:rFonts w:asciiTheme="minorEastAsia" w:hAnsiTheme="minorEastAsia" w:eastAsiaTheme="minorEastAsia"/>
          <w:bCs/>
          <w:kern w:val="0"/>
          <w:sz w:val="24"/>
        </w:rPr>
        <w:t>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9</w:t>
      </w:r>
      <w:r>
        <w:rPr>
          <w:rFonts w:asciiTheme="minorEastAsia" w:hAnsiTheme="minorEastAsia" w:eastAsiaTheme="minorEastAsia"/>
          <w:bCs/>
          <w:kern w:val="0"/>
          <w:sz w:val="24"/>
        </w:rPr>
        <w:t>）监理资料存在代签现象，一经发现，监理资料无效，</w:t>
      </w:r>
      <w:r>
        <w:rPr>
          <w:rFonts w:hint="eastAsia" w:asciiTheme="minorEastAsia" w:hAnsiTheme="minorEastAsia" w:eastAsiaTheme="minorEastAsia"/>
          <w:bCs/>
          <w:kern w:val="0"/>
          <w:sz w:val="24"/>
        </w:rPr>
        <w:t>限期整改，</w:t>
      </w:r>
      <w:r>
        <w:rPr>
          <w:rFonts w:asciiTheme="minorEastAsia" w:hAnsiTheme="minorEastAsia" w:eastAsiaTheme="minorEastAsia"/>
          <w:bCs/>
          <w:kern w:val="0"/>
          <w:sz w:val="24"/>
        </w:rPr>
        <w:t>并</w:t>
      </w:r>
      <w:r>
        <w:rPr>
          <w:rFonts w:hint="eastAsia" w:asciiTheme="minorEastAsia" w:hAnsiTheme="minorEastAsia" w:eastAsiaTheme="minorEastAsia"/>
          <w:bCs/>
          <w:kern w:val="0"/>
          <w:sz w:val="24"/>
        </w:rPr>
        <w:t>按照贰仟</w:t>
      </w:r>
      <w:r>
        <w:rPr>
          <w:rFonts w:asciiTheme="minorEastAsia" w:hAnsiTheme="minorEastAsia" w:eastAsiaTheme="minorEastAsia"/>
          <w:bCs/>
          <w:kern w:val="0"/>
          <w:sz w:val="24"/>
        </w:rPr>
        <w:t>元</w:t>
      </w:r>
      <w:r>
        <w:rPr>
          <w:rFonts w:hint="eastAsia" w:asciiTheme="minorEastAsia" w:hAnsiTheme="minorEastAsia" w:eastAsiaTheme="minorEastAsia"/>
          <w:bCs/>
          <w:kern w:val="0"/>
          <w:sz w:val="24"/>
        </w:rPr>
        <w:t>/次的标准向委托人支付</w:t>
      </w:r>
      <w:r>
        <w:rPr>
          <w:rFonts w:asciiTheme="minorEastAsia" w:hAnsiTheme="minorEastAsia" w:eastAsiaTheme="minorEastAsia"/>
          <w:bCs/>
          <w:kern w:val="0"/>
          <w:sz w:val="24"/>
        </w:rPr>
        <w:t>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（10）</w:t>
      </w:r>
      <w:r>
        <w:rPr>
          <w:rFonts w:hint="eastAsia" w:asciiTheme="minorEastAsia" w:hAnsiTheme="minorEastAsia" w:eastAsiaTheme="minorEastAsia"/>
          <w:bCs/>
          <w:kern w:val="0"/>
          <w:sz w:val="24"/>
        </w:rPr>
        <w:t>履约过程中，总监理工程师或总监理工程师代表出现在其他项目兼职兼任情况，</w:t>
      </w:r>
      <w:r>
        <w:rPr>
          <w:rFonts w:asciiTheme="minorEastAsia" w:hAnsiTheme="minorEastAsia" w:eastAsiaTheme="minorEastAsia"/>
          <w:bCs/>
          <w:kern w:val="0"/>
          <w:sz w:val="24"/>
        </w:rPr>
        <w:t>监理人</w:t>
      </w:r>
      <w:r>
        <w:rPr>
          <w:rFonts w:hint="eastAsia" w:asciiTheme="minorEastAsia" w:hAnsiTheme="minorEastAsia" w:eastAsiaTheme="minorEastAsia"/>
          <w:bCs/>
          <w:kern w:val="0"/>
          <w:sz w:val="24"/>
        </w:rPr>
        <w:t>按叁万</w:t>
      </w:r>
      <w:r>
        <w:rPr>
          <w:rFonts w:asciiTheme="minorEastAsia" w:hAnsiTheme="minorEastAsia" w:eastAsiaTheme="minorEastAsia"/>
          <w:bCs/>
          <w:kern w:val="0"/>
          <w:sz w:val="24"/>
        </w:rPr>
        <w:t>元/人标准</w:t>
      </w:r>
      <w:r>
        <w:rPr>
          <w:rFonts w:hint="eastAsia" w:asciiTheme="minorEastAsia" w:hAnsiTheme="minorEastAsia" w:eastAsiaTheme="minorEastAsia"/>
          <w:bCs/>
          <w:kern w:val="0"/>
          <w:sz w:val="24"/>
        </w:rPr>
        <w:t>向委托</w:t>
      </w:r>
      <w:r>
        <w:rPr>
          <w:rFonts w:asciiTheme="minorEastAsia" w:hAnsiTheme="minorEastAsia" w:eastAsiaTheme="minorEastAsia"/>
          <w:bCs/>
          <w:kern w:val="0"/>
          <w:sz w:val="24"/>
        </w:rPr>
        <w:t>人支付违约金，并要求其在7天内办理完毕所兼职项目的解除兼职手续；监理人未在上述期限内办理完毕解除兼职手续的，从发出通知之日起至监理人完成解除兼职手续之日止，委托人将按壹万元/天的标准要求监理人支付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11</w:t>
      </w:r>
      <w:r>
        <w:rPr>
          <w:rFonts w:asciiTheme="minorEastAsia" w:hAnsiTheme="minorEastAsia" w:eastAsiaTheme="minorEastAsia"/>
          <w:bCs/>
          <w:kern w:val="0"/>
          <w:sz w:val="24"/>
        </w:rPr>
        <w:t>）检测仪器及设备等未按投标文件承诺的数量、规格、时间进场的，</w:t>
      </w:r>
      <w:r>
        <w:rPr>
          <w:rFonts w:hint="eastAsia" w:asciiTheme="minorEastAsia" w:hAnsiTheme="minorEastAsia" w:eastAsiaTheme="minorEastAsia"/>
          <w:bCs/>
          <w:kern w:val="0"/>
          <w:sz w:val="24"/>
        </w:rPr>
        <w:t>限期整改，并按照壹仟</w:t>
      </w:r>
      <w:r>
        <w:rPr>
          <w:rFonts w:asciiTheme="minorEastAsia" w:hAnsiTheme="minorEastAsia" w:eastAsiaTheme="minorEastAsia"/>
          <w:bCs/>
          <w:kern w:val="0"/>
          <w:sz w:val="24"/>
        </w:rPr>
        <w:t>元/</w:t>
      </w:r>
      <w:r>
        <w:rPr>
          <w:rFonts w:hint="eastAsia" w:asciiTheme="minorEastAsia" w:hAnsiTheme="minorEastAsia" w:eastAsiaTheme="minorEastAsia"/>
          <w:bCs/>
          <w:kern w:val="0"/>
          <w:sz w:val="24"/>
        </w:rPr>
        <w:t>件</w:t>
      </w:r>
      <w:r>
        <w:rPr>
          <w:rFonts w:asciiTheme="minorEastAsia" w:hAnsiTheme="minorEastAsia" w:eastAsiaTheme="minorEastAsia"/>
          <w:bCs/>
          <w:kern w:val="0"/>
          <w:sz w:val="24"/>
        </w:rPr>
        <w:t>·天</w:t>
      </w:r>
      <w:r>
        <w:rPr>
          <w:rFonts w:hint="eastAsia" w:asciiTheme="minorEastAsia" w:hAnsiTheme="minorEastAsia" w:eastAsiaTheme="minorEastAsia"/>
          <w:bCs/>
          <w:kern w:val="0"/>
          <w:sz w:val="24"/>
        </w:rPr>
        <w:t>的标准向委托人支付</w:t>
      </w:r>
      <w:r>
        <w:rPr>
          <w:rFonts w:asciiTheme="minorEastAsia" w:hAnsiTheme="minorEastAsia" w:eastAsiaTheme="minorEastAsia"/>
          <w:bCs/>
          <w:kern w:val="0"/>
          <w:sz w:val="24"/>
        </w:rPr>
        <w:t>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（1</w:t>
      </w:r>
      <w:r>
        <w:rPr>
          <w:rFonts w:hint="eastAsia" w:asciiTheme="minorEastAsia" w:hAnsiTheme="minorEastAsia" w:eastAsiaTheme="minorEastAsia"/>
          <w:bCs/>
          <w:kern w:val="0"/>
          <w:sz w:val="24"/>
        </w:rPr>
        <w:t>2</w:t>
      </w:r>
      <w:r>
        <w:rPr>
          <w:rFonts w:asciiTheme="minorEastAsia" w:hAnsiTheme="minorEastAsia" w:eastAsiaTheme="minorEastAsia"/>
          <w:bCs/>
          <w:kern w:val="0"/>
          <w:sz w:val="24"/>
        </w:rPr>
        <w:t>）检测仪器及设备等在监理服务期间，不能保持良好运作性能的，应</w:t>
      </w:r>
      <w:r>
        <w:rPr>
          <w:rFonts w:hint="eastAsia" w:asciiTheme="minorEastAsia" w:hAnsiTheme="minorEastAsia" w:eastAsiaTheme="minorEastAsia"/>
          <w:bCs/>
          <w:kern w:val="0"/>
          <w:sz w:val="24"/>
        </w:rPr>
        <w:t>按照委托人的要求的期限</w:t>
      </w:r>
      <w:r>
        <w:rPr>
          <w:rFonts w:asciiTheme="minorEastAsia" w:hAnsiTheme="minorEastAsia" w:eastAsiaTheme="minorEastAsia"/>
          <w:bCs/>
          <w:kern w:val="0"/>
          <w:sz w:val="24"/>
        </w:rPr>
        <w:t>更换，否则</w:t>
      </w:r>
      <w:r>
        <w:rPr>
          <w:rFonts w:hint="eastAsia" w:asciiTheme="minorEastAsia" w:hAnsiTheme="minorEastAsia" w:eastAsiaTheme="minorEastAsia"/>
          <w:bCs/>
          <w:kern w:val="0"/>
          <w:sz w:val="24"/>
        </w:rPr>
        <w:t>按照壹仟</w:t>
      </w:r>
      <w:r>
        <w:rPr>
          <w:rFonts w:asciiTheme="minorEastAsia" w:hAnsiTheme="minorEastAsia" w:eastAsiaTheme="minorEastAsia"/>
          <w:bCs/>
          <w:kern w:val="0"/>
          <w:sz w:val="24"/>
        </w:rPr>
        <w:t>元/</w:t>
      </w:r>
      <w:r>
        <w:rPr>
          <w:rFonts w:hint="eastAsia" w:asciiTheme="minorEastAsia" w:hAnsiTheme="minorEastAsia" w:eastAsiaTheme="minorEastAsia"/>
          <w:bCs/>
          <w:kern w:val="0"/>
          <w:sz w:val="24"/>
        </w:rPr>
        <w:t>件</w:t>
      </w:r>
      <w:r>
        <w:rPr>
          <w:rFonts w:asciiTheme="minorEastAsia" w:hAnsiTheme="minorEastAsia" w:eastAsiaTheme="minorEastAsia"/>
          <w:bCs/>
          <w:kern w:val="0"/>
          <w:sz w:val="24"/>
        </w:rPr>
        <w:t>·天</w:t>
      </w:r>
      <w:r>
        <w:rPr>
          <w:rFonts w:hint="eastAsia" w:asciiTheme="minorEastAsia" w:hAnsiTheme="minorEastAsia" w:eastAsiaTheme="minorEastAsia"/>
          <w:bCs/>
          <w:kern w:val="0"/>
          <w:sz w:val="24"/>
        </w:rPr>
        <w:t>的标准向委托人支付</w:t>
      </w:r>
      <w:r>
        <w:rPr>
          <w:rFonts w:asciiTheme="minorEastAsia" w:hAnsiTheme="minorEastAsia" w:eastAsiaTheme="minorEastAsia"/>
          <w:bCs/>
          <w:kern w:val="0"/>
          <w:sz w:val="24"/>
        </w:rPr>
        <w:t>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（1</w:t>
      </w:r>
      <w:r>
        <w:rPr>
          <w:rFonts w:hint="eastAsia" w:asciiTheme="minorEastAsia" w:hAnsiTheme="minorEastAsia" w:eastAsiaTheme="minorEastAsia"/>
          <w:bCs/>
          <w:kern w:val="0"/>
          <w:sz w:val="24"/>
        </w:rPr>
        <w:t>3</w:t>
      </w:r>
      <w:r>
        <w:rPr>
          <w:rFonts w:asciiTheme="minorEastAsia" w:hAnsiTheme="minorEastAsia" w:eastAsiaTheme="minorEastAsia"/>
          <w:bCs/>
          <w:kern w:val="0"/>
          <w:sz w:val="24"/>
        </w:rPr>
        <w:t>）监理合同签订后，未能在开工前将监理规划和监理实施细则报送委托人的，每延误一天</w:t>
      </w:r>
      <w:r>
        <w:rPr>
          <w:rFonts w:hint="eastAsia" w:asciiTheme="minorEastAsia" w:hAnsiTheme="minorEastAsia" w:eastAsiaTheme="minorEastAsia"/>
          <w:bCs/>
          <w:kern w:val="0"/>
          <w:sz w:val="24"/>
        </w:rPr>
        <w:t>按照壹仟</w:t>
      </w:r>
      <w:r>
        <w:rPr>
          <w:rFonts w:asciiTheme="minorEastAsia" w:hAnsiTheme="minorEastAsia" w:eastAsiaTheme="minorEastAsia"/>
          <w:bCs/>
          <w:kern w:val="0"/>
          <w:sz w:val="24"/>
        </w:rPr>
        <w:t>元</w:t>
      </w:r>
      <w:r>
        <w:rPr>
          <w:rFonts w:hint="eastAsia" w:asciiTheme="minorEastAsia" w:hAnsiTheme="minorEastAsia" w:eastAsiaTheme="minorEastAsia"/>
          <w:bCs/>
          <w:kern w:val="0"/>
          <w:sz w:val="24"/>
        </w:rPr>
        <w:t>的标准向委托人支付</w:t>
      </w:r>
      <w:r>
        <w:rPr>
          <w:rFonts w:asciiTheme="minorEastAsia" w:hAnsiTheme="minorEastAsia" w:eastAsiaTheme="minorEastAsia"/>
          <w:bCs/>
          <w:kern w:val="0"/>
          <w:sz w:val="24"/>
        </w:rPr>
        <w:t>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（1</w:t>
      </w:r>
      <w:r>
        <w:rPr>
          <w:rFonts w:hint="eastAsia" w:asciiTheme="minorEastAsia" w:hAnsiTheme="minorEastAsia" w:eastAsiaTheme="minorEastAsia"/>
          <w:bCs/>
          <w:kern w:val="0"/>
          <w:sz w:val="24"/>
        </w:rPr>
        <w:t>4</w:t>
      </w:r>
      <w:r>
        <w:rPr>
          <w:rFonts w:asciiTheme="minorEastAsia" w:hAnsiTheme="minorEastAsia" w:eastAsiaTheme="minorEastAsia"/>
          <w:bCs/>
          <w:kern w:val="0"/>
          <w:sz w:val="24"/>
        </w:rPr>
        <w:t>）未能在相应工程项目开工前</w:t>
      </w:r>
      <w:r>
        <w:rPr>
          <w:rFonts w:hint="eastAsia" w:asciiTheme="minorEastAsia" w:hAnsiTheme="minorEastAsia" w:eastAsiaTheme="minorEastAsia"/>
          <w:bCs/>
          <w:kern w:val="0"/>
          <w:sz w:val="24"/>
        </w:rPr>
        <w:t>按照委托人要求的期限</w:t>
      </w:r>
      <w:r>
        <w:rPr>
          <w:rFonts w:asciiTheme="minorEastAsia" w:hAnsiTheme="minorEastAsia" w:eastAsiaTheme="minorEastAsia"/>
          <w:bCs/>
          <w:kern w:val="0"/>
          <w:sz w:val="24"/>
        </w:rPr>
        <w:t>组织施工图会审或审查承包单位报送的施工组织设计（方案）的，</w:t>
      </w:r>
      <w:r>
        <w:rPr>
          <w:rFonts w:hint="eastAsia" w:asciiTheme="minorEastAsia" w:hAnsiTheme="minorEastAsia" w:eastAsiaTheme="minorEastAsia"/>
          <w:bCs/>
          <w:kern w:val="0"/>
          <w:sz w:val="24"/>
        </w:rPr>
        <w:t>按照壹万</w:t>
      </w:r>
      <w:r>
        <w:rPr>
          <w:rFonts w:asciiTheme="minorEastAsia" w:hAnsiTheme="minorEastAsia" w:eastAsiaTheme="minorEastAsia"/>
          <w:bCs/>
          <w:kern w:val="0"/>
          <w:sz w:val="24"/>
        </w:rPr>
        <w:t>元</w:t>
      </w:r>
      <w:r>
        <w:rPr>
          <w:rFonts w:hint="eastAsia" w:asciiTheme="minorEastAsia" w:hAnsiTheme="minorEastAsia" w:eastAsiaTheme="minorEastAsia"/>
          <w:bCs/>
          <w:kern w:val="0"/>
          <w:sz w:val="24"/>
        </w:rPr>
        <w:t>/天的标准向委托人支付</w:t>
      </w:r>
      <w:r>
        <w:rPr>
          <w:rFonts w:asciiTheme="minorEastAsia" w:hAnsiTheme="minorEastAsia" w:eastAsiaTheme="minorEastAsia"/>
          <w:bCs/>
          <w:kern w:val="0"/>
          <w:sz w:val="24"/>
        </w:rPr>
        <w:t>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（1</w:t>
      </w:r>
      <w:r>
        <w:rPr>
          <w:rFonts w:hint="eastAsia" w:asciiTheme="minorEastAsia" w:hAnsiTheme="minorEastAsia" w:eastAsiaTheme="minorEastAsia"/>
          <w:bCs/>
          <w:kern w:val="0"/>
          <w:sz w:val="24"/>
        </w:rPr>
        <w:t>5</w:t>
      </w:r>
      <w:r>
        <w:rPr>
          <w:rFonts w:asciiTheme="minorEastAsia" w:hAnsiTheme="minorEastAsia" w:eastAsiaTheme="minorEastAsia"/>
          <w:bCs/>
          <w:kern w:val="0"/>
          <w:sz w:val="24"/>
        </w:rPr>
        <w:t>）未能督促承包人履行质量安全文明施工责任的，受到委托人</w:t>
      </w:r>
      <w:r>
        <w:rPr>
          <w:rFonts w:hint="eastAsia" w:asciiTheme="minorEastAsia" w:hAnsiTheme="minorEastAsia" w:eastAsiaTheme="minorEastAsia"/>
          <w:bCs/>
          <w:kern w:val="0"/>
          <w:sz w:val="24"/>
        </w:rPr>
        <w:t>及相关主管部门</w:t>
      </w:r>
      <w:r>
        <w:rPr>
          <w:rFonts w:asciiTheme="minorEastAsia" w:hAnsiTheme="minorEastAsia" w:eastAsiaTheme="minorEastAsia"/>
          <w:bCs/>
          <w:kern w:val="0"/>
          <w:sz w:val="24"/>
        </w:rPr>
        <w:t>通报</w:t>
      </w:r>
      <w:r>
        <w:rPr>
          <w:rFonts w:hint="eastAsia" w:asciiTheme="minorEastAsia" w:hAnsiTheme="minorEastAsia" w:eastAsiaTheme="minorEastAsia"/>
          <w:bCs/>
          <w:kern w:val="0"/>
          <w:sz w:val="24"/>
        </w:rPr>
        <w:t>批评</w:t>
      </w: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按照壹万</w:t>
      </w: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伍万</w:t>
      </w:r>
      <w:r>
        <w:rPr>
          <w:rFonts w:asciiTheme="minorEastAsia" w:hAnsiTheme="minorEastAsia" w:eastAsiaTheme="minorEastAsia"/>
          <w:bCs/>
          <w:kern w:val="0"/>
          <w:sz w:val="24"/>
        </w:rPr>
        <w:t>元</w:t>
      </w:r>
      <w:r>
        <w:rPr>
          <w:rFonts w:hint="eastAsia" w:asciiTheme="minorEastAsia" w:hAnsiTheme="minorEastAsia" w:eastAsiaTheme="minorEastAsia"/>
          <w:bCs/>
          <w:kern w:val="0"/>
          <w:sz w:val="24"/>
        </w:rPr>
        <w:t>/次的标准向委托人支付</w:t>
      </w:r>
      <w:r>
        <w:rPr>
          <w:rFonts w:asciiTheme="minorEastAsia" w:hAnsiTheme="minorEastAsia" w:eastAsiaTheme="minorEastAsia"/>
          <w:bCs/>
          <w:kern w:val="0"/>
          <w:sz w:val="24"/>
        </w:rPr>
        <w:t>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（1</w:t>
      </w:r>
      <w:r>
        <w:rPr>
          <w:rFonts w:hint="eastAsia" w:asciiTheme="minorEastAsia" w:hAnsiTheme="minorEastAsia" w:eastAsiaTheme="minorEastAsia"/>
          <w:bCs/>
          <w:kern w:val="0"/>
          <w:sz w:val="24"/>
        </w:rPr>
        <w:t>6</w:t>
      </w:r>
      <w:r>
        <w:rPr>
          <w:rFonts w:asciiTheme="minorEastAsia" w:hAnsiTheme="minorEastAsia" w:eastAsiaTheme="minorEastAsia"/>
          <w:bCs/>
          <w:kern w:val="0"/>
          <w:sz w:val="24"/>
        </w:rPr>
        <w:t>）怠于履行工程质量控制监理工作，导致工程施工出现工程质量事故的，</w:t>
      </w:r>
      <w:r>
        <w:rPr>
          <w:rFonts w:hint="eastAsia" w:asciiTheme="minorEastAsia" w:hAnsiTheme="minorEastAsia" w:eastAsiaTheme="minorEastAsia"/>
          <w:bCs/>
          <w:kern w:val="0"/>
          <w:sz w:val="24"/>
        </w:rPr>
        <w:t>赔偿由此给委托人造成的全部损失，并按照壹拾万</w:t>
      </w:r>
      <w:r>
        <w:rPr>
          <w:rFonts w:asciiTheme="minorEastAsia" w:hAnsiTheme="minorEastAsia" w:eastAsiaTheme="minorEastAsia"/>
          <w:bCs/>
          <w:kern w:val="0"/>
          <w:sz w:val="24"/>
        </w:rPr>
        <w:t>元</w:t>
      </w:r>
      <w:r>
        <w:rPr>
          <w:rFonts w:hint="eastAsia" w:asciiTheme="minorEastAsia" w:hAnsiTheme="minorEastAsia" w:eastAsiaTheme="minorEastAsia"/>
          <w:bCs/>
          <w:kern w:val="0"/>
          <w:sz w:val="24"/>
        </w:rPr>
        <w:t>/次的标准向委托人支付</w:t>
      </w:r>
      <w:r>
        <w:rPr>
          <w:rFonts w:asciiTheme="minorEastAsia" w:hAnsiTheme="minorEastAsia" w:eastAsiaTheme="minorEastAsia"/>
          <w:bCs/>
          <w:kern w:val="0"/>
          <w:sz w:val="24"/>
        </w:rPr>
        <w:t>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（1</w:t>
      </w:r>
      <w:r>
        <w:rPr>
          <w:rFonts w:hint="eastAsia" w:asciiTheme="minorEastAsia" w:hAnsiTheme="minorEastAsia" w:eastAsiaTheme="minorEastAsia"/>
          <w:bCs/>
          <w:kern w:val="0"/>
          <w:sz w:val="24"/>
        </w:rPr>
        <w:t>7</w:t>
      </w:r>
      <w:r>
        <w:rPr>
          <w:rFonts w:asciiTheme="minorEastAsia" w:hAnsiTheme="minorEastAsia" w:eastAsiaTheme="minorEastAsia"/>
          <w:bCs/>
          <w:kern w:val="0"/>
          <w:sz w:val="24"/>
        </w:rPr>
        <w:t>）按规定或委托人要求需进行旁站而不进行旁站监理的，</w:t>
      </w:r>
      <w:r>
        <w:rPr>
          <w:rFonts w:hint="eastAsia" w:asciiTheme="minorEastAsia" w:hAnsiTheme="minorEastAsia" w:eastAsiaTheme="minorEastAsia"/>
          <w:bCs/>
          <w:kern w:val="0"/>
          <w:sz w:val="24"/>
        </w:rPr>
        <w:t>按照贰万</w:t>
      </w:r>
      <w:r>
        <w:rPr>
          <w:rFonts w:asciiTheme="minorEastAsia" w:hAnsiTheme="minorEastAsia" w:eastAsiaTheme="minorEastAsia"/>
          <w:bCs/>
          <w:kern w:val="0"/>
          <w:sz w:val="24"/>
        </w:rPr>
        <w:t>元</w:t>
      </w:r>
      <w:r>
        <w:rPr>
          <w:rFonts w:hint="eastAsia" w:asciiTheme="minorEastAsia" w:hAnsiTheme="minorEastAsia" w:eastAsiaTheme="minorEastAsia"/>
          <w:bCs/>
          <w:kern w:val="0"/>
          <w:sz w:val="24"/>
        </w:rPr>
        <w:t>/次的标准向委托人支付</w:t>
      </w:r>
      <w:r>
        <w:rPr>
          <w:rFonts w:asciiTheme="minorEastAsia" w:hAnsiTheme="minorEastAsia" w:eastAsiaTheme="minorEastAsia"/>
          <w:bCs/>
          <w:kern w:val="0"/>
          <w:sz w:val="24"/>
        </w:rPr>
        <w:t>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（1</w:t>
      </w:r>
      <w:r>
        <w:rPr>
          <w:rFonts w:hint="eastAsia" w:asciiTheme="minorEastAsia" w:hAnsiTheme="minorEastAsia" w:eastAsiaTheme="minorEastAsia"/>
          <w:bCs/>
          <w:kern w:val="0"/>
          <w:sz w:val="24"/>
        </w:rPr>
        <w:t>8</w:t>
      </w:r>
      <w:r>
        <w:rPr>
          <w:rFonts w:asciiTheme="minorEastAsia" w:hAnsiTheme="minorEastAsia" w:eastAsiaTheme="minorEastAsia"/>
          <w:bCs/>
          <w:kern w:val="0"/>
          <w:sz w:val="24"/>
        </w:rPr>
        <w:t>）未尽监理职责，对设计人编制的图纸出现重大错误未发现或未提出意见的，</w:t>
      </w:r>
      <w:r>
        <w:rPr>
          <w:rFonts w:hint="eastAsia" w:asciiTheme="minorEastAsia" w:hAnsiTheme="minorEastAsia" w:eastAsiaTheme="minorEastAsia"/>
          <w:bCs/>
          <w:kern w:val="0"/>
          <w:sz w:val="24"/>
        </w:rPr>
        <w:t>按照伍万</w:t>
      </w:r>
      <w:r>
        <w:rPr>
          <w:rFonts w:asciiTheme="minorEastAsia" w:hAnsiTheme="minorEastAsia" w:eastAsiaTheme="minorEastAsia"/>
          <w:bCs/>
          <w:kern w:val="0"/>
          <w:sz w:val="24"/>
        </w:rPr>
        <w:t>元</w:t>
      </w:r>
      <w:r>
        <w:rPr>
          <w:rFonts w:hint="eastAsia" w:asciiTheme="minorEastAsia" w:hAnsiTheme="minorEastAsia" w:eastAsiaTheme="minorEastAsia"/>
          <w:bCs/>
          <w:kern w:val="0"/>
          <w:sz w:val="24"/>
        </w:rPr>
        <w:t>/次的标准向委托人支付</w:t>
      </w:r>
      <w:r>
        <w:rPr>
          <w:rFonts w:asciiTheme="minorEastAsia" w:hAnsiTheme="minorEastAsia" w:eastAsiaTheme="minorEastAsia"/>
          <w:bCs/>
          <w:kern w:val="0"/>
          <w:sz w:val="24"/>
        </w:rPr>
        <w:t>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（1</w:t>
      </w:r>
      <w:r>
        <w:rPr>
          <w:rFonts w:hint="eastAsia" w:asciiTheme="minorEastAsia" w:hAnsiTheme="minorEastAsia" w:eastAsiaTheme="minorEastAsia"/>
          <w:bCs/>
          <w:kern w:val="0"/>
          <w:sz w:val="24"/>
        </w:rPr>
        <w:t>9</w:t>
      </w:r>
      <w:r>
        <w:rPr>
          <w:rFonts w:asciiTheme="minorEastAsia" w:hAnsiTheme="minorEastAsia" w:eastAsiaTheme="minorEastAsia"/>
          <w:bCs/>
          <w:kern w:val="0"/>
          <w:sz w:val="24"/>
        </w:rPr>
        <w:t>）对工程计量、现场签证及工程进度款支付出现错误，</w:t>
      </w:r>
      <w:r>
        <w:rPr>
          <w:rFonts w:hint="eastAsia" w:asciiTheme="minorEastAsia" w:hAnsiTheme="minorEastAsia" w:eastAsiaTheme="minorEastAsia"/>
          <w:bCs/>
          <w:kern w:val="0"/>
          <w:sz w:val="24"/>
        </w:rPr>
        <w:t>按照伍仟元/次的标准向委托人支付</w:t>
      </w:r>
      <w:r>
        <w:rPr>
          <w:rFonts w:asciiTheme="minorEastAsia" w:hAnsiTheme="minorEastAsia" w:eastAsiaTheme="minorEastAsia"/>
          <w:bCs/>
          <w:kern w:val="0"/>
          <w:sz w:val="24"/>
        </w:rPr>
        <w:t>违约金</w:t>
      </w:r>
      <w:r>
        <w:rPr>
          <w:rFonts w:hint="eastAsia" w:asciiTheme="minorEastAsia" w:hAnsiTheme="minorEastAsia" w:eastAsiaTheme="minorEastAsia"/>
          <w:bCs/>
          <w:kern w:val="0"/>
          <w:sz w:val="24"/>
        </w:rPr>
        <w:t>。</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20</w:t>
      </w:r>
      <w:r>
        <w:rPr>
          <w:rFonts w:asciiTheme="minorEastAsia" w:hAnsiTheme="minorEastAsia" w:eastAsiaTheme="minorEastAsia"/>
          <w:bCs/>
          <w:kern w:val="0"/>
          <w:sz w:val="24"/>
        </w:rPr>
        <w:t>）未按时提交月报、监理总结、质量评估报告、安全月报的，</w:t>
      </w:r>
      <w:r>
        <w:rPr>
          <w:rFonts w:hint="eastAsia" w:asciiTheme="minorEastAsia" w:hAnsiTheme="minorEastAsia" w:eastAsiaTheme="minorEastAsia"/>
          <w:bCs/>
          <w:kern w:val="0"/>
          <w:sz w:val="24"/>
        </w:rPr>
        <w:t>限期整改，并按照贰仟</w:t>
      </w:r>
      <w:r>
        <w:rPr>
          <w:rFonts w:asciiTheme="minorEastAsia" w:hAnsiTheme="minorEastAsia" w:eastAsiaTheme="minorEastAsia"/>
          <w:bCs/>
          <w:kern w:val="0"/>
          <w:sz w:val="24"/>
        </w:rPr>
        <w:t>元</w:t>
      </w:r>
      <w:r>
        <w:rPr>
          <w:rFonts w:hint="eastAsia" w:asciiTheme="minorEastAsia" w:hAnsiTheme="minorEastAsia" w:eastAsiaTheme="minorEastAsia"/>
          <w:bCs/>
          <w:kern w:val="0"/>
          <w:sz w:val="24"/>
        </w:rPr>
        <w:t>/次的标准向委托人支付</w:t>
      </w:r>
      <w:r>
        <w:rPr>
          <w:rFonts w:asciiTheme="minorEastAsia" w:hAnsiTheme="minorEastAsia" w:eastAsiaTheme="minorEastAsia"/>
          <w:bCs/>
          <w:kern w:val="0"/>
          <w:sz w:val="24"/>
        </w:rPr>
        <w:t>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22</w:t>
      </w:r>
      <w:r>
        <w:rPr>
          <w:rFonts w:asciiTheme="minorEastAsia" w:hAnsiTheme="minorEastAsia" w:eastAsiaTheme="minorEastAsia"/>
          <w:bCs/>
          <w:kern w:val="0"/>
          <w:sz w:val="24"/>
        </w:rPr>
        <w:t>）利用监理职权谋取任何不正当利益，</w:t>
      </w:r>
      <w:r>
        <w:rPr>
          <w:rFonts w:hint="eastAsia" w:asciiTheme="minorEastAsia" w:hAnsiTheme="minorEastAsia" w:eastAsiaTheme="minorEastAsia"/>
          <w:bCs/>
          <w:kern w:val="0"/>
          <w:sz w:val="24"/>
        </w:rPr>
        <w:t>将所获取的不当利益交委托人；并按照所获利益的两倍向委托人支付违约金；涉及犯罪的，移交司法机关</w:t>
      </w:r>
      <w:r>
        <w:rPr>
          <w:rFonts w:asciiTheme="minorEastAsia" w:hAnsiTheme="minorEastAsia" w:eastAsiaTheme="minorEastAsia"/>
          <w:bCs/>
          <w:kern w:val="0"/>
          <w:sz w:val="24"/>
        </w:rPr>
        <w:t>。</w:t>
      </w:r>
    </w:p>
    <w:p>
      <w:pPr>
        <w:snapToGrid w:val="0"/>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（23）</w:t>
      </w:r>
      <w:r>
        <w:rPr>
          <w:rFonts w:asciiTheme="minorEastAsia" w:hAnsiTheme="minorEastAsia" w:eastAsiaTheme="minorEastAsia"/>
          <w:bCs/>
          <w:kern w:val="0"/>
          <w:sz w:val="24"/>
        </w:rPr>
        <w:t>监理人将本监理合同规定的权利、义务转让</w:t>
      </w:r>
      <w:r>
        <w:rPr>
          <w:rFonts w:hint="eastAsia" w:asciiTheme="minorEastAsia" w:hAnsiTheme="minorEastAsia" w:eastAsiaTheme="minorEastAsia"/>
          <w:bCs/>
          <w:kern w:val="0"/>
          <w:sz w:val="24"/>
        </w:rPr>
        <w:t>给任何</w:t>
      </w:r>
      <w:r>
        <w:rPr>
          <w:rFonts w:asciiTheme="minorEastAsia" w:hAnsiTheme="minorEastAsia" w:eastAsiaTheme="minorEastAsia"/>
          <w:bCs/>
          <w:kern w:val="0"/>
          <w:sz w:val="24"/>
        </w:rPr>
        <w:t>第三人</w:t>
      </w:r>
      <w:r>
        <w:rPr>
          <w:rFonts w:hint="eastAsia" w:asciiTheme="minorEastAsia" w:hAnsiTheme="minorEastAsia" w:eastAsiaTheme="minorEastAsia"/>
          <w:bCs/>
          <w:kern w:val="0"/>
          <w:sz w:val="24"/>
        </w:rPr>
        <w:t>或将监理服务分包的，经委托人提出，监理人予以改正的，监理人应按照签约合同价款的10%向委托人支付违约金；经委托人提出，监理人拒不改正的，监理人应按照签约合同价款的20%向委托人支付违约金，同时，委托人有权解除合同</w:t>
      </w:r>
      <w:r>
        <w:rPr>
          <w:rFonts w:asciiTheme="minorEastAsia" w:hAnsiTheme="minorEastAsia" w:eastAsiaTheme="minorEastAsia"/>
          <w:bCs/>
          <w:kern w:val="0"/>
          <w:sz w:val="24"/>
        </w:rPr>
        <w:t>。</w:t>
      </w:r>
    </w:p>
    <w:p>
      <w:pPr>
        <w:adjustRightInd w:val="0"/>
        <w:snapToGrid w:val="0"/>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w:t>
      </w:r>
      <w:r>
        <w:rPr>
          <w:rFonts w:asciiTheme="minorEastAsia" w:hAnsiTheme="minorEastAsia" w:eastAsiaTheme="minorEastAsia"/>
          <w:bCs/>
          <w:kern w:val="0"/>
          <w:sz w:val="24"/>
        </w:rPr>
        <w:t>2</w:t>
      </w:r>
      <w:r>
        <w:rPr>
          <w:rFonts w:hint="eastAsia" w:asciiTheme="minorEastAsia" w:hAnsiTheme="minorEastAsia" w:eastAsiaTheme="minorEastAsia"/>
          <w:bCs/>
          <w:kern w:val="0"/>
          <w:sz w:val="24"/>
        </w:rPr>
        <w:t>4）监理人对施工人员的不当行为未及时制止、处理，并向委托人报告的，应向委托人支付伍仟</w:t>
      </w:r>
      <w:r>
        <w:rPr>
          <w:rFonts w:asciiTheme="minorEastAsia" w:hAnsiTheme="minorEastAsia" w:eastAsiaTheme="minorEastAsia"/>
          <w:bCs/>
          <w:kern w:val="0"/>
          <w:sz w:val="24"/>
        </w:rPr>
        <w:t>元/次的</w:t>
      </w:r>
      <w:r>
        <w:rPr>
          <w:rFonts w:hint="eastAsia" w:asciiTheme="minorEastAsia" w:hAnsiTheme="minorEastAsia" w:eastAsiaTheme="minorEastAsia"/>
          <w:bCs/>
          <w:kern w:val="0"/>
          <w:sz w:val="24"/>
        </w:rPr>
        <w:t>违约金。</w:t>
      </w:r>
    </w:p>
    <w:p>
      <w:pPr>
        <w:keepNext/>
        <w:keepLines/>
        <w:spacing w:line="288" w:lineRule="auto"/>
        <w:outlineLvl w:val="2"/>
        <w:rPr>
          <w:rFonts w:asciiTheme="minorEastAsia" w:hAnsiTheme="minorEastAsia" w:eastAsiaTheme="minorEastAsia"/>
          <w:b/>
          <w:sz w:val="24"/>
        </w:rPr>
      </w:pPr>
      <w:bookmarkStart w:id="1201" w:name="_Toc443898862"/>
      <w:bookmarkStart w:id="1202" w:name="_Toc499204996"/>
      <w:bookmarkStart w:id="1203" w:name="_Toc3884"/>
      <w:bookmarkStart w:id="1204" w:name="_Toc14107"/>
      <w:bookmarkStart w:id="1205" w:name="_Toc496098776"/>
      <w:bookmarkStart w:id="1206" w:name="_Toc499311211"/>
      <w:r>
        <w:rPr>
          <w:rFonts w:asciiTheme="minorEastAsia" w:hAnsiTheme="minorEastAsia" w:eastAsiaTheme="minorEastAsia"/>
          <w:b/>
          <w:sz w:val="24"/>
        </w:rPr>
        <w:t xml:space="preserve">4.3  </w:t>
      </w:r>
      <w:r>
        <w:rPr>
          <w:rFonts w:hint="eastAsia" w:asciiTheme="minorEastAsia" w:hAnsiTheme="minorEastAsia" w:eastAsiaTheme="minorEastAsia"/>
          <w:b/>
          <w:sz w:val="24"/>
        </w:rPr>
        <w:t>除外责任</w:t>
      </w:r>
      <w:bookmarkEnd w:id="1201"/>
      <w:bookmarkEnd w:id="1202"/>
      <w:bookmarkEnd w:id="1203"/>
      <w:bookmarkEnd w:id="1204"/>
      <w:bookmarkEnd w:id="1205"/>
      <w:bookmarkEnd w:id="1206"/>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补充约定：</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履约期间发生不可抗力事件后，监理人应在不可抗力事件结束后48小时内，向委托人通报受损情况以及预计恢复的费用；持续发生时，监理人应每隔7日向委托人报告一次受损情况，直至不可抗力事件结束后14日内，向委托人正式提交受损情况及预计恢复费用的书面报告和有关资料。</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如果不可抗力严重影响合同以致无法继续履行，委托人有权通知监理人解除合同。一旦发出此项通知，本合同即告终止，但不损害任何一方对另一方在此以前发生的任何违约所应享有的</w:t>
      </w:r>
      <w:r>
        <w:rPr>
          <w:rFonts w:hint="eastAsia" w:asciiTheme="minorEastAsia" w:hAnsiTheme="minorEastAsia" w:eastAsiaTheme="minorEastAsia"/>
          <w:bCs/>
          <w:kern w:val="0"/>
          <w:sz w:val="24"/>
        </w:rPr>
        <w:t>追责</w:t>
      </w:r>
      <w:r>
        <w:rPr>
          <w:rFonts w:asciiTheme="minorEastAsia" w:hAnsiTheme="minorEastAsia" w:eastAsiaTheme="minorEastAsia"/>
          <w:bCs/>
          <w:kern w:val="0"/>
          <w:sz w:val="24"/>
        </w:rPr>
        <w:t>权利。</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因出现不可抗力致使本合同不能履行或仅能部分履行时，委托人应向监理人支付</w:t>
      </w:r>
      <w:r>
        <w:rPr>
          <w:rFonts w:hint="eastAsia" w:asciiTheme="minorEastAsia" w:hAnsiTheme="minorEastAsia" w:eastAsiaTheme="minorEastAsia"/>
          <w:bCs/>
          <w:kern w:val="0"/>
          <w:sz w:val="24"/>
        </w:rPr>
        <w:t>合同</w:t>
      </w:r>
      <w:r>
        <w:rPr>
          <w:rFonts w:asciiTheme="minorEastAsia" w:hAnsiTheme="minorEastAsia" w:eastAsiaTheme="minorEastAsia"/>
          <w:bCs/>
          <w:kern w:val="0"/>
          <w:sz w:val="24"/>
        </w:rPr>
        <w:t>终止之日前</w:t>
      </w:r>
      <w:r>
        <w:rPr>
          <w:rFonts w:hint="eastAsia" w:asciiTheme="minorEastAsia" w:hAnsiTheme="minorEastAsia" w:eastAsiaTheme="minorEastAsia"/>
          <w:bCs/>
          <w:kern w:val="0"/>
          <w:sz w:val="24"/>
        </w:rPr>
        <w:t>的</w:t>
      </w:r>
      <w:r>
        <w:rPr>
          <w:rFonts w:asciiTheme="minorEastAsia" w:hAnsiTheme="minorEastAsia" w:eastAsiaTheme="minorEastAsia"/>
          <w:bCs/>
          <w:kern w:val="0"/>
          <w:sz w:val="24"/>
        </w:rPr>
        <w:t>监理服务费用；由此产生的任何损失、损害或延误等，双方各负其责。</w:t>
      </w:r>
    </w:p>
    <w:p>
      <w:pPr>
        <w:keepNext/>
        <w:keepLines/>
        <w:spacing w:beforeLines="50" w:afterLines="50" w:line="288" w:lineRule="auto"/>
        <w:outlineLvl w:val="1"/>
        <w:rPr>
          <w:rFonts w:asciiTheme="minorEastAsia" w:hAnsiTheme="minorEastAsia" w:eastAsiaTheme="minorEastAsia"/>
          <w:b/>
          <w:bCs/>
          <w:sz w:val="24"/>
        </w:rPr>
      </w:pPr>
      <w:bookmarkStart w:id="1207" w:name="_Toc496098777"/>
      <w:bookmarkStart w:id="1208" w:name="_Toc20475"/>
      <w:bookmarkStart w:id="1209" w:name="_Toc443898863"/>
      <w:r>
        <w:rPr>
          <w:rFonts w:asciiTheme="minorEastAsia" w:hAnsiTheme="minorEastAsia" w:eastAsiaTheme="minorEastAsia"/>
          <w:b/>
          <w:bCs/>
          <w:sz w:val="24"/>
        </w:rPr>
        <w:t xml:space="preserve">5. </w:t>
      </w:r>
      <w:r>
        <w:rPr>
          <w:rFonts w:hint="eastAsia" w:asciiTheme="minorEastAsia" w:hAnsiTheme="minorEastAsia" w:eastAsiaTheme="minorEastAsia"/>
          <w:b/>
          <w:bCs/>
          <w:sz w:val="24"/>
        </w:rPr>
        <w:t>支付</w:t>
      </w:r>
      <w:bookmarkEnd w:id="1207"/>
      <w:bookmarkEnd w:id="1208"/>
      <w:bookmarkEnd w:id="1209"/>
    </w:p>
    <w:p>
      <w:pPr>
        <w:keepNext/>
        <w:keepLines/>
        <w:spacing w:line="288" w:lineRule="auto"/>
        <w:outlineLvl w:val="2"/>
        <w:rPr>
          <w:rFonts w:asciiTheme="minorEastAsia" w:hAnsiTheme="minorEastAsia" w:eastAsiaTheme="minorEastAsia"/>
          <w:b/>
          <w:sz w:val="24"/>
        </w:rPr>
      </w:pPr>
      <w:bookmarkStart w:id="1210" w:name="_Toc496098778"/>
      <w:bookmarkStart w:id="1211" w:name="_Toc13040"/>
      <w:bookmarkStart w:id="1212" w:name="_Toc443898864"/>
      <w:bookmarkStart w:id="1213" w:name="_Toc18003"/>
      <w:bookmarkStart w:id="1214" w:name="_Toc499204998"/>
      <w:bookmarkStart w:id="1215" w:name="_Toc499311213"/>
      <w:r>
        <w:rPr>
          <w:rFonts w:asciiTheme="minorEastAsia" w:hAnsiTheme="minorEastAsia" w:eastAsiaTheme="minorEastAsia"/>
          <w:b/>
          <w:sz w:val="24"/>
        </w:rPr>
        <w:t xml:space="preserve">5.1 </w:t>
      </w:r>
      <w:r>
        <w:rPr>
          <w:rFonts w:hint="eastAsia" w:asciiTheme="minorEastAsia" w:hAnsiTheme="minorEastAsia" w:eastAsiaTheme="minorEastAsia"/>
          <w:b/>
          <w:sz w:val="24"/>
        </w:rPr>
        <w:t>支付货币</w:t>
      </w:r>
      <w:bookmarkEnd w:id="1210"/>
      <w:bookmarkEnd w:id="1211"/>
      <w:bookmarkEnd w:id="1212"/>
      <w:bookmarkEnd w:id="1213"/>
      <w:bookmarkEnd w:id="1214"/>
      <w:bookmarkEnd w:id="1215"/>
    </w:p>
    <w:p>
      <w:pPr>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币种为：人民币，比例为：</w:t>
      </w:r>
      <w:r>
        <w:rPr>
          <w:rFonts w:asciiTheme="minorEastAsia" w:hAnsiTheme="minorEastAsia" w:eastAsiaTheme="minorEastAsia"/>
          <w:bCs/>
          <w:sz w:val="24"/>
          <w:u w:val="single"/>
        </w:rPr>
        <w:t xml:space="preserve"> /  </w:t>
      </w:r>
      <w:r>
        <w:rPr>
          <w:rFonts w:asciiTheme="minorEastAsia" w:hAnsiTheme="minorEastAsia" w:eastAsiaTheme="minorEastAsia"/>
          <w:bCs/>
          <w:sz w:val="24"/>
        </w:rPr>
        <w:t>，汇率为：</w:t>
      </w:r>
      <w:r>
        <w:rPr>
          <w:rFonts w:asciiTheme="minorEastAsia" w:hAnsiTheme="minorEastAsia" w:eastAsiaTheme="minorEastAsia"/>
          <w:bCs/>
          <w:sz w:val="24"/>
          <w:u w:val="single"/>
        </w:rPr>
        <w:t xml:space="preserve"> / </w:t>
      </w:r>
      <w:r>
        <w:rPr>
          <w:rFonts w:asciiTheme="minorEastAsia" w:hAnsiTheme="minorEastAsia" w:eastAsiaTheme="minorEastAsia"/>
          <w:bCs/>
          <w:sz w:val="24"/>
        </w:rPr>
        <w:t>。</w:t>
      </w:r>
    </w:p>
    <w:p>
      <w:pPr>
        <w:keepNext/>
        <w:keepLines/>
        <w:spacing w:line="288" w:lineRule="auto"/>
        <w:outlineLvl w:val="2"/>
        <w:rPr>
          <w:rFonts w:asciiTheme="minorEastAsia" w:hAnsiTheme="minorEastAsia" w:eastAsiaTheme="minorEastAsia"/>
          <w:b/>
          <w:sz w:val="24"/>
        </w:rPr>
      </w:pPr>
      <w:bookmarkStart w:id="1216" w:name="_Toc499311214"/>
      <w:bookmarkStart w:id="1217" w:name="_Toc443898865"/>
      <w:bookmarkStart w:id="1218" w:name="_Toc496098779"/>
      <w:bookmarkStart w:id="1219" w:name="_Toc499204999"/>
      <w:bookmarkStart w:id="1220" w:name="_Toc8822"/>
      <w:bookmarkStart w:id="1221" w:name="_Toc13558"/>
      <w:r>
        <w:rPr>
          <w:rFonts w:asciiTheme="minorEastAsia" w:hAnsiTheme="minorEastAsia" w:eastAsiaTheme="minorEastAsia"/>
          <w:b/>
          <w:sz w:val="24"/>
        </w:rPr>
        <w:t xml:space="preserve">5.3 </w:t>
      </w:r>
      <w:r>
        <w:rPr>
          <w:rFonts w:hint="eastAsia" w:asciiTheme="minorEastAsia" w:hAnsiTheme="minorEastAsia" w:eastAsiaTheme="minorEastAsia"/>
          <w:b/>
          <w:sz w:val="24"/>
        </w:rPr>
        <w:t>支付酬金</w:t>
      </w:r>
      <w:bookmarkEnd w:id="1216"/>
      <w:bookmarkEnd w:id="1217"/>
      <w:bookmarkEnd w:id="1218"/>
      <w:bookmarkEnd w:id="1219"/>
      <w:bookmarkEnd w:id="1220"/>
      <w:bookmarkEnd w:id="1221"/>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监理服务费</w:t>
      </w:r>
      <w:r>
        <w:rPr>
          <w:rFonts w:hint="eastAsia" w:asciiTheme="minorEastAsia" w:hAnsiTheme="minorEastAsia" w:eastAsiaTheme="minorEastAsia"/>
          <w:bCs/>
          <w:sz w:val="24"/>
        </w:rPr>
        <w:t>费率为</w:t>
      </w:r>
      <w:r>
        <w:rPr>
          <w:rFonts w:asciiTheme="minorEastAsia" w:hAnsiTheme="minorEastAsia" w:eastAsiaTheme="minorEastAsia"/>
          <w:bCs/>
          <w:sz w:val="24"/>
        </w:rPr>
        <w:t>监理人应充分考虑工程规模、监理范围、工作内容、监理难度、工作条件、自身实力和风险因素，充分考虑市场竞争情况，进行</w:t>
      </w:r>
      <w:r>
        <w:rPr>
          <w:rFonts w:hint="eastAsia" w:asciiTheme="minorEastAsia" w:hAnsiTheme="minorEastAsia" w:eastAsiaTheme="minorEastAsia"/>
          <w:bCs/>
          <w:sz w:val="24"/>
        </w:rPr>
        <w:t>的</w:t>
      </w:r>
      <w:r>
        <w:rPr>
          <w:rFonts w:asciiTheme="minorEastAsia" w:hAnsiTheme="minorEastAsia" w:eastAsiaTheme="minorEastAsia"/>
          <w:bCs/>
          <w:sz w:val="24"/>
        </w:rPr>
        <w:t>报价。</w:t>
      </w:r>
      <w:r>
        <w:rPr>
          <w:rFonts w:hint="eastAsia" w:asciiTheme="minorEastAsia" w:hAnsiTheme="minorEastAsia" w:eastAsiaTheme="minorEastAsia"/>
          <w:bCs/>
          <w:sz w:val="24"/>
        </w:rPr>
        <w:t>监理人的具体工作包括：所监理项目范围内施工承包人的所有工作监理，甲供材料设备监理。监理服务费应包括完成上述监理工作服务费用，还应包括</w:t>
      </w:r>
      <w:r>
        <w:rPr>
          <w:rFonts w:asciiTheme="minorEastAsia" w:hAnsiTheme="minorEastAsia" w:eastAsiaTheme="minorEastAsia"/>
          <w:bCs/>
          <w:sz w:val="24"/>
        </w:rPr>
        <w:t>施工阶段监理人员服务费、加班费、食宿费、交通费、办公设备、用品费、监理设备使用维护费、所有自行或者外委试验检测的相关费用</w:t>
      </w:r>
      <w:r>
        <w:rPr>
          <w:rFonts w:hint="eastAsia" w:asciiTheme="minorEastAsia" w:hAnsiTheme="minorEastAsia" w:eastAsiaTheme="minorEastAsia"/>
          <w:bCs/>
          <w:sz w:val="24"/>
        </w:rPr>
        <w:t>、</w:t>
      </w:r>
      <w:r>
        <w:rPr>
          <w:rFonts w:asciiTheme="minorEastAsia" w:hAnsiTheme="minorEastAsia" w:eastAsiaTheme="minorEastAsia"/>
          <w:bCs/>
          <w:sz w:val="24"/>
        </w:rPr>
        <w:t>现场管理费用</w:t>
      </w:r>
      <w:r>
        <w:rPr>
          <w:rFonts w:hint="eastAsia" w:asciiTheme="minorEastAsia" w:hAnsiTheme="minorEastAsia" w:eastAsiaTheme="minorEastAsia"/>
          <w:bCs/>
          <w:sz w:val="24"/>
        </w:rPr>
        <w:t>、</w:t>
      </w:r>
      <w:r>
        <w:rPr>
          <w:rFonts w:asciiTheme="minorEastAsia" w:hAnsiTheme="minorEastAsia" w:eastAsiaTheme="minorEastAsia"/>
          <w:bCs/>
          <w:sz w:val="24"/>
        </w:rPr>
        <w:t>公司管理费用</w:t>
      </w:r>
      <w:r>
        <w:rPr>
          <w:rFonts w:hint="eastAsia" w:asciiTheme="minorEastAsia" w:hAnsiTheme="minorEastAsia" w:eastAsiaTheme="minorEastAsia"/>
          <w:bCs/>
          <w:sz w:val="24"/>
        </w:rPr>
        <w:t>、</w:t>
      </w:r>
      <w:r>
        <w:rPr>
          <w:rFonts w:asciiTheme="minorEastAsia" w:hAnsiTheme="minorEastAsia" w:eastAsiaTheme="minorEastAsia"/>
          <w:bCs/>
          <w:sz w:val="24"/>
        </w:rPr>
        <w:t>监理服务风险费</w:t>
      </w:r>
      <w:r>
        <w:rPr>
          <w:rFonts w:hint="eastAsia" w:asciiTheme="minorEastAsia" w:hAnsiTheme="minorEastAsia" w:eastAsiaTheme="minorEastAsia"/>
          <w:bCs/>
          <w:sz w:val="24"/>
        </w:rPr>
        <w:t>、</w:t>
      </w:r>
      <w:r>
        <w:rPr>
          <w:rFonts w:asciiTheme="minorEastAsia" w:hAnsiTheme="minorEastAsia" w:eastAsiaTheme="minorEastAsia"/>
          <w:bCs/>
          <w:sz w:val="24"/>
        </w:rPr>
        <w:t>利润</w:t>
      </w:r>
      <w:r>
        <w:rPr>
          <w:rFonts w:hint="eastAsia" w:asciiTheme="minorEastAsia" w:hAnsiTheme="minorEastAsia" w:eastAsiaTheme="minorEastAsia"/>
          <w:bCs/>
          <w:sz w:val="24"/>
        </w:rPr>
        <w:t>、</w:t>
      </w:r>
      <w:r>
        <w:rPr>
          <w:rFonts w:asciiTheme="minorEastAsia" w:hAnsiTheme="minorEastAsia" w:eastAsiaTheme="minorEastAsia"/>
          <w:bCs/>
          <w:sz w:val="24"/>
        </w:rPr>
        <w:t>税金等</w:t>
      </w:r>
      <w:r>
        <w:rPr>
          <w:rFonts w:hint="eastAsia" w:asciiTheme="minorEastAsia" w:hAnsiTheme="minorEastAsia" w:eastAsiaTheme="minorEastAsia"/>
          <w:bCs/>
          <w:sz w:val="24"/>
        </w:rPr>
        <w:t>费用。</w:t>
      </w:r>
      <w:r>
        <w:rPr>
          <w:rFonts w:asciiTheme="minorEastAsia" w:hAnsiTheme="minorEastAsia" w:eastAsiaTheme="minorEastAsia"/>
          <w:bCs/>
          <w:sz w:val="24"/>
        </w:rPr>
        <w:t>中标后，所报</w:t>
      </w:r>
      <w:r>
        <w:rPr>
          <w:rFonts w:hint="eastAsia" w:asciiTheme="minorEastAsia" w:hAnsiTheme="minorEastAsia" w:eastAsiaTheme="minorEastAsia"/>
          <w:bCs/>
          <w:sz w:val="24"/>
        </w:rPr>
        <w:t>费率</w:t>
      </w:r>
      <w:r>
        <w:rPr>
          <w:rFonts w:asciiTheme="minorEastAsia" w:hAnsiTheme="minorEastAsia" w:eastAsiaTheme="minorEastAsia"/>
          <w:bCs/>
          <w:sz w:val="24"/>
        </w:rPr>
        <w:t>在合同履行期间保持不变</w:t>
      </w:r>
      <w:r>
        <w:rPr>
          <w:rFonts w:hint="eastAsia" w:asciiTheme="minorEastAsia" w:hAnsiTheme="minorEastAsia" w:eastAsiaTheme="minorEastAsia"/>
          <w:bCs/>
          <w:sz w:val="24"/>
        </w:rPr>
        <w:t>，不因工期提前或顺延而变化。无论何种原因导致监理服务周期调整，均属正常监理工作，委托人不因此另行支付其它费用。</w:t>
      </w:r>
    </w:p>
    <w:p>
      <w:pPr>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第5.3.1（1）项中包含招标范围内所对应的所有设备采购、安装合同的监理服务工作。</w:t>
      </w:r>
    </w:p>
    <w:p>
      <w:pPr>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5.3.1付款方式</w:t>
      </w:r>
    </w:p>
    <w:p>
      <w:pPr>
        <w:spacing w:line="288" w:lineRule="auto"/>
        <w:ind w:firstLine="420"/>
        <w:rPr>
          <w:rFonts w:asciiTheme="minorEastAsia" w:hAnsiTheme="minorEastAsia" w:eastAsiaTheme="minorEastAsia"/>
          <w:bCs/>
          <w:kern w:val="0"/>
          <w:sz w:val="24"/>
        </w:rPr>
      </w:pPr>
      <w:r>
        <w:rPr>
          <w:rFonts w:hint="eastAsia" w:ascii="宋体" w:hAnsi="宋体" w:cs="宋体"/>
          <w:sz w:val="24"/>
        </w:rPr>
        <w:t>施工过程中根据工程形象进度支付施工单位工程款时按照本项目中标的监理费费率同比例支付监理费，工程全部竣工且监理人向委托人提供备案所必需由监理人出具的全部资料并履行政府投资项目拨款流程后十个工作日内支付至合同监理费的85%，工程审计结算完成并履行政府投资项目拨款流程后十个工作日内支付至合同监理费的97%。</w:t>
      </w:r>
    </w:p>
    <w:p>
      <w:pPr>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5.3.2预付款</w:t>
      </w:r>
    </w:p>
    <w:p>
      <w:pPr>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预付款支付比例或金额：</w:t>
      </w:r>
      <w:r>
        <w:rPr>
          <w:rFonts w:hint="eastAsia" w:asciiTheme="minorEastAsia" w:hAnsiTheme="minorEastAsia" w:eastAsiaTheme="minorEastAsia"/>
          <w:bCs/>
          <w:kern w:val="0"/>
          <w:sz w:val="24"/>
          <w:u w:val="single"/>
        </w:rPr>
        <w:t xml:space="preserve"> /</w:t>
      </w:r>
      <w:r>
        <w:rPr>
          <w:rFonts w:hint="eastAsia" w:asciiTheme="minorEastAsia" w:hAnsiTheme="minorEastAsia" w:eastAsiaTheme="minorEastAsia"/>
          <w:bCs/>
          <w:kern w:val="0"/>
          <w:sz w:val="24"/>
        </w:rPr>
        <w:t>。</w:t>
      </w:r>
    </w:p>
    <w:p>
      <w:pPr>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预付款支付期限</w:t>
      </w:r>
      <w:r>
        <w:rPr>
          <w:rFonts w:hint="eastAsia" w:asciiTheme="minorEastAsia" w:hAnsiTheme="minorEastAsia" w:eastAsiaTheme="minorEastAsia"/>
          <w:bCs/>
          <w:kern w:val="0"/>
          <w:sz w:val="24"/>
          <w:u w:val="single"/>
        </w:rPr>
        <w:t xml:space="preserve">：/ </w:t>
      </w:r>
      <w:r>
        <w:rPr>
          <w:rFonts w:hint="eastAsia" w:asciiTheme="minorEastAsia" w:hAnsiTheme="minorEastAsia" w:eastAsiaTheme="minorEastAsia"/>
          <w:bCs/>
          <w:kern w:val="0"/>
          <w:sz w:val="24"/>
        </w:rPr>
        <w:t>。</w:t>
      </w:r>
    </w:p>
    <w:p>
      <w:pPr>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 xml:space="preserve">预付款扣回的方式： </w:t>
      </w:r>
      <w:r>
        <w:rPr>
          <w:rFonts w:hint="eastAsia" w:asciiTheme="minorEastAsia" w:hAnsiTheme="minorEastAsia" w:eastAsiaTheme="minorEastAsia"/>
          <w:bCs/>
          <w:kern w:val="0"/>
          <w:sz w:val="24"/>
          <w:u w:val="single"/>
        </w:rPr>
        <w:t>/</w:t>
      </w:r>
      <w:r>
        <w:rPr>
          <w:rFonts w:hint="eastAsia" w:asciiTheme="minorEastAsia" w:hAnsiTheme="minorEastAsia" w:eastAsiaTheme="minorEastAsia"/>
          <w:bCs/>
          <w:kern w:val="0"/>
          <w:sz w:val="24"/>
        </w:rPr>
        <w:t>。</w:t>
      </w:r>
    </w:p>
    <w:p>
      <w:pPr>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5.3.3竣工结算支付</w:t>
      </w:r>
    </w:p>
    <w:p>
      <w:pPr>
        <w:spacing w:line="288" w:lineRule="auto"/>
        <w:ind w:firstLine="484" w:firstLineChars="202"/>
        <w:rPr>
          <w:rFonts w:asciiTheme="minorEastAsia" w:hAnsiTheme="minorEastAsia" w:eastAsiaTheme="minorEastAsia"/>
          <w:bCs/>
          <w:kern w:val="0"/>
          <w:sz w:val="24"/>
        </w:rPr>
      </w:pPr>
      <w:r>
        <w:rPr>
          <w:rFonts w:hint="eastAsia" w:asciiTheme="minorEastAsia" w:hAnsiTheme="minorEastAsia" w:eastAsiaTheme="minorEastAsia"/>
          <w:bCs/>
          <w:kern w:val="0"/>
          <w:sz w:val="24"/>
        </w:rPr>
        <w:t>最终监理服务费=所监理范围内结算金额*中标费率。</w:t>
      </w:r>
    </w:p>
    <w:p>
      <w:pPr>
        <w:spacing w:line="288" w:lineRule="auto"/>
        <w:ind w:firstLine="484" w:firstLineChars="202"/>
        <w:rPr>
          <w:rFonts w:asciiTheme="minorEastAsia" w:hAnsiTheme="minorEastAsia" w:eastAsiaTheme="minorEastAsia"/>
          <w:bCs/>
          <w:kern w:val="0"/>
          <w:sz w:val="24"/>
        </w:rPr>
      </w:pPr>
      <w:r>
        <w:rPr>
          <w:rFonts w:hint="eastAsia" w:asciiTheme="minorEastAsia" w:hAnsiTheme="minorEastAsia" w:eastAsiaTheme="minorEastAsia"/>
          <w:bCs/>
          <w:kern w:val="0"/>
          <w:sz w:val="24"/>
        </w:rPr>
        <w:t>（1）工程结算经政府财政主管部门审定后，监理服务费付至经审定结算监理服务费的97%；</w:t>
      </w:r>
    </w:p>
    <w:p>
      <w:pPr>
        <w:ind w:firstLine="484" w:firstLineChars="202"/>
        <w:rPr>
          <w:rFonts w:asciiTheme="minorEastAsia" w:hAnsiTheme="minorEastAsia" w:eastAsiaTheme="minorEastAsia"/>
          <w:bCs/>
          <w:kern w:val="0"/>
          <w:sz w:val="24"/>
        </w:rPr>
      </w:pPr>
      <w:r>
        <w:rPr>
          <w:rFonts w:hint="eastAsia" w:asciiTheme="minorEastAsia" w:hAnsiTheme="minorEastAsia" w:eastAsiaTheme="minorEastAsia"/>
          <w:bCs/>
          <w:kern w:val="0"/>
          <w:sz w:val="24"/>
        </w:rPr>
        <w:t>（2）如未按省市档案部门要求移交竣工档案资料，暂扣经审定结算监理服务费的3%，按省市档案部门要求移交竣工档案资料后，支付该部分费用。</w:t>
      </w:r>
    </w:p>
    <w:p>
      <w:pPr>
        <w:ind w:firstLine="424" w:firstLineChars="177"/>
        <w:rPr>
          <w:rFonts w:asciiTheme="minorEastAsia" w:hAnsiTheme="minorEastAsia" w:eastAsiaTheme="minorEastAsia"/>
          <w:bCs/>
          <w:kern w:val="0"/>
          <w:sz w:val="24"/>
        </w:rPr>
      </w:pPr>
      <w:r>
        <w:rPr>
          <w:rFonts w:hint="eastAsia" w:asciiTheme="minorEastAsia" w:hAnsiTheme="minorEastAsia" w:eastAsiaTheme="minorEastAsia"/>
          <w:bCs/>
          <w:kern w:val="0"/>
          <w:sz w:val="24"/>
        </w:rPr>
        <w:t>5.3.4工作质量保证金</w:t>
      </w:r>
    </w:p>
    <w:p>
      <w:pPr>
        <w:rPr>
          <w:sz w:val="24"/>
        </w:rPr>
      </w:pPr>
      <w:r>
        <w:rPr>
          <w:rFonts w:hint="eastAsia"/>
          <w:sz w:val="24"/>
        </w:rPr>
        <w:t>工作质量保证金是监理人为保证工作质量能够满足合同约定和规范规程的保证金，如果监理人工作质量违反了合同约定或规范规程，委托人将扣除部分或者全部的工作质量保证金；如果</w:t>
      </w:r>
      <w:r>
        <w:rPr>
          <w:rFonts w:hint="eastAsia" w:asciiTheme="minorEastAsia" w:hAnsiTheme="minorEastAsia" w:eastAsiaTheme="minorEastAsia"/>
          <w:bCs/>
          <w:kern w:val="0"/>
          <w:sz w:val="24"/>
        </w:rPr>
        <w:t>监理人造成的工程损失，其工作质量保证金不足以弥补时，委托人有权向监理人索取赔偿金，用以补足损失的差额部分。工作质量保证金在监理服务费结算时一次性扣留，扣留比例为经审定结算监理服务费的3%。监理服务周期满后，监理人可向委托人提交工作质量保证金支付申请。</w:t>
      </w:r>
    </w:p>
    <w:p>
      <w:pPr>
        <w:spacing w:line="288" w:lineRule="auto"/>
        <w:ind w:firstLine="424" w:firstLineChars="177"/>
        <w:rPr>
          <w:rFonts w:asciiTheme="minorEastAsia" w:hAnsiTheme="minorEastAsia" w:eastAsiaTheme="minorEastAsia"/>
          <w:bCs/>
          <w:kern w:val="0"/>
          <w:sz w:val="24"/>
        </w:rPr>
      </w:pPr>
      <w:r>
        <w:rPr>
          <w:rFonts w:hint="eastAsia" w:asciiTheme="minorEastAsia" w:hAnsiTheme="minorEastAsia" w:eastAsiaTheme="minorEastAsia"/>
          <w:bCs/>
          <w:kern w:val="0"/>
          <w:sz w:val="24"/>
        </w:rPr>
        <w:t>5.3.5支付申请</w:t>
      </w:r>
    </w:p>
    <w:p>
      <w:pPr>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监理人应按照委托人确定的监理服务费支付申请格式，向委托人提交监理服务收费支付申请。委托人在收到监理服务收费支付申请单后21天内予以审批，在批复后21天内向监理人支付。若委托人对监理人提交的支付申请存有异议，委托人应在收到监理服务费支付申请后21天内将申请退回监理人，并要求其重新计算、上报，但不得借此延误对监理人其它应得款项的支付。</w:t>
      </w:r>
    </w:p>
    <w:p>
      <w:pPr>
        <w:keepNext/>
        <w:keepLines/>
        <w:spacing w:beforeLines="50" w:afterLines="50" w:line="288" w:lineRule="auto"/>
        <w:outlineLvl w:val="1"/>
        <w:rPr>
          <w:rFonts w:asciiTheme="minorEastAsia" w:hAnsiTheme="minorEastAsia" w:eastAsiaTheme="minorEastAsia"/>
          <w:b/>
          <w:bCs/>
          <w:sz w:val="24"/>
        </w:rPr>
      </w:pPr>
      <w:bookmarkStart w:id="1222" w:name="_Toc24929"/>
      <w:bookmarkStart w:id="1223" w:name="_Toc496098780"/>
      <w:bookmarkStart w:id="1224" w:name="_Toc443898866"/>
      <w:r>
        <w:rPr>
          <w:rFonts w:asciiTheme="minorEastAsia" w:hAnsiTheme="minorEastAsia" w:eastAsiaTheme="minorEastAsia"/>
          <w:b/>
          <w:bCs/>
          <w:sz w:val="24"/>
        </w:rPr>
        <w:t xml:space="preserve">6. </w:t>
      </w:r>
      <w:r>
        <w:rPr>
          <w:rFonts w:hint="eastAsia" w:asciiTheme="minorEastAsia" w:hAnsiTheme="minorEastAsia" w:eastAsiaTheme="minorEastAsia"/>
          <w:b/>
          <w:bCs/>
          <w:sz w:val="24"/>
        </w:rPr>
        <w:t>合同生效、变更、暂停、解除与终止</w:t>
      </w:r>
      <w:bookmarkEnd w:id="1222"/>
      <w:bookmarkEnd w:id="1223"/>
      <w:bookmarkEnd w:id="1224"/>
    </w:p>
    <w:p>
      <w:pPr>
        <w:keepNext/>
        <w:keepLines/>
        <w:spacing w:line="288" w:lineRule="auto"/>
        <w:outlineLvl w:val="2"/>
        <w:rPr>
          <w:rFonts w:asciiTheme="minorEastAsia" w:hAnsiTheme="minorEastAsia" w:eastAsiaTheme="minorEastAsia"/>
          <w:b/>
          <w:sz w:val="24"/>
        </w:rPr>
      </w:pPr>
      <w:bookmarkStart w:id="1225" w:name="_Toc32022"/>
      <w:bookmarkStart w:id="1226" w:name="_Toc443898867"/>
      <w:bookmarkStart w:id="1227" w:name="_Toc14358"/>
      <w:bookmarkStart w:id="1228" w:name="_Toc496098781"/>
      <w:bookmarkStart w:id="1229" w:name="_Toc499205001"/>
      <w:bookmarkStart w:id="1230" w:name="_Toc499311216"/>
      <w:r>
        <w:rPr>
          <w:rFonts w:asciiTheme="minorEastAsia" w:hAnsiTheme="minorEastAsia" w:eastAsiaTheme="minorEastAsia"/>
          <w:b/>
          <w:sz w:val="24"/>
        </w:rPr>
        <w:t xml:space="preserve">6.1 </w:t>
      </w:r>
      <w:r>
        <w:rPr>
          <w:rFonts w:hint="eastAsia" w:asciiTheme="minorEastAsia" w:hAnsiTheme="minorEastAsia" w:eastAsiaTheme="minorEastAsia"/>
          <w:b/>
          <w:sz w:val="24"/>
        </w:rPr>
        <w:t>生效</w:t>
      </w:r>
      <w:bookmarkEnd w:id="1225"/>
      <w:bookmarkEnd w:id="1226"/>
      <w:bookmarkEnd w:id="1227"/>
      <w:bookmarkEnd w:id="1228"/>
      <w:bookmarkEnd w:id="1229"/>
      <w:bookmarkEnd w:id="1230"/>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本合同生效条件：</w:t>
      </w:r>
      <w:r>
        <w:rPr>
          <w:rFonts w:asciiTheme="minorEastAsia" w:hAnsiTheme="minorEastAsia" w:eastAsiaTheme="minorEastAsia"/>
          <w:bCs/>
          <w:kern w:val="0"/>
          <w:sz w:val="24"/>
          <w:u w:val="single"/>
        </w:rPr>
        <w:t>本合同自双方签字盖章后生效。</w:t>
      </w:r>
    </w:p>
    <w:p>
      <w:pPr>
        <w:keepNext/>
        <w:keepLines/>
        <w:spacing w:line="288" w:lineRule="auto"/>
        <w:outlineLvl w:val="2"/>
        <w:rPr>
          <w:rFonts w:asciiTheme="minorEastAsia" w:hAnsiTheme="minorEastAsia" w:eastAsiaTheme="minorEastAsia"/>
          <w:b/>
          <w:sz w:val="24"/>
        </w:rPr>
      </w:pPr>
      <w:bookmarkStart w:id="1231" w:name="_Toc28946"/>
      <w:bookmarkStart w:id="1232" w:name="_Toc499311217"/>
      <w:bookmarkStart w:id="1233" w:name="_Toc496098782"/>
      <w:bookmarkStart w:id="1234" w:name="_Toc499205002"/>
      <w:bookmarkStart w:id="1235" w:name="_Toc1480"/>
      <w:bookmarkStart w:id="1236" w:name="_Toc443898868"/>
      <w:r>
        <w:rPr>
          <w:rFonts w:asciiTheme="minorEastAsia" w:hAnsiTheme="minorEastAsia" w:eastAsiaTheme="minorEastAsia"/>
          <w:b/>
          <w:sz w:val="24"/>
        </w:rPr>
        <w:t xml:space="preserve">6.2 </w:t>
      </w:r>
      <w:r>
        <w:rPr>
          <w:rFonts w:hint="eastAsia" w:asciiTheme="minorEastAsia" w:hAnsiTheme="minorEastAsia" w:eastAsiaTheme="minorEastAsia"/>
          <w:b/>
          <w:sz w:val="24"/>
        </w:rPr>
        <w:t>变更</w:t>
      </w:r>
      <w:bookmarkEnd w:id="1231"/>
      <w:bookmarkEnd w:id="1232"/>
      <w:bookmarkEnd w:id="1233"/>
      <w:bookmarkEnd w:id="1234"/>
      <w:bookmarkEnd w:id="1235"/>
      <w:bookmarkEnd w:id="1236"/>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6.2.2</w:t>
      </w:r>
      <w:r>
        <w:rPr>
          <w:rFonts w:asciiTheme="minorEastAsia" w:hAnsiTheme="minorEastAsia" w:eastAsiaTheme="minorEastAsia"/>
          <w:bCs/>
          <w:kern w:val="0"/>
          <w:sz w:val="24"/>
          <w:u w:val="single"/>
        </w:rPr>
        <w:t>不执行通用条件。</w:t>
      </w:r>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6.2.3</w:t>
      </w:r>
      <w:r>
        <w:rPr>
          <w:rFonts w:asciiTheme="minorEastAsia" w:hAnsiTheme="minorEastAsia" w:eastAsiaTheme="minorEastAsia"/>
          <w:bCs/>
          <w:kern w:val="0"/>
          <w:sz w:val="24"/>
          <w:u w:val="single"/>
        </w:rPr>
        <w:t>不执行通用条件。</w:t>
      </w:r>
    </w:p>
    <w:p>
      <w:pPr>
        <w:keepNext/>
        <w:keepLines/>
        <w:spacing w:line="288" w:lineRule="auto"/>
        <w:outlineLvl w:val="2"/>
        <w:rPr>
          <w:rFonts w:asciiTheme="minorEastAsia" w:hAnsiTheme="minorEastAsia" w:eastAsiaTheme="minorEastAsia"/>
          <w:b/>
          <w:sz w:val="24"/>
        </w:rPr>
      </w:pPr>
      <w:bookmarkStart w:id="1237" w:name="_Toc496098783"/>
      <w:bookmarkStart w:id="1238" w:name="_Toc470"/>
      <w:bookmarkStart w:id="1239" w:name="_Toc499311218"/>
      <w:bookmarkStart w:id="1240" w:name="_Toc499205003"/>
      <w:bookmarkStart w:id="1241" w:name="_Toc17073"/>
      <w:r>
        <w:rPr>
          <w:rFonts w:asciiTheme="minorEastAsia" w:hAnsiTheme="minorEastAsia" w:eastAsiaTheme="minorEastAsia"/>
          <w:b/>
          <w:sz w:val="24"/>
        </w:rPr>
        <w:t>6.4补充约定</w:t>
      </w:r>
      <w:bookmarkEnd w:id="1237"/>
      <w:bookmarkEnd w:id="1238"/>
      <w:bookmarkEnd w:id="1239"/>
      <w:bookmarkEnd w:id="1240"/>
      <w:bookmarkEnd w:id="1241"/>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合同的权利义务终止后，委托人和监理人应当遵循诚实信用原则，继续履行通知、协助、保密等</w:t>
      </w:r>
      <w:r>
        <w:rPr>
          <w:rFonts w:hint="eastAsia" w:asciiTheme="minorEastAsia" w:hAnsiTheme="minorEastAsia" w:eastAsiaTheme="minorEastAsia"/>
          <w:bCs/>
          <w:kern w:val="0"/>
          <w:sz w:val="24"/>
        </w:rPr>
        <w:t>附随</w:t>
      </w:r>
      <w:r>
        <w:rPr>
          <w:rFonts w:asciiTheme="minorEastAsia" w:hAnsiTheme="minorEastAsia" w:eastAsiaTheme="minorEastAsia"/>
          <w:bCs/>
          <w:kern w:val="0"/>
          <w:sz w:val="24"/>
        </w:rPr>
        <w:t>义务，合同中结算和清理等条款的效力应当继续有效。</w:t>
      </w:r>
    </w:p>
    <w:p>
      <w:pPr>
        <w:keepNext/>
        <w:keepLines/>
        <w:spacing w:beforeLines="50" w:afterLines="50" w:line="288" w:lineRule="auto"/>
        <w:outlineLvl w:val="1"/>
        <w:rPr>
          <w:rFonts w:asciiTheme="minorEastAsia" w:hAnsiTheme="minorEastAsia" w:eastAsiaTheme="minorEastAsia"/>
          <w:b/>
          <w:bCs/>
          <w:sz w:val="24"/>
        </w:rPr>
      </w:pPr>
      <w:bookmarkStart w:id="1242" w:name="_Toc496098784"/>
      <w:bookmarkStart w:id="1243" w:name="_Toc1959"/>
      <w:bookmarkStart w:id="1244" w:name="_Toc443898869"/>
      <w:r>
        <w:rPr>
          <w:rFonts w:asciiTheme="minorEastAsia" w:hAnsiTheme="minorEastAsia" w:eastAsiaTheme="minorEastAsia"/>
          <w:b/>
          <w:bCs/>
          <w:sz w:val="24"/>
        </w:rPr>
        <w:t xml:space="preserve">7. </w:t>
      </w:r>
      <w:r>
        <w:rPr>
          <w:rFonts w:hint="eastAsia" w:asciiTheme="minorEastAsia" w:hAnsiTheme="minorEastAsia" w:eastAsiaTheme="minorEastAsia"/>
          <w:b/>
          <w:bCs/>
          <w:sz w:val="24"/>
        </w:rPr>
        <w:t>争议解决</w:t>
      </w:r>
      <w:bookmarkEnd w:id="1242"/>
      <w:bookmarkEnd w:id="1243"/>
      <w:bookmarkEnd w:id="1244"/>
    </w:p>
    <w:p>
      <w:pPr>
        <w:keepNext/>
        <w:keepLines/>
        <w:spacing w:line="288" w:lineRule="auto"/>
        <w:outlineLvl w:val="2"/>
        <w:rPr>
          <w:rFonts w:asciiTheme="minorEastAsia" w:hAnsiTheme="minorEastAsia" w:eastAsiaTheme="minorEastAsia"/>
          <w:b/>
          <w:sz w:val="24"/>
        </w:rPr>
      </w:pPr>
      <w:bookmarkStart w:id="1245" w:name="_Toc443898870"/>
      <w:bookmarkStart w:id="1246" w:name="_Toc496098785"/>
      <w:bookmarkStart w:id="1247" w:name="_Toc5013"/>
      <w:bookmarkStart w:id="1248" w:name="_Toc499205005"/>
      <w:bookmarkStart w:id="1249" w:name="_Toc15521"/>
      <w:bookmarkStart w:id="1250" w:name="_Toc499311220"/>
      <w:r>
        <w:rPr>
          <w:rFonts w:asciiTheme="minorEastAsia" w:hAnsiTheme="minorEastAsia" w:eastAsiaTheme="minorEastAsia"/>
          <w:b/>
          <w:sz w:val="24"/>
        </w:rPr>
        <w:t xml:space="preserve">7.2 </w:t>
      </w:r>
      <w:r>
        <w:rPr>
          <w:rFonts w:hint="eastAsia" w:asciiTheme="minorEastAsia" w:hAnsiTheme="minorEastAsia" w:eastAsiaTheme="minorEastAsia"/>
          <w:b/>
          <w:sz w:val="24"/>
        </w:rPr>
        <w:t>调解</w:t>
      </w:r>
      <w:bookmarkEnd w:id="1245"/>
      <w:bookmarkEnd w:id="1246"/>
      <w:bookmarkEnd w:id="1247"/>
      <w:bookmarkEnd w:id="1248"/>
      <w:bookmarkEnd w:id="1249"/>
      <w:bookmarkEnd w:id="1250"/>
    </w:p>
    <w:p>
      <w:pPr>
        <w:snapToGrid w:val="0"/>
        <w:spacing w:line="288" w:lineRule="auto"/>
        <w:ind w:firstLine="470" w:firstLineChars="196"/>
        <w:rPr>
          <w:rFonts w:asciiTheme="minorEastAsia" w:hAnsiTheme="minorEastAsia" w:eastAsiaTheme="minorEastAsia"/>
          <w:bCs/>
          <w:sz w:val="24"/>
        </w:rPr>
      </w:pPr>
      <w:r>
        <w:rPr>
          <w:rFonts w:asciiTheme="minorEastAsia" w:hAnsiTheme="minorEastAsia" w:eastAsiaTheme="minorEastAsia"/>
          <w:bCs/>
          <w:sz w:val="24"/>
        </w:rPr>
        <w:t>本合同争议进行调解时，可提交</w:t>
      </w:r>
      <w:r>
        <w:rPr>
          <w:rFonts w:hint="eastAsia" w:asciiTheme="minorEastAsia" w:hAnsiTheme="minorEastAsia" w:eastAsiaTheme="minorEastAsia"/>
          <w:bCs/>
          <w:sz w:val="24"/>
          <w:u w:val="single"/>
        </w:rPr>
        <w:t>工程所在地</w:t>
      </w:r>
      <w:r>
        <w:rPr>
          <w:rFonts w:asciiTheme="minorEastAsia" w:hAnsiTheme="minorEastAsia" w:eastAsiaTheme="minorEastAsia"/>
          <w:bCs/>
          <w:kern w:val="0"/>
          <w:sz w:val="24"/>
          <w:u w:val="single"/>
        </w:rPr>
        <w:t>建设行政主管部门</w:t>
      </w:r>
      <w:r>
        <w:rPr>
          <w:rFonts w:asciiTheme="minorEastAsia" w:hAnsiTheme="minorEastAsia" w:eastAsiaTheme="minorEastAsia"/>
          <w:bCs/>
          <w:sz w:val="24"/>
        </w:rPr>
        <w:t>进行调解。</w:t>
      </w:r>
    </w:p>
    <w:p>
      <w:pPr>
        <w:keepNext/>
        <w:keepLines/>
        <w:spacing w:line="288" w:lineRule="auto"/>
        <w:outlineLvl w:val="2"/>
        <w:rPr>
          <w:rFonts w:asciiTheme="minorEastAsia" w:hAnsiTheme="minorEastAsia" w:eastAsiaTheme="minorEastAsia"/>
          <w:b/>
          <w:sz w:val="24"/>
        </w:rPr>
      </w:pPr>
      <w:bookmarkStart w:id="1251" w:name="_Toc443898871"/>
      <w:bookmarkStart w:id="1252" w:name="_Toc10113"/>
      <w:bookmarkStart w:id="1253" w:name="_Toc496098786"/>
      <w:bookmarkStart w:id="1254" w:name="_Toc499311221"/>
      <w:bookmarkStart w:id="1255" w:name="_Toc27980"/>
      <w:bookmarkStart w:id="1256" w:name="_Toc499205006"/>
      <w:r>
        <w:rPr>
          <w:rFonts w:asciiTheme="minorEastAsia" w:hAnsiTheme="minorEastAsia" w:eastAsiaTheme="minorEastAsia"/>
          <w:b/>
          <w:sz w:val="24"/>
        </w:rPr>
        <w:t xml:space="preserve">7.3 </w:t>
      </w:r>
      <w:r>
        <w:rPr>
          <w:rFonts w:hint="eastAsia" w:asciiTheme="minorEastAsia" w:hAnsiTheme="minorEastAsia" w:eastAsiaTheme="minorEastAsia"/>
          <w:b/>
          <w:sz w:val="24"/>
        </w:rPr>
        <w:t>仲裁或诉讼</w:t>
      </w:r>
      <w:bookmarkEnd w:id="1251"/>
      <w:bookmarkEnd w:id="1252"/>
      <w:bookmarkEnd w:id="1253"/>
      <w:bookmarkEnd w:id="1254"/>
      <w:bookmarkEnd w:id="1255"/>
      <w:bookmarkEnd w:id="1256"/>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合同争议的最终解决方式为下列第</w:t>
      </w:r>
      <w:r>
        <w:rPr>
          <w:rFonts w:asciiTheme="minorEastAsia" w:hAnsiTheme="minorEastAsia" w:eastAsiaTheme="minorEastAsia"/>
          <w:bCs/>
          <w:kern w:val="0"/>
          <w:sz w:val="24"/>
          <w:u w:val="single"/>
        </w:rPr>
        <w:t xml:space="preserve">（1） </w:t>
      </w:r>
      <w:r>
        <w:rPr>
          <w:rFonts w:asciiTheme="minorEastAsia" w:hAnsiTheme="minorEastAsia" w:eastAsiaTheme="minorEastAsia"/>
          <w:bCs/>
          <w:sz w:val="24"/>
        </w:rPr>
        <w:t>种方式：</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（1）提请</w:t>
      </w:r>
      <w:r>
        <w:rPr>
          <w:rFonts w:hint="eastAsia" w:asciiTheme="minorEastAsia" w:hAnsiTheme="minorEastAsia" w:eastAsiaTheme="minorEastAsia"/>
          <w:bCs/>
          <w:sz w:val="24"/>
        </w:rPr>
        <w:t>许昌市</w:t>
      </w:r>
      <w:r>
        <w:rPr>
          <w:rFonts w:asciiTheme="minorEastAsia" w:hAnsiTheme="minorEastAsia" w:eastAsiaTheme="minorEastAsia"/>
          <w:bCs/>
          <w:sz w:val="24"/>
        </w:rPr>
        <w:t>仲裁委员会进行仲裁。</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（2）向</w:t>
      </w:r>
      <w:r>
        <w:rPr>
          <w:rFonts w:asciiTheme="minorEastAsia" w:hAnsiTheme="minorEastAsia" w:eastAsiaTheme="minorEastAsia"/>
          <w:bCs/>
          <w:sz w:val="24"/>
          <w:u w:val="single"/>
        </w:rPr>
        <w:t xml:space="preserve">  / </w:t>
      </w:r>
      <w:r>
        <w:rPr>
          <w:rFonts w:asciiTheme="minorEastAsia" w:hAnsiTheme="minorEastAsia" w:eastAsiaTheme="minorEastAsia"/>
          <w:bCs/>
          <w:sz w:val="24"/>
        </w:rPr>
        <w:t>人民法院提起诉讼。</w:t>
      </w:r>
    </w:p>
    <w:p>
      <w:pPr>
        <w:keepNext/>
        <w:keepLines/>
        <w:spacing w:beforeLines="50" w:afterLines="50" w:line="288" w:lineRule="auto"/>
        <w:outlineLvl w:val="1"/>
        <w:rPr>
          <w:rFonts w:asciiTheme="minorEastAsia" w:hAnsiTheme="minorEastAsia" w:eastAsiaTheme="minorEastAsia"/>
          <w:b/>
          <w:bCs/>
          <w:sz w:val="24"/>
        </w:rPr>
      </w:pPr>
      <w:bookmarkStart w:id="1257" w:name="_Toc496098787"/>
      <w:bookmarkStart w:id="1258" w:name="_Toc443898872"/>
      <w:bookmarkStart w:id="1259" w:name="_Toc6897"/>
      <w:r>
        <w:rPr>
          <w:rFonts w:asciiTheme="minorEastAsia" w:hAnsiTheme="minorEastAsia" w:eastAsiaTheme="minorEastAsia"/>
          <w:b/>
          <w:bCs/>
          <w:sz w:val="24"/>
        </w:rPr>
        <w:t xml:space="preserve">8. </w:t>
      </w:r>
      <w:r>
        <w:rPr>
          <w:rFonts w:hint="eastAsia" w:asciiTheme="minorEastAsia" w:hAnsiTheme="minorEastAsia" w:eastAsiaTheme="minorEastAsia"/>
          <w:b/>
          <w:bCs/>
          <w:sz w:val="24"/>
        </w:rPr>
        <w:t>其他</w:t>
      </w:r>
      <w:bookmarkEnd w:id="1257"/>
      <w:bookmarkEnd w:id="1258"/>
      <w:bookmarkEnd w:id="1259"/>
    </w:p>
    <w:p>
      <w:pPr>
        <w:keepNext/>
        <w:keepLines/>
        <w:spacing w:line="288" w:lineRule="auto"/>
        <w:outlineLvl w:val="2"/>
        <w:rPr>
          <w:rFonts w:asciiTheme="minorEastAsia" w:hAnsiTheme="minorEastAsia" w:eastAsiaTheme="minorEastAsia"/>
          <w:b/>
          <w:sz w:val="24"/>
        </w:rPr>
      </w:pPr>
      <w:bookmarkStart w:id="1260" w:name="_Toc443898873"/>
      <w:bookmarkStart w:id="1261" w:name="_Toc496098788"/>
      <w:bookmarkStart w:id="1262" w:name="_Toc1987"/>
      <w:bookmarkStart w:id="1263" w:name="_Toc499311223"/>
      <w:bookmarkStart w:id="1264" w:name="_Toc11739"/>
      <w:bookmarkStart w:id="1265" w:name="_Toc499205008"/>
      <w:r>
        <w:rPr>
          <w:rFonts w:asciiTheme="minorEastAsia" w:hAnsiTheme="minorEastAsia" w:eastAsiaTheme="minorEastAsia"/>
          <w:b/>
          <w:sz w:val="24"/>
        </w:rPr>
        <w:t xml:space="preserve">8.2 </w:t>
      </w:r>
      <w:r>
        <w:rPr>
          <w:rFonts w:hint="eastAsia" w:asciiTheme="minorEastAsia" w:hAnsiTheme="minorEastAsia" w:eastAsiaTheme="minorEastAsia"/>
          <w:b/>
          <w:sz w:val="24"/>
        </w:rPr>
        <w:t>检测费用</w:t>
      </w:r>
      <w:bookmarkEnd w:id="1260"/>
      <w:bookmarkEnd w:id="1261"/>
      <w:bookmarkEnd w:id="1262"/>
      <w:bookmarkEnd w:id="1263"/>
      <w:bookmarkEnd w:id="1264"/>
      <w:bookmarkEnd w:id="1265"/>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检测费用已包含在正常监理服务费中，不再另行支付。</w:t>
      </w:r>
    </w:p>
    <w:p>
      <w:pPr>
        <w:keepNext/>
        <w:keepLines/>
        <w:spacing w:line="288" w:lineRule="auto"/>
        <w:outlineLvl w:val="2"/>
        <w:rPr>
          <w:rFonts w:asciiTheme="minorEastAsia" w:hAnsiTheme="minorEastAsia" w:eastAsiaTheme="minorEastAsia"/>
          <w:b/>
          <w:sz w:val="24"/>
        </w:rPr>
      </w:pPr>
      <w:bookmarkStart w:id="1266" w:name="_Toc499205009"/>
      <w:bookmarkStart w:id="1267" w:name="_Toc26535"/>
      <w:bookmarkStart w:id="1268" w:name="_Toc496098789"/>
      <w:bookmarkStart w:id="1269" w:name="_Toc499311224"/>
      <w:bookmarkStart w:id="1270" w:name="_Toc510"/>
      <w:bookmarkStart w:id="1271" w:name="_Toc443898874"/>
      <w:r>
        <w:rPr>
          <w:rFonts w:asciiTheme="minorEastAsia" w:hAnsiTheme="minorEastAsia" w:eastAsiaTheme="minorEastAsia"/>
          <w:b/>
          <w:sz w:val="24"/>
        </w:rPr>
        <w:t xml:space="preserve">8.3 </w:t>
      </w:r>
      <w:r>
        <w:rPr>
          <w:rFonts w:hint="eastAsia" w:asciiTheme="minorEastAsia" w:hAnsiTheme="minorEastAsia" w:eastAsiaTheme="minorEastAsia"/>
          <w:b/>
          <w:sz w:val="24"/>
        </w:rPr>
        <w:t>咨询费用</w:t>
      </w:r>
      <w:bookmarkEnd w:id="1266"/>
      <w:bookmarkEnd w:id="1267"/>
      <w:bookmarkEnd w:id="1268"/>
      <w:bookmarkEnd w:id="1269"/>
      <w:bookmarkEnd w:id="1270"/>
      <w:bookmarkEnd w:id="1271"/>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咨询费用已包含在正常监理服务费中，不再另行支付。</w:t>
      </w:r>
    </w:p>
    <w:p>
      <w:pPr>
        <w:keepNext/>
        <w:keepLines/>
        <w:spacing w:line="288" w:lineRule="auto"/>
        <w:outlineLvl w:val="2"/>
        <w:rPr>
          <w:rFonts w:asciiTheme="minorEastAsia" w:hAnsiTheme="minorEastAsia" w:eastAsiaTheme="minorEastAsia"/>
          <w:b/>
          <w:sz w:val="24"/>
        </w:rPr>
      </w:pPr>
      <w:bookmarkStart w:id="1272" w:name="_Toc11115"/>
      <w:bookmarkStart w:id="1273" w:name="_Toc499205010"/>
      <w:bookmarkStart w:id="1274" w:name="_Toc496098790"/>
      <w:bookmarkStart w:id="1275" w:name="_Toc443898875"/>
      <w:bookmarkStart w:id="1276" w:name="_Toc29692"/>
      <w:bookmarkStart w:id="1277" w:name="_Toc499311225"/>
      <w:r>
        <w:rPr>
          <w:rFonts w:asciiTheme="minorEastAsia" w:hAnsiTheme="minorEastAsia" w:eastAsiaTheme="minorEastAsia"/>
          <w:b/>
          <w:sz w:val="24"/>
        </w:rPr>
        <w:t xml:space="preserve">8.4 </w:t>
      </w:r>
      <w:r>
        <w:rPr>
          <w:rFonts w:hint="eastAsia" w:asciiTheme="minorEastAsia" w:hAnsiTheme="minorEastAsia" w:eastAsiaTheme="minorEastAsia"/>
          <w:b/>
          <w:sz w:val="24"/>
        </w:rPr>
        <w:t>奖励</w:t>
      </w:r>
      <w:bookmarkEnd w:id="1272"/>
      <w:bookmarkEnd w:id="1273"/>
      <w:bookmarkEnd w:id="1274"/>
      <w:bookmarkEnd w:id="1275"/>
      <w:bookmarkEnd w:id="1276"/>
      <w:bookmarkEnd w:id="1277"/>
    </w:p>
    <w:p>
      <w:pPr>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合理化建议的奖励金额按下列方法确定为：</w:t>
      </w:r>
    </w:p>
    <w:p>
      <w:pPr>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奖励金额＝工程投资节省额×奖励金额的比率；</w:t>
      </w:r>
    </w:p>
    <w:p>
      <w:pPr>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奖励金额的比率</w:t>
      </w:r>
      <w:r>
        <w:rPr>
          <w:rFonts w:hint="eastAsia" w:asciiTheme="minorEastAsia" w:hAnsiTheme="minorEastAsia" w:eastAsiaTheme="minorEastAsia"/>
          <w:bCs/>
          <w:sz w:val="24"/>
        </w:rPr>
        <w:t>待发生时另行约定</w:t>
      </w:r>
      <w:r>
        <w:rPr>
          <w:rFonts w:asciiTheme="minorEastAsia" w:hAnsiTheme="minorEastAsia" w:eastAsiaTheme="minorEastAsia"/>
          <w:bCs/>
          <w:sz w:val="24"/>
        </w:rPr>
        <w:t>。</w:t>
      </w:r>
    </w:p>
    <w:p>
      <w:pPr>
        <w:keepNext/>
        <w:keepLines/>
        <w:spacing w:line="288" w:lineRule="auto"/>
        <w:outlineLvl w:val="2"/>
        <w:rPr>
          <w:rFonts w:asciiTheme="minorEastAsia" w:hAnsiTheme="minorEastAsia" w:eastAsiaTheme="minorEastAsia"/>
          <w:b/>
          <w:sz w:val="24"/>
        </w:rPr>
      </w:pPr>
      <w:bookmarkStart w:id="1278" w:name="_Toc443898876"/>
      <w:bookmarkStart w:id="1279" w:name="_Toc19902"/>
      <w:bookmarkStart w:id="1280" w:name="_Toc499205011"/>
      <w:bookmarkStart w:id="1281" w:name="_Toc6203"/>
      <w:bookmarkStart w:id="1282" w:name="_Toc496098791"/>
      <w:bookmarkStart w:id="1283" w:name="_Toc499311226"/>
      <w:r>
        <w:rPr>
          <w:rFonts w:asciiTheme="minorEastAsia" w:hAnsiTheme="minorEastAsia" w:eastAsiaTheme="minorEastAsia"/>
          <w:b/>
          <w:sz w:val="24"/>
        </w:rPr>
        <w:t xml:space="preserve">8.6 </w:t>
      </w:r>
      <w:r>
        <w:rPr>
          <w:rFonts w:hint="eastAsia" w:asciiTheme="minorEastAsia" w:hAnsiTheme="minorEastAsia" w:eastAsiaTheme="minorEastAsia"/>
          <w:b/>
          <w:sz w:val="24"/>
        </w:rPr>
        <w:t>保密</w:t>
      </w:r>
      <w:bookmarkEnd w:id="1278"/>
      <w:bookmarkEnd w:id="1279"/>
      <w:bookmarkEnd w:id="1280"/>
      <w:bookmarkEnd w:id="1281"/>
      <w:bookmarkEnd w:id="1282"/>
      <w:bookmarkEnd w:id="1283"/>
    </w:p>
    <w:p>
      <w:pPr>
        <w:adjustRightInd w:val="0"/>
        <w:snapToGrid w:val="0"/>
        <w:spacing w:line="288" w:lineRule="auto"/>
        <w:ind w:firstLine="420"/>
        <w:rPr>
          <w:rFonts w:asciiTheme="minorEastAsia" w:hAnsiTheme="minorEastAsia" w:eastAsiaTheme="minorEastAsia"/>
          <w:bCs/>
          <w:sz w:val="24"/>
          <w:u w:val="single"/>
        </w:rPr>
      </w:pPr>
      <w:r>
        <w:rPr>
          <w:rFonts w:asciiTheme="minorEastAsia" w:hAnsiTheme="minorEastAsia" w:eastAsiaTheme="minorEastAsia"/>
          <w:bCs/>
          <w:sz w:val="24"/>
        </w:rPr>
        <w:t>委托人申明的保密事项和期限：</w:t>
      </w:r>
      <w:r>
        <w:rPr>
          <w:rFonts w:asciiTheme="minorEastAsia" w:hAnsiTheme="minorEastAsia" w:eastAsiaTheme="minorEastAsia"/>
          <w:bCs/>
          <w:sz w:val="24"/>
          <w:u w:val="single"/>
        </w:rPr>
        <w:t xml:space="preserve">         /         </w:t>
      </w:r>
      <w:r>
        <w:rPr>
          <w:rFonts w:asciiTheme="minorEastAsia" w:hAnsiTheme="minorEastAsia" w:eastAsiaTheme="minorEastAsia"/>
          <w:bCs/>
          <w:sz w:val="24"/>
        </w:rPr>
        <w:t>。</w:t>
      </w:r>
    </w:p>
    <w:p>
      <w:pPr>
        <w:adjustRightInd w:val="0"/>
        <w:snapToGrid w:val="0"/>
        <w:spacing w:line="288" w:lineRule="auto"/>
        <w:ind w:firstLine="420"/>
        <w:rPr>
          <w:rFonts w:asciiTheme="minorEastAsia" w:hAnsiTheme="minorEastAsia" w:eastAsiaTheme="minorEastAsia"/>
          <w:bCs/>
          <w:sz w:val="24"/>
          <w:u w:val="single"/>
        </w:rPr>
      </w:pPr>
      <w:r>
        <w:rPr>
          <w:rFonts w:asciiTheme="minorEastAsia" w:hAnsiTheme="minorEastAsia" w:eastAsiaTheme="minorEastAsia"/>
          <w:bCs/>
          <w:sz w:val="24"/>
        </w:rPr>
        <w:t>监理人申明的保密事项和期限：</w:t>
      </w:r>
      <w:r>
        <w:rPr>
          <w:rFonts w:asciiTheme="minorEastAsia" w:hAnsiTheme="minorEastAsia" w:eastAsiaTheme="minorEastAsia"/>
          <w:bCs/>
          <w:sz w:val="24"/>
          <w:u w:val="single"/>
        </w:rPr>
        <w:t xml:space="preserve">         /         </w:t>
      </w:r>
      <w:r>
        <w:rPr>
          <w:rFonts w:asciiTheme="minorEastAsia" w:hAnsiTheme="minorEastAsia" w:eastAsiaTheme="minorEastAsia"/>
          <w:bCs/>
          <w:sz w:val="24"/>
        </w:rPr>
        <w:t>。</w:t>
      </w:r>
    </w:p>
    <w:p>
      <w:pPr>
        <w:adjustRightInd w:val="0"/>
        <w:snapToGrid w:val="0"/>
        <w:spacing w:line="288" w:lineRule="auto"/>
        <w:ind w:firstLine="420"/>
        <w:rPr>
          <w:rFonts w:asciiTheme="minorEastAsia" w:hAnsiTheme="minorEastAsia" w:eastAsiaTheme="minorEastAsia"/>
          <w:bCs/>
          <w:sz w:val="24"/>
          <w:u w:val="single"/>
        </w:rPr>
      </w:pPr>
      <w:r>
        <w:rPr>
          <w:rFonts w:asciiTheme="minorEastAsia" w:hAnsiTheme="minorEastAsia" w:eastAsiaTheme="minorEastAsia"/>
          <w:bCs/>
          <w:sz w:val="24"/>
        </w:rPr>
        <w:t>第三方申明的保密事项和期限：</w:t>
      </w:r>
      <w:r>
        <w:rPr>
          <w:rFonts w:asciiTheme="minorEastAsia" w:hAnsiTheme="minorEastAsia" w:eastAsiaTheme="minorEastAsia"/>
          <w:bCs/>
          <w:sz w:val="24"/>
          <w:u w:val="single"/>
        </w:rPr>
        <w:t xml:space="preserve">         /         </w:t>
      </w:r>
      <w:r>
        <w:rPr>
          <w:rFonts w:asciiTheme="minorEastAsia" w:hAnsiTheme="minorEastAsia" w:eastAsiaTheme="minorEastAsia"/>
          <w:bCs/>
          <w:sz w:val="24"/>
        </w:rPr>
        <w:t>。</w:t>
      </w:r>
    </w:p>
    <w:p>
      <w:pPr>
        <w:keepNext/>
        <w:keepLines/>
        <w:spacing w:line="288" w:lineRule="auto"/>
        <w:outlineLvl w:val="2"/>
        <w:rPr>
          <w:rFonts w:asciiTheme="minorEastAsia" w:hAnsiTheme="minorEastAsia" w:eastAsiaTheme="minorEastAsia"/>
          <w:b/>
          <w:sz w:val="24"/>
        </w:rPr>
      </w:pPr>
      <w:bookmarkStart w:id="1284" w:name="_Toc499205012"/>
      <w:bookmarkStart w:id="1285" w:name="_Toc499311227"/>
      <w:bookmarkStart w:id="1286" w:name="_Toc443898877"/>
      <w:bookmarkStart w:id="1287" w:name="_Toc16950"/>
      <w:bookmarkStart w:id="1288" w:name="_Toc102"/>
      <w:bookmarkStart w:id="1289" w:name="_Toc496098792"/>
      <w:r>
        <w:rPr>
          <w:rFonts w:asciiTheme="minorEastAsia" w:hAnsiTheme="minorEastAsia" w:eastAsiaTheme="minorEastAsia"/>
          <w:b/>
          <w:sz w:val="24"/>
        </w:rPr>
        <w:t>8.8</w:t>
      </w:r>
      <w:r>
        <w:rPr>
          <w:rFonts w:hint="eastAsia" w:asciiTheme="minorEastAsia" w:hAnsiTheme="minorEastAsia" w:eastAsiaTheme="minorEastAsia"/>
          <w:b/>
          <w:sz w:val="24"/>
        </w:rPr>
        <w:t>著作权</w:t>
      </w:r>
      <w:bookmarkEnd w:id="1284"/>
      <w:bookmarkEnd w:id="1285"/>
      <w:bookmarkEnd w:id="1286"/>
      <w:bookmarkEnd w:id="1287"/>
      <w:bookmarkEnd w:id="1288"/>
      <w:bookmarkEnd w:id="1289"/>
    </w:p>
    <w:p>
      <w:pPr>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监理人在本合同履行期间及本合同终止后出版涉及本工程的有关监理与相关服务的资料的限制条件：</w:t>
      </w:r>
      <w:r>
        <w:rPr>
          <w:rFonts w:hint="eastAsia" w:asciiTheme="minorEastAsia" w:hAnsiTheme="minorEastAsia" w:eastAsiaTheme="minorEastAsia"/>
          <w:bCs/>
          <w:sz w:val="24"/>
          <w:u w:val="single"/>
        </w:rPr>
        <w:t>任何时间均应事先征得委托人的书面同意后方可进行</w:t>
      </w:r>
      <w:r>
        <w:rPr>
          <w:rFonts w:asciiTheme="minorEastAsia" w:hAnsiTheme="minorEastAsia" w:eastAsiaTheme="minorEastAsia"/>
          <w:bCs/>
          <w:sz w:val="24"/>
        </w:rPr>
        <w:t>。</w:t>
      </w:r>
    </w:p>
    <w:p>
      <w:pPr>
        <w:keepNext/>
        <w:keepLines/>
        <w:spacing w:beforeLines="50" w:afterLines="50" w:line="288" w:lineRule="auto"/>
        <w:outlineLvl w:val="1"/>
        <w:rPr>
          <w:rFonts w:asciiTheme="minorEastAsia" w:hAnsiTheme="minorEastAsia" w:eastAsiaTheme="minorEastAsia"/>
          <w:b/>
          <w:bCs/>
          <w:sz w:val="24"/>
        </w:rPr>
      </w:pPr>
      <w:bookmarkStart w:id="1290" w:name="_Toc496098793"/>
      <w:bookmarkStart w:id="1291" w:name="_Toc443898878"/>
      <w:bookmarkStart w:id="1292" w:name="_Toc12277"/>
      <w:r>
        <w:rPr>
          <w:rFonts w:asciiTheme="minorEastAsia" w:hAnsiTheme="minorEastAsia" w:eastAsiaTheme="minorEastAsia"/>
          <w:b/>
          <w:bCs/>
          <w:sz w:val="24"/>
        </w:rPr>
        <w:t xml:space="preserve">9. </w:t>
      </w:r>
      <w:r>
        <w:rPr>
          <w:rFonts w:hint="eastAsia" w:asciiTheme="minorEastAsia" w:hAnsiTheme="minorEastAsia" w:eastAsiaTheme="minorEastAsia"/>
          <w:b/>
          <w:bCs/>
          <w:sz w:val="24"/>
        </w:rPr>
        <w:t>补充条款</w:t>
      </w:r>
      <w:bookmarkEnd w:id="1290"/>
      <w:bookmarkEnd w:id="1291"/>
      <w:bookmarkEnd w:id="1292"/>
    </w:p>
    <w:p>
      <w:pPr>
        <w:keepNext/>
        <w:keepLines/>
        <w:spacing w:line="288" w:lineRule="auto"/>
        <w:outlineLvl w:val="2"/>
        <w:rPr>
          <w:rFonts w:asciiTheme="minorEastAsia" w:hAnsiTheme="minorEastAsia" w:eastAsiaTheme="minorEastAsia"/>
          <w:b/>
          <w:sz w:val="24"/>
        </w:rPr>
      </w:pPr>
      <w:bookmarkStart w:id="1293" w:name="_Toc496098794"/>
      <w:bookmarkStart w:id="1294" w:name="_Toc11478"/>
      <w:bookmarkStart w:id="1295" w:name="_Toc443898879"/>
      <w:bookmarkStart w:id="1296" w:name="_Toc499311229"/>
      <w:bookmarkStart w:id="1297" w:name="_Toc21418"/>
      <w:bookmarkStart w:id="1298" w:name="_Toc499205014"/>
      <w:r>
        <w:rPr>
          <w:rFonts w:asciiTheme="minorEastAsia" w:hAnsiTheme="minorEastAsia" w:eastAsiaTheme="minorEastAsia"/>
          <w:b/>
          <w:sz w:val="24"/>
        </w:rPr>
        <w:t>9.1</w:t>
      </w:r>
      <w:r>
        <w:rPr>
          <w:rFonts w:hint="eastAsia" w:asciiTheme="minorEastAsia" w:hAnsiTheme="minorEastAsia" w:eastAsiaTheme="minorEastAsia"/>
          <w:b/>
          <w:sz w:val="24"/>
        </w:rPr>
        <w:t>履约担保</w:t>
      </w:r>
      <w:bookmarkEnd w:id="1293"/>
      <w:bookmarkEnd w:id="1294"/>
      <w:bookmarkEnd w:id="1295"/>
      <w:bookmarkEnd w:id="1296"/>
      <w:bookmarkEnd w:id="1297"/>
      <w:bookmarkEnd w:id="1298"/>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9.1.1监理人应在监理合同签订前，向委托人提供履约担保，担保额度</w:t>
      </w:r>
      <w:r>
        <w:rPr>
          <w:rFonts w:hint="eastAsia" w:asciiTheme="minorEastAsia" w:hAnsiTheme="minorEastAsia" w:eastAsiaTheme="minorEastAsia"/>
          <w:bCs/>
          <w:kern w:val="0"/>
          <w:sz w:val="24"/>
        </w:rPr>
        <w:t>按照招标文件规定执行</w:t>
      </w:r>
      <w:r>
        <w:rPr>
          <w:rFonts w:asciiTheme="minorEastAsia" w:hAnsiTheme="minorEastAsia" w:eastAsiaTheme="minorEastAsia"/>
          <w:bCs/>
          <w:kern w:val="0"/>
          <w:sz w:val="24"/>
        </w:rPr>
        <w:t>；履约担保若为保函形式，应由银行开具，格式应参照招标文件中给定的格式或经委托人批准的格式；如为非保函形式，可采用电汇或网银的形式，须由监理人基本账户汇出。</w:t>
      </w:r>
      <w:r>
        <w:rPr>
          <w:rFonts w:hint="eastAsia" w:asciiTheme="minorEastAsia" w:hAnsiTheme="minorEastAsia" w:eastAsiaTheme="minorEastAsia"/>
          <w:bCs/>
          <w:kern w:val="0"/>
          <w:sz w:val="24"/>
        </w:rPr>
        <w:t>如监理人未按时提交履约担保，委托人同意签订合同的,每逾期一日，监理人应向委托人支付履约担保金额的万分之五的违约金，逾期超过14日的，监理人除仍需承担上述违约责任外，委托人有权解除合同。。</w:t>
      </w:r>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9.1.2履约担保的有效期应持续到所监理工程竣工验收后30日内。在工程不能按期竣工时，履约担保有效期将按委托人的要求延长，其费用由监理人承担。</w:t>
      </w:r>
    </w:p>
    <w:p>
      <w:pPr>
        <w:snapToGrid w:val="0"/>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9.1.3监理人提供的履约保函由银行出具的，应可以在中国人民银行查询查付系统中查询。</w:t>
      </w:r>
    </w:p>
    <w:p>
      <w:pPr>
        <w:keepNext/>
        <w:keepLines/>
        <w:spacing w:line="288" w:lineRule="auto"/>
        <w:outlineLvl w:val="2"/>
        <w:rPr>
          <w:rFonts w:asciiTheme="minorEastAsia" w:hAnsiTheme="minorEastAsia" w:eastAsiaTheme="minorEastAsia"/>
          <w:b/>
          <w:sz w:val="24"/>
        </w:rPr>
      </w:pPr>
      <w:bookmarkStart w:id="1299" w:name="_Toc2118"/>
      <w:bookmarkStart w:id="1300" w:name="_Toc11236"/>
      <w:bookmarkStart w:id="1301" w:name="_Toc499311230"/>
      <w:bookmarkStart w:id="1302" w:name="_Toc499205015"/>
      <w:bookmarkStart w:id="1303" w:name="_Toc443898880"/>
      <w:bookmarkStart w:id="1304" w:name="_Toc496098795"/>
      <w:r>
        <w:rPr>
          <w:rFonts w:asciiTheme="minorEastAsia" w:hAnsiTheme="minorEastAsia" w:eastAsiaTheme="minorEastAsia"/>
          <w:b/>
          <w:sz w:val="24"/>
        </w:rPr>
        <w:t>9.2</w:t>
      </w:r>
      <w:r>
        <w:rPr>
          <w:rFonts w:hint="eastAsia" w:asciiTheme="minorEastAsia" w:hAnsiTheme="minorEastAsia" w:eastAsiaTheme="minorEastAsia"/>
          <w:b/>
          <w:sz w:val="24"/>
        </w:rPr>
        <w:t>保障及保险</w:t>
      </w:r>
      <w:bookmarkEnd w:id="1299"/>
      <w:bookmarkEnd w:id="1300"/>
      <w:bookmarkEnd w:id="1301"/>
      <w:bookmarkEnd w:id="1302"/>
      <w:bookmarkEnd w:id="1303"/>
      <w:bookmarkEnd w:id="1304"/>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9.2.1监理人应保障委托人及其雇员免遭因监理人实施工程监理或工作不当而导致的一切索赔、损害、损失和开支</w:t>
      </w:r>
      <w:r>
        <w:rPr>
          <w:rFonts w:hint="eastAsia" w:asciiTheme="minorEastAsia" w:hAnsiTheme="minorEastAsia" w:eastAsiaTheme="minorEastAsia"/>
          <w:bCs/>
          <w:kern w:val="0"/>
          <w:sz w:val="24"/>
        </w:rPr>
        <w:t>等</w:t>
      </w:r>
      <w:r>
        <w:rPr>
          <w:rFonts w:asciiTheme="minorEastAsia" w:hAnsiTheme="minorEastAsia" w:eastAsiaTheme="minorEastAsia"/>
          <w:bCs/>
          <w:kern w:val="0"/>
          <w:sz w:val="24"/>
        </w:rPr>
        <w:t>。</w:t>
      </w:r>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9.2.2监理人如因上述保障不力造成委托人及其雇员损失时，委托人有权向监理人索取相应的赔偿金额。</w:t>
      </w:r>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9.2.3监理人应在监理服务期内，自费办理派驻到工程所在地的人员人身、自备财产的保险及法律法规要求必须办理的</w:t>
      </w:r>
      <w:r>
        <w:rPr>
          <w:rFonts w:hint="eastAsia" w:asciiTheme="minorEastAsia" w:hAnsiTheme="minorEastAsia" w:eastAsiaTheme="minorEastAsia"/>
          <w:bCs/>
          <w:kern w:val="0"/>
          <w:sz w:val="24"/>
        </w:rPr>
        <w:t>其他</w:t>
      </w:r>
      <w:r>
        <w:rPr>
          <w:rFonts w:asciiTheme="minorEastAsia" w:hAnsiTheme="minorEastAsia" w:eastAsiaTheme="minorEastAsia"/>
          <w:bCs/>
          <w:kern w:val="0"/>
          <w:sz w:val="24"/>
        </w:rPr>
        <w:t>保险，保险期间应不低于监理实际服务期限。如果监理人不办理上述保险，有关风险及后果自负其责。</w:t>
      </w:r>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9.2.4监理人应根据监理服务工作的需要，结合监理服务工作的范围与期间，自费对监理人的责任、第三人的责任以及委托人为监理服务提供的财产等进行保险。如果监理人不办理上述保险，有关风险及后果自负其责。</w:t>
      </w:r>
    </w:p>
    <w:p>
      <w:pPr>
        <w:keepNext/>
        <w:keepLines/>
        <w:spacing w:line="288" w:lineRule="auto"/>
        <w:outlineLvl w:val="2"/>
        <w:rPr>
          <w:rFonts w:asciiTheme="minorEastAsia" w:hAnsiTheme="minorEastAsia" w:eastAsiaTheme="minorEastAsia"/>
          <w:b/>
          <w:sz w:val="24"/>
        </w:rPr>
      </w:pPr>
      <w:bookmarkStart w:id="1305" w:name="_Toc2475"/>
      <w:bookmarkStart w:id="1306" w:name="_Toc499311231"/>
      <w:bookmarkStart w:id="1307" w:name="_Toc496098796"/>
      <w:bookmarkStart w:id="1308" w:name="_Toc499205016"/>
      <w:bookmarkStart w:id="1309" w:name="_Toc443898881"/>
      <w:bookmarkStart w:id="1310" w:name="_Toc21097"/>
      <w:r>
        <w:rPr>
          <w:rFonts w:asciiTheme="minorEastAsia" w:hAnsiTheme="minorEastAsia" w:eastAsiaTheme="minorEastAsia"/>
          <w:b/>
          <w:sz w:val="24"/>
        </w:rPr>
        <w:t>9.3</w:t>
      </w:r>
      <w:r>
        <w:rPr>
          <w:rFonts w:hint="eastAsia" w:asciiTheme="minorEastAsia" w:hAnsiTheme="minorEastAsia" w:eastAsiaTheme="minorEastAsia"/>
          <w:b/>
          <w:sz w:val="24"/>
        </w:rPr>
        <w:t>索赔</w:t>
      </w:r>
      <w:bookmarkEnd w:id="1305"/>
      <w:bookmarkEnd w:id="1306"/>
      <w:bookmarkEnd w:id="1307"/>
      <w:bookmarkEnd w:id="1308"/>
      <w:bookmarkEnd w:id="1309"/>
      <w:bookmarkEnd w:id="1310"/>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委托人或监理人中任何一方向另一方要求的赔偿，都应在赔偿事件发生后的28日之内以书面形式提出。如果该事件具有持续性，则应在事件首次发生后7日之内提出索赔意向，并每隔7日提供一次该事件仍在持续发展的证明资料，直至该事件结束后28日之内提出正式的索赔文件。否则，无论是委托人还是监理人均有权对上述索赔不予受理。</w:t>
      </w:r>
    </w:p>
    <w:p>
      <w:pPr>
        <w:keepNext/>
        <w:keepLines/>
        <w:spacing w:line="288" w:lineRule="auto"/>
        <w:outlineLvl w:val="2"/>
        <w:rPr>
          <w:rFonts w:asciiTheme="minorEastAsia" w:hAnsiTheme="minorEastAsia" w:eastAsiaTheme="minorEastAsia"/>
          <w:b/>
          <w:sz w:val="24"/>
        </w:rPr>
      </w:pPr>
      <w:bookmarkStart w:id="1311" w:name="_Toc499205017"/>
      <w:bookmarkStart w:id="1312" w:name="_Toc499311232"/>
      <w:bookmarkStart w:id="1313" w:name="_Toc23399"/>
      <w:bookmarkStart w:id="1314" w:name="_Toc496098797"/>
      <w:bookmarkStart w:id="1315" w:name="_Toc443898882"/>
      <w:bookmarkStart w:id="1316" w:name="_Toc9885"/>
      <w:r>
        <w:rPr>
          <w:rFonts w:asciiTheme="minorEastAsia" w:hAnsiTheme="minorEastAsia" w:eastAsiaTheme="minorEastAsia"/>
          <w:b/>
          <w:sz w:val="24"/>
        </w:rPr>
        <w:t>9.4</w:t>
      </w:r>
      <w:r>
        <w:rPr>
          <w:rFonts w:hint="eastAsia" w:asciiTheme="minorEastAsia" w:hAnsiTheme="minorEastAsia" w:eastAsiaTheme="minorEastAsia"/>
          <w:b/>
          <w:sz w:val="24"/>
        </w:rPr>
        <w:t>转让和分包</w:t>
      </w:r>
      <w:bookmarkEnd w:id="1311"/>
      <w:bookmarkEnd w:id="1312"/>
      <w:bookmarkEnd w:id="1313"/>
      <w:bookmarkEnd w:id="1314"/>
      <w:bookmarkEnd w:id="1315"/>
      <w:bookmarkEnd w:id="1316"/>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9.4.1合同履行期间，委托人有权将本合同中所拥有的全部权利、义务转让给</w:t>
      </w:r>
      <w:r>
        <w:rPr>
          <w:rFonts w:hint="eastAsia" w:asciiTheme="minorEastAsia" w:hAnsiTheme="minorEastAsia" w:eastAsiaTheme="minorEastAsia"/>
          <w:bCs/>
          <w:kern w:val="0"/>
          <w:sz w:val="24"/>
        </w:rPr>
        <w:t>第三人，届时监理人对权利义务的转让不持任何异议</w:t>
      </w:r>
      <w:r>
        <w:rPr>
          <w:rFonts w:asciiTheme="minorEastAsia" w:hAnsiTheme="minorEastAsia" w:eastAsiaTheme="minorEastAsia"/>
          <w:bCs/>
          <w:kern w:val="0"/>
          <w:sz w:val="24"/>
        </w:rPr>
        <w:t>。转让时委托人将以书面形式通知监理人，监理人承诺配合</w:t>
      </w:r>
      <w:r>
        <w:rPr>
          <w:rFonts w:hint="eastAsia" w:asciiTheme="minorEastAsia" w:hAnsiTheme="minorEastAsia" w:eastAsiaTheme="minorEastAsia"/>
          <w:bCs/>
          <w:kern w:val="0"/>
          <w:sz w:val="24"/>
        </w:rPr>
        <w:t>第三人</w:t>
      </w:r>
      <w:r>
        <w:rPr>
          <w:rFonts w:asciiTheme="minorEastAsia" w:hAnsiTheme="minorEastAsia" w:eastAsiaTheme="minorEastAsia"/>
          <w:bCs/>
          <w:kern w:val="0"/>
          <w:sz w:val="24"/>
        </w:rPr>
        <w:t>完成相关工作。完成转让后，</w:t>
      </w:r>
      <w:r>
        <w:rPr>
          <w:rFonts w:hint="eastAsia" w:asciiTheme="minorEastAsia" w:hAnsiTheme="minorEastAsia" w:eastAsiaTheme="minorEastAsia"/>
          <w:bCs/>
          <w:kern w:val="0"/>
          <w:sz w:val="24"/>
        </w:rPr>
        <w:t>第三人</w:t>
      </w:r>
      <w:r>
        <w:rPr>
          <w:rFonts w:asciiTheme="minorEastAsia" w:hAnsiTheme="minorEastAsia" w:eastAsiaTheme="minorEastAsia"/>
          <w:bCs/>
          <w:kern w:val="0"/>
          <w:sz w:val="24"/>
        </w:rPr>
        <w:t>将继续履行本合同中约定的委托人的权利和义务。</w:t>
      </w:r>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9.4.2监理人不得将本监理合同规定的权利、义务转让</w:t>
      </w:r>
      <w:r>
        <w:rPr>
          <w:rFonts w:hint="eastAsia" w:asciiTheme="minorEastAsia" w:hAnsiTheme="minorEastAsia" w:eastAsiaTheme="minorEastAsia"/>
          <w:bCs/>
          <w:kern w:val="0"/>
          <w:sz w:val="24"/>
        </w:rPr>
        <w:t>给任何</w:t>
      </w:r>
      <w:r>
        <w:rPr>
          <w:rFonts w:asciiTheme="minorEastAsia" w:hAnsiTheme="minorEastAsia" w:eastAsiaTheme="minorEastAsia"/>
          <w:bCs/>
          <w:kern w:val="0"/>
          <w:sz w:val="24"/>
        </w:rPr>
        <w:t>第三人。</w:t>
      </w:r>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9.4.3没有委托人的同意，监理人不得将监理服务的任何部分予以分包。监理人因监理服务的需要，聘用专业技术人员和辅助工作人员不属于分包行为。</w:t>
      </w:r>
    </w:p>
    <w:p>
      <w:pPr>
        <w:keepNext/>
        <w:keepLines/>
        <w:spacing w:line="288" w:lineRule="auto"/>
        <w:outlineLvl w:val="2"/>
        <w:rPr>
          <w:rFonts w:asciiTheme="minorEastAsia" w:hAnsiTheme="minorEastAsia" w:eastAsiaTheme="minorEastAsia"/>
          <w:b/>
          <w:sz w:val="24"/>
        </w:rPr>
      </w:pPr>
      <w:bookmarkStart w:id="1317" w:name="_Toc443898883"/>
      <w:bookmarkStart w:id="1318" w:name="_Toc496098798"/>
      <w:bookmarkStart w:id="1319" w:name="_Toc31322"/>
      <w:bookmarkStart w:id="1320" w:name="_Toc2477"/>
      <w:bookmarkStart w:id="1321" w:name="_Toc499205018"/>
      <w:bookmarkStart w:id="1322" w:name="_Toc499311233"/>
      <w:r>
        <w:rPr>
          <w:rFonts w:asciiTheme="minorEastAsia" w:hAnsiTheme="minorEastAsia" w:eastAsiaTheme="minorEastAsia"/>
          <w:b/>
          <w:sz w:val="24"/>
        </w:rPr>
        <w:t>9.5</w:t>
      </w:r>
      <w:r>
        <w:rPr>
          <w:rFonts w:hint="eastAsia" w:asciiTheme="minorEastAsia" w:hAnsiTheme="minorEastAsia" w:eastAsiaTheme="minorEastAsia"/>
          <w:b/>
          <w:sz w:val="24"/>
        </w:rPr>
        <w:t>贿赂</w:t>
      </w:r>
      <w:bookmarkEnd w:id="1317"/>
      <w:bookmarkEnd w:id="1318"/>
      <w:bookmarkEnd w:id="1319"/>
      <w:bookmarkEnd w:id="1320"/>
      <w:bookmarkEnd w:id="1321"/>
      <w:bookmarkEnd w:id="1322"/>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合同双方当事人不得以贿赂或变相贿赂的方式，谋取不当利益或损害对方权益。因贿赂造成对方损失的，行为人应赔偿损失，并承担相应的法律责任。</w:t>
      </w:r>
    </w:p>
    <w:p>
      <w:pPr>
        <w:keepNext/>
        <w:keepLines/>
        <w:spacing w:line="288" w:lineRule="auto"/>
        <w:outlineLvl w:val="2"/>
        <w:rPr>
          <w:rFonts w:asciiTheme="minorEastAsia" w:hAnsiTheme="minorEastAsia" w:eastAsiaTheme="minorEastAsia"/>
          <w:b/>
          <w:sz w:val="24"/>
        </w:rPr>
      </w:pPr>
      <w:bookmarkStart w:id="1323" w:name="_Toc9818"/>
      <w:bookmarkStart w:id="1324" w:name="_Toc5506"/>
      <w:bookmarkStart w:id="1325" w:name="_Toc443898884"/>
      <w:bookmarkStart w:id="1326" w:name="_Toc499205019"/>
      <w:bookmarkStart w:id="1327" w:name="_Toc496098799"/>
      <w:bookmarkStart w:id="1328" w:name="_Toc499311234"/>
      <w:r>
        <w:rPr>
          <w:rFonts w:asciiTheme="minorEastAsia" w:hAnsiTheme="minorEastAsia" w:eastAsiaTheme="minorEastAsia"/>
          <w:b/>
          <w:sz w:val="24"/>
        </w:rPr>
        <w:t>9.6</w:t>
      </w:r>
      <w:r>
        <w:rPr>
          <w:rFonts w:hint="eastAsia" w:asciiTheme="minorEastAsia" w:hAnsiTheme="minorEastAsia" w:eastAsiaTheme="minorEastAsia"/>
          <w:b/>
          <w:sz w:val="24"/>
        </w:rPr>
        <w:t>会议管理</w:t>
      </w:r>
      <w:bookmarkEnd w:id="1323"/>
      <w:bookmarkEnd w:id="1324"/>
      <w:bookmarkEnd w:id="1325"/>
      <w:bookmarkEnd w:id="1326"/>
      <w:bookmarkEnd w:id="1327"/>
      <w:bookmarkEnd w:id="1328"/>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9.6.1</w:t>
      </w:r>
      <w:r>
        <w:rPr>
          <w:rFonts w:hint="eastAsia" w:asciiTheme="minorEastAsia" w:hAnsiTheme="minorEastAsia" w:eastAsiaTheme="minorEastAsia"/>
          <w:bCs/>
          <w:kern w:val="0"/>
          <w:sz w:val="24"/>
        </w:rPr>
        <w:t>监理人将主持召开由委托人、承包人、设计人、其他承包人和主要分包人出席的每周一次的生产例会，在监理人认为必要时，监理人可随时召集所有上述各方或其中一部分人参加的其他会议，承包人应保证三位能代表承包人当场作出决定的高级管理人员出席会议，同时确保在合同关系上受他控制的任何人的出席。</w:t>
      </w:r>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9.6.2</w:t>
      </w:r>
      <w:r>
        <w:rPr>
          <w:rFonts w:hint="eastAsia" w:asciiTheme="minorEastAsia" w:hAnsiTheme="minorEastAsia" w:eastAsiaTheme="minorEastAsia"/>
          <w:bCs/>
          <w:kern w:val="0"/>
          <w:sz w:val="24"/>
        </w:rPr>
        <w:t>由监理人召集并主持的生产例会的内容将涉及合同管理和工程管理的各个方面，会议纪要由监理人整理并在相应会议后</w:t>
      </w:r>
      <w:r>
        <w:rPr>
          <w:rFonts w:asciiTheme="minorEastAsia" w:hAnsiTheme="minorEastAsia" w:eastAsiaTheme="minorEastAsia"/>
          <w:bCs/>
          <w:kern w:val="0"/>
          <w:sz w:val="24"/>
        </w:rPr>
        <w:t>24</w:t>
      </w:r>
      <w:r>
        <w:rPr>
          <w:rFonts w:hint="eastAsia" w:asciiTheme="minorEastAsia" w:hAnsiTheme="minorEastAsia" w:eastAsiaTheme="minorEastAsia"/>
          <w:bCs/>
          <w:kern w:val="0"/>
          <w:sz w:val="24"/>
        </w:rPr>
        <w:t>小时内分发给出席会议的各方；会议纪要将如实反映会议的内容，包括任何决定、存在的问题、责任方、有关工作的时间目标等；各方在收到会议纪要后</w:t>
      </w:r>
      <w:r>
        <w:rPr>
          <w:rFonts w:asciiTheme="minorEastAsia" w:hAnsiTheme="minorEastAsia" w:eastAsiaTheme="minorEastAsia"/>
          <w:bCs/>
          <w:kern w:val="0"/>
          <w:sz w:val="24"/>
        </w:rPr>
        <w:t>24</w:t>
      </w:r>
      <w:r>
        <w:rPr>
          <w:rFonts w:hint="eastAsia" w:asciiTheme="minorEastAsia" w:hAnsiTheme="minorEastAsia" w:eastAsiaTheme="minorEastAsia"/>
          <w:bCs/>
          <w:kern w:val="0"/>
          <w:sz w:val="24"/>
        </w:rPr>
        <w:t>小时内，如有任何异议，应将有关异议以书面形式通知监理人；如监理人在会议纪要发出后</w:t>
      </w:r>
      <w:r>
        <w:rPr>
          <w:rFonts w:asciiTheme="minorEastAsia" w:hAnsiTheme="minorEastAsia" w:eastAsiaTheme="minorEastAsia"/>
          <w:bCs/>
          <w:kern w:val="0"/>
          <w:sz w:val="24"/>
        </w:rPr>
        <w:t>24</w:t>
      </w:r>
      <w:r>
        <w:rPr>
          <w:rFonts w:hint="eastAsia" w:asciiTheme="minorEastAsia" w:hAnsiTheme="minorEastAsia" w:eastAsiaTheme="minorEastAsia"/>
          <w:bCs/>
          <w:kern w:val="0"/>
          <w:sz w:val="24"/>
        </w:rPr>
        <w:t>小时内未收到任何书面异议，则会议纪要的全部内容对各方产生合同约束力；对在上述时限内提出的任何有效异议，监理人应将此类书面异议转发给其他出席会议方，有异议的事项在下一个会议上更新讨论或由监理人依合同条件的有关约定发出相应指示；但对任何事项的异议，不影响会议纪要中无异议的事项的合同约束力。</w:t>
      </w:r>
    </w:p>
    <w:p>
      <w:pPr>
        <w:spacing w:line="288" w:lineRule="auto"/>
        <w:ind w:firstLine="420"/>
      </w:pPr>
      <w:r>
        <w:rPr>
          <w:rFonts w:asciiTheme="minorEastAsia" w:hAnsiTheme="minorEastAsia" w:eastAsiaTheme="minorEastAsia"/>
          <w:bCs/>
          <w:kern w:val="0"/>
          <w:sz w:val="24"/>
        </w:rPr>
        <w:t>9.6.3</w:t>
      </w:r>
      <w:r>
        <w:rPr>
          <w:rFonts w:hint="eastAsia" w:asciiTheme="minorEastAsia" w:hAnsiTheme="minorEastAsia" w:eastAsiaTheme="minorEastAsia"/>
          <w:bCs/>
          <w:kern w:val="0"/>
          <w:sz w:val="24"/>
        </w:rPr>
        <w:t>承包人应每周至少召开一次包括所有专业分包人出席的内部生产协调会，并提前</w:t>
      </w:r>
      <w:r>
        <w:rPr>
          <w:rFonts w:asciiTheme="minorEastAsia" w:hAnsiTheme="minorEastAsia" w:eastAsiaTheme="minorEastAsia"/>
          <w:bCs/>
          <w:kern w:val="0"/>
          <w:sz w:val="24"/>
        </w:rPr>
        <w:t>24</w:t>
      </w:r>
      <w:r>
        <w:rPr>
          <w:rFonts w:hint="eastAsia" w:asciiTheme="minorEastAsia" w:hAnsiTheme="minorEastAsia" w:eastAsiaTheme="minorEastAsia"/>
          <w:bCs/>
          <w:kern w:val="0"/>
          <w:sz w:val="24"/>
        </w:rPr>
        <w:t>小时将每次会议的时间和地址通知监理人，由监理人自己决定是否出席：每次会议后</w:t>
      </w:r>
      <w:r>
        <w:rPr>
          <w:rFonts w:asciiTheme="minorEastAsia" w:hAnsiTheme="minorEastAsia" w:eastAsiaTheme="minorEastAsia"/>
          <w:bCs/>
          <w:kern w:val="0"/>
          <w:sz w:val="24"/>
        </w:rPr>
        <w:t>48</w:t>
      </w:r>
      <w:r>
        <w:rPr>
          <w:rFonts w:hint="eastAsia" w:asciiTheme="minorEastAsia" w:hAnsiTheme="minorEastAsia" w:eastAsiaTheme="minorEastAsia"/>
          <w:bCs/>
          <w:kern w:val="0"/>
          <w:sz w:val="24"/>
        </w:rPr>
        <w:t>小时内，承包人应将该次会议的会议纪要递交给监理人；会议纪要的格式应等同于监理人每周生产例会的会议纪要的格式。</w:t>
      </w:r>
    </w:p>
    <w:p>
      <w:r>
        <w:rPr>
          <w:rFonts w:hint="eastAsia"/>
        </w:rPr>
        <w:br w:type="page"/>
      </w:r>
      <w:bookmarkStart w:id="1329" w:name="_Toc22797"/>
    </w:p>
    <w:p>
      <w:pPr>
        <w:pStyle w:val="2"/>
      </w:pPr>
      <w:bookmarkStart w:id="1330" w:name="_Toc496098800"/>
      <w:bookmarkStart w:id="1331" w:name="_Toc10910"/>
      <w:r>
        <w:rPr>
          <w:rFonts w:hint="eastAsia"/>
        </w:rPr>
        <w:t>附录A相关服务的范围和内容</w:t>
      </w:r>
      <w:bookmarkEnd w:id="1329"/>
      <w:bookmarkEnd w:id="1330"/>
      <w:bookmarkEnd w:id="1331"/>
    </w:p>
    <w:p>
      <w:pPr>
        <w:snapToGrid w:val="0"/>
        <w:spacing w:beforeLines="50" w:afterLines="50"/>
        <w:jc w:val="left"/>
        <w:rPr>
          <w:bCs/>
          <w:kern w:val="0"/>
          <w:szCs w:val="21"/>
        </w:rPr>
      </w:pPr>
      <w:r>
        <w:rPr>
          <w:bCs/>
          <w:kern w:val="0"/>
          <w:szCs w:val="21"/>
        </w:rPr>
        <w:t xml:space="preserve">A-1 </w:t>
      </w:r>
      <w:r>
        <w:rPr>
          <w:rFonts w:hAnsi="宋体"/>
          <w:bCs/>
          <w:kern w:val="0"/>
          <w:szCs w:val="21"/>
        </w:rPr>
        <w:t>勘察阶段：</w:t>
      </w:r>
    </w:p>
    <w:p>
      <w:pPr>
        <w:snapToGrid w:val="0"/>
        <w:spacing w:beforeLines="50" w:afterLines="50"/>
        <w:ind w:firstLine="420"/>
        <w:jc w:val="left"/>
        <w:rPr>
          <w:rFonts w:ascii="宋体" w:hAnsi="宋体" w:cs="宋体"/>
          <w:bCs/>
          <w:szCs w:val="21"/>
        </w:rPr>
      </w:pPr>
    </w:p>
    <w:p>
      <w:pPr>
        <w:snapToGrid w:val="0"/>
        <w:spacing w:beforeLines="50" w:afterLines="50"/>
        <w:jc w:val="left"/>
        <w:rPr>
          <w:bCs/>
          <w:kern w:val="0"/>
          <w:szCs w:val="21"/>
        </w:rPr>
      </w:pPr>
      <w:r>
        <w:rPr>
          <w:rFonts w:hint="eastAsia"/>
          <w:bCs/>
          <w:kern w:val="0"/>
          <w:szCs w:val="21"/>
        </w:rPr>
        <w:t>A-2 设计阶段：</w:t>
      </w:r>
    </w:p>
    <w:p>
      <w:pPr>
        <w:snapToGrid w:val="0"/>
        <w:spacing w:beforeLines="50" w:afterLines="50"/>
        <w:ind w:firstLine="420"/>
        <w:jc w:val="left"/>
        <w:rPr>
          <w:rFonts w:ascii="宋体" w:hAnsi="宋体" w:cs="宋体"/>
          <w:bCs/>
          <w:szCs w:val="21"/>
        </w:rPr>
      </w:pPr>
    </w:p>
    <w:p>
      <w:pPr>
        <w:snapToGrid w:val="0"/>
        <w:spacing w:beforeLines="50" w:afterLines="50"/>
        <w:jc w:val="left"/>
        <w:rPr>
          <w:bCs/>
          <w:kern w:val="0"/>
          <w:szCs w:val="21"/>
        </w:rPr>
      </w:pPr>
      <w:r>
        <w:rPr>
          <w:rFonts w:hint="eastAsia"/>
          <w:bCs/>
          <w:kern w:val="0"/>
          <w:szCs w:val="21"/>
        </w:rPr>
        <w:t>A-3 保修阶段：</w:t>
      </w:r>
    </w:p>
    <w:p>
      <w:pPr>
        <w:snapToGrid w:val="0"/>
        <w:spacing w:beforeLines="50" w:afterLines="50"/>
        <w:ind w:firstLine="420"/>
        <w:jc w:val="left"/>
        <w:rPr>
          <w:rFonts w:ascii="宋体" w:hAnsi="宋体" w:cs="宋体"/>
          <w:bCs/>
          <w:szCs w:val="21"/>
        </w:rPr>
      </w:pPr>
    </w:p>
    <w:p>
      <w:pPr>
        <w:snapToGrid w:val="0"/>
        <w:spacing w:beforeLines="50" w:afterLines="50"/>
        <w:jc w:val="left"/>
        <w:rPr>
          <w:bCs/>
          <w:kern w:val="0"/>
          <w:szCs w:val="21"/>
        </w:rPr>
      </w:pPr>
      <w:r>
        <w:rPr>
          <w:rFonts w:hint="eastAsia"/>
          <w:bCs/>
          <w:kern w:val="0"/>
          <w:szCs w:val="21"/>
        </w:rPr>
        <w:t>A-4 其他（专业技术咨询、外部协调工作等）：</w:t>
      </w:r>
    </w:p>
    <w:p>
      <w:pPr>
        <w:snapToGrid w:val="0"/>
        <w:spacing w:beforeLines="50" w:afterLines="50"/>
        <w:ind w:firstLine="420"/>
        <w:jc w:val="left"/>
        <w:rPr>
          <w:rFonts w:ascii="宋体" w:hAnsi="宋体" w:cs="宋体"/>
          <w:bCs/>
          <w:szCs w:val="21"/>
        </w:rPr>
      </w:pPr>
    </w:p>
    <w:p>
      <w:pPr>
        <w:pStyle w:val="2"/>
      </w:pPr>
      <w:r>
        <w:rPr>
          <w:rFonts w:hint="eastAsia" w:cs="宋体"/>
        </w:rPr>
        <w:br w:type="page"/>
      </w:r>
      <w:bookmarkStart w:id="1332" w:name="_Toc31360"/>
      <w:bookmarkStart w:id="1333" w:name="_Toc19317"/>
      <w:bookmarkStart w:id="1334" w:name="_Toc496098801"/>
      <w:r>
        <w:rPr>
          <w:rFonts w:hint="eastAsia"/>
        </w:rPr>
        <w:t>附录B委托人派遣的人员和提供的房屋、资料、设备</w:t>
      </w:r>
      <w:bookmarkEnd w:id="1332"/>
      <w:bookmarkEnd w:id="1333"/>
      <w:bookmarkEnd w:id="1334"/>
    </w:p>
    <w:p>
      <w:pPr>
        <w:spacing w:beforeLines="50"/>
        <w:ind w:firstLine="420"/>
        <w:rPr>
          <w:bCs/>
          <w:kern w:val="0"/>
          <w:szCs w:val="21"/>
        </w:rPr>
      </w:pPr>
      <w:r>
        <w:rPr>
          <w:bCs/>
          <w:kern w:val="0"/>
          <w:szCs w:val="21"/>
        </w:rPr>
        <w:t xml:space="preserve">B-1  </w:t>
      </w:r>
      <w:r>
        <w:rPr>
          <w:rFonts w:hAnsi="宋体"/>
          <w:bCs/>
          <w:kern w:val="0"/>
          <w:szCs w:val="21"/>
        </w:rPr>
        <w:t>委托人派遣的人员</w:t>
      </w:r>
    </w:p>
    <w:tbl>
      <w:tblPr>
        <w:tblStyle w:val="28"/>
        <w:tblW w:w="8478" w:type="dxa"/>
        <w:jc w:val="center"/>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18" w:type="dxa"/>
            <w:vAlign w:val="center"/>
          </w:tcPr>
          <w:p>
            <w:pPr>
              <w:jc w:val="center"/>
              <w:rPr>
                <w:bCs/>
                <w:szCs w:val="21"/>
              </w:rPr>
            </w:pPr>
            <w:r>
              <w:rPr>
                <w:rFonts w:hAnsi="宋体"/>
                <w:bCs/>
                <w:szCs w:val="21"/>
              </w:rPr>
              <w:t>名称</w:t>
            </w:r>
          </w:p>
        </w:tc>
        <w:tc>
          <w:tcPr>
            <w:tcW w:w="1770" w:type="dxa"/>
            <w:vAlign w:val="center"/>
          </w:tcPr>
          <w:p>
            <w:pPr>
              <w:jc w:val="center"/>
              <w:rPr>
                <w:bCs/>
                <w:szCs w:val="21"/>
              </w:rPr>
            </w:pPr>
            <w:r>
              <w:rPr>
                <w:rFonts w:hAnsi="宋体"/>
                <w:bCs/>
                <w:szCs w:val="21"/>
              </w:rPr>
              <w:t>数量</w:t>
            </w:r>
          </w:p>
        </w:tc>
        <w:tc>
          <w:tcPr>
            <w:tcW w:w="2130" w:type="dxa"/>
            <w:vAlign w:val="center"/>
          </w:tcPr>
          <w:p>
            <w:pPr>
              <w:jc w:val="center"/>
              <w:rPr>
                <w:bCs/>
                <w:szCs w:val="21"/>
              </w:rPr>
            </w:pPr>
            <w:r>
              <w:rPr>
                <w:rFonts w:hAnsi="宋体"/>
                <w:bCs/>
                <w:szCs w:val="21"/>
              </w:rPr>
              <w:t>工作要求</w:t>
            </w:r>
          </w:p>
        </w:tc>
        <w:tc>
          <w:tcPr>
            <w:tcW w:w="1860" w:type="dxa"/>
            <w:vAlign w:val="center"/>
          </w:tcPr>
          <w:p>
            <w:pPr>
              <w:jc w:val="center"/>
              <w:rPr>
                <w:bCs/>
                <w:szCs w:val="21"/>
              </w:rPr>
            </w:pPr>
            <w:r>
              <w:rPr>
                <w:rFonts w:hAnsi="宋体"/>
                <w:bCs/>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18" w:type="dxa"/>
            <w:vAlign w:val="center"/>
          </w:tcPr>
          <w:p>
            <w:pPr>
              <w:rPr>
                <w:bCs/>
                <w:szCs w:val="21"/>
              </w:rPr>
            </w:pPr>
          </w:p>
        </w:tc>
        <w:tc>
          <w:tcPr>
            <w:tcW w:w="1770" w:type="dxa"/>
            <w:vAlign w:val="center"/>
          </w:tcPr>
          <w:p>
            <w:pPr>
              <w:rPr>
                <w:bCs/>
                <w:szCs w:val="21"/>
              </w:rPr>
            </w:pPr>
          </w:p>
        </w:tc>
        <w:tc>
          <w:tcPr>
            <w:tcW w:w="2130" w:type="dxa"/>
            <w:vAlign w:val="center"/>
          </w:tcPr>
          <w:p>
            <w:pPr>
              <w:rPr>
                <w:bCs/>
                <w:szCs w:val="21"/>
              </w:rPr>
            </w:pPr>
          </w:p>
        </w:tc>
        <w:tc>
          <w:tcPr>
            <w:tcW w:w="1860"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18" w:type="dxa"/>
            <w:vAlign w:val="center"/>
          </w:tcPr>
          <w:p>
            <w:pPr>
              <w:rPr>
                <w:bCs/>
                <w:szCs w:val="21"/>
              </w:rPr>
            </w:pPr>
          </w:p>
        </w:tc>
        <w:tc>
          <w:tcPr>
            <w:tcW w:w="1770" w:type="dxa"/>
            <w:vAlign w:val="center"/>
          </w:tcPr>
          <w:p>
            <w:pPr>
              <w:rPr>
                <w:bCs/>
                <w:szCs w:val="21"/>
              </w:rPr>
            </w:pPr>
          </w:p>
        </w:tc>
        <w:tc>
          <w:tcPr>
            <w:tcW w:w="2130" w:type="dxa"/>
            <w:vAlign w:val="center"/>
          </w:tcPr>
          <w:p>
            <w:pPr>
              <w:rPr>
                <w:bCs/>
                <w:szCs w:val="21"/>
              </w:rPr>
            </w:pPr>
          </w:p>
        </w:tc>
        <w:tc>
          <w:tcPr>
            <w:tcW w:w="1860"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18" w:type="dxa"/>
            <w:vAlign w:val="center"/>
          </w:tcPr>
          <w:p>
            <w:pPr>
              <w:rPr>
                <w:bCs/>
                <w:szCs w:val="21"/>
              </w:rPr>
            </w:pPr>
          </w:p>
        </w:tc>
        <w:tc>
          <w:tcPr>
            <w:tcW w:w="1770" w:type="dxa"/>
            <w:vAlign w:val="center"/>
          </w:tcPr>
          <w:p>
            <w:pPr>
              <w:rPr>
                <w:bCs/>
                <w:szCs w:val="21"/>
              </w:rPr>
            </w:pPr>
          </w:p>
        </w:tc>
        <w:tc>
          <w:tcPr>
            <w:tcW w:w="2130" w:type="dxa"/>
            <w:vAlign w:val="center"/>
          </w:tcPr>
          <w:p>
            <w:pPr>
              <w:rPr>
                <w:bCs/>
                <w:szCs w:val="21"/>
              </w:rPr>
            </w:pPr>
          </w:p>
        </w:tc>
        <w:tc>
          <w:tcPr>
            <w:tcW w:w="1860"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18" w:type="dxa"/>
            <w:vAlign w:val="center"/>
          </w:tcPr>
          <w:p>
            <w:pPr>
              <w:rPr>
                <w:bCs/>
                <w:szCs w:val="21"/>
              </w:rPr>
            </w:pPr>
          </w:p>
        </w:tc>
        <w:tc>
          <w:tcPr>
            <w:tcW w:w="1770" w:type="dxa"/>
            <w:vAlign w:val="center"/>
          </w:tcPr>
          <w:p>
            <w:pPr>
              <w:rPr>
                <w:bCs/>
                <w:szCs w:val="21"/>
              </w:rPr>
            </w:pPr>
          </w:p>
        </w:tc>
        <w:tc>
          <w:tcPr>
            <w:tcW w:w="2130" w:type="dxa"/>
            <w:vAlign w:val="center"/>
          </w:tcPr>
          <w:p>
            <w:pPr>
              <w:rPr>
                <w:bCs/>
                <w:szCs w:val="21"/>
              </w:rPr>
            </w:pPr>
          </w:p>
        </w:tc>
        <w:tc>
          <w:tcPr>
            <w:tcW w:w="1860" w:type="dxa"/>
            <w:vAlign w:val="center"/>
          </w:tcPr>
          <w:p>
            <w:pPr>
              <w:rPr>
                <w:bCs/>
                <w:szCs w:val="21"/>
              </w:rPr>
            </w:pPr>
          </w:p>
        </w:tc>
      </w:tr>
    </w:tbl>
    <w:p>
      <w:pPr>
        <w:ind w:firstLine="420"/>
        <w:rPr>
          <w:szCs w:val="21"/>
        </w:rPr>
      </w:pPr>
      <w:r>
        <w:rPr>
          <w:rFonts w:hint="eastAsia"/>
          <w:szCs w:val="21"/>
        </w:rPr>
        <w:t>B-2  委托人提供的房屋</w:t>
      </w:r>
    </w:p>
    <w:tbl>
      <w:tblPr>
        <w:tblStyle w:val="28"/>
        <w:tblW w:w="8478" w:type="dxa"/>
        <w:jc w:val="center"/>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1035"/>
        <w:gridCol w:w="271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5" w:type="dxa"/>
            <w:vAlign w:val="center"/>
          </w:tcPr>
          <w:p>
            <w:pPr>
              <w:jc w:val="center"/>
              <w:rPr>
                <w:bCs/>
                <w:szCs w:val="21"/>
              </w:rPr>
            </w:pPr>
            <w:r>
              <w:rPr>
                <w:rFonts w:hAnsi="宋体"/>
                <w:bCs/>
                <w:szCs w:val="21"/>
              </w:rPr>
              <w:t>名称</w:t>
            </w:r>
          </w:p>
        </w:tc>
        <w:tc>
          <w:tcPr>
            <w:tcW w:w="1035" w:type="dxa"/>
            <w:vAlign w:val="center"/>
          </w:tcPr>
          <w:p>
            <w:pPr>
              <w:jc w:val="center"/>
              <w:rPr>
                <w:bCs/>
                <w:szCs w:val="21"/>
              </w:rPr>
            </w:pPr>
            <w:r>
              <w:rPr>
                <w:rFonts w:hAnsi="宋体"/>
                <w:bCs/>
                <w:szCs w:val="21"/>
              </w:rPr>
              <w:t>数量</w:t>
            </w:r>
          </w:p>
        </w:tc>
        <w:tc>
          <w:tcPr>
            <w:tcW w:w="2712" w:type="dxa"/>
            <w:vAlign w:val="center"/>
          </w:tcPr>
          <w:p>
            <w:pPr>
              <w:jc w:val="center"/>
              <w:rPr>
                <w:bCs/>
                <w:szCs w:val="21"/>
              </w:rPr>
            </w:pPr>
            <w:r>
              <w:rPr>
                <w:rFonts w:hAnsi="宋体"/>
                <w:bCs/>
                <w:szCs w:val="21"/>
              </w:rPr>
              <w:t>面积</w:t>
            </w:r>
          </w:p>
        </w:tc>
        <w:tc>
          <w:tcPr>
            <w:tcW w:w="2506" w:type="dxa"/>
            <w:vAlign w:val="center"/>
          </w:tcPr>
          <w:p>
            <w:pPr>
              <w:jc w:val="center"/>
              <w:rPr>
                <w:bCs/>
                <w:szCs w:val="21"/>
              </w:rPr>
            </w:pPr>
            <w:r>
              <w:rPr>
                <w:rFonts w:hAnsi="宋体"/>
                <w:bCs/>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5" w:type="dxa"/>
            <w:vAlign w:val="center"/>
          </w:tcPr>
          <w:p>
            <w:pPr>
              <w:rPr>
                <w:bCs/>
                <w:szCs w:val="21"/>
              </w:rPr>
            </w:pPr>
            <w:r>
              <w:rPr>
                <w:rFonts w:hint="eastAsia"/>
                <w:bCs/>
                <w:szCs w:val="21"/>
              </w:rPr>
              <w:t>无</w:t>
            </w:r>
          </w:p>
        </w:tc>
        <w:tc>
          <w:tcPr>
            <w:tcW w:w="1035" w:type="dxa"/>
            <w:vAlign w:val="center"/>
          </w:tcPr>
          <w:p>
            <w:pPr>
              <w:rPr>
                <w:bCs/>
                <w:szCs w:val="21"/>
              </w:rPr>
            </w:pPr>
          </w:p>
        </w:tc>
        <w:tc>
          <w:tcPr>
            <w:tcW w:w="2712" w:type="dxa"/>
            <w:vAlign w:val="center"/>
          </w:tcPr>
          <w:p>
            <w:pPr>
              <w:rPr>
                <w:bCs/>
                <w:szCs w:val="21"/>
              </w:rPr>
            </w:pPr>
          </w:p>
        </w:tc>
        <w:tc>
          <w:tcPr>
            <w:tcW w:w="2506"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5" w:type="dxa"/>
            <w:vAlign w:val="center"/>
          </w:tcPr>
          <w:p>
            <w:pPr>
              <w:rPr>
                <w:bCs/>
                <w:szCs w:val="21"/>
              </w:rPr>
            </w:pPr>
          </w:p>
        </w:tc>
        <w:tc>
          <w:tcPr>
            <w:tcW w:w="1035" w:type="dxa"/>
            <w:vAlign w:val="center"/>
          </w:tcPr>
          <w:p>
            <w:pPr>
              <w:rPr>
                <w:bCs/>
                <w:szCs w:val="21"/>
              </w:rPr>
            </w:pPr>
          </w:p>
        </w:tc>
        <w:tc>
          <w:tcPr>
            <w:tcW w:w="2712" w:type="dxa"/>
            <w:vAlign w:val="center"/>
          </w:tcPr>
          <w:p>
            <w:pPr>
              <w:rPr>
                <w:bCs/>
                <w:szCs w:val="21"/>
              </w:rPr>
            </w:pPr>
          </w:p>
        </w:tc>
        <w:tc>
          <w:tcPr>
            <w:tcW w:w="2506" w:type="dxa"/>
            <w:vAlign w:val="center"/>
          </w:tcPr>
          <w:p>
            <w:pPr>
              <w:rPr>
                <w:bCs/>
                <w:szCs w:val="21"/>
              </w:rPr>
            </w:pPr>
          </w:p>
        </w:tc>
      </w:tr>
      <w:tr>
        <w:tblPrEx>
          <w:tblLayout w:type="fixed"/>
          <w:tblCellMar>
            <w:top w:w="0" w:type="dxa"/>
            <w:left w:w="108" w:type="dxa"/>
            <w:bottom w:w="0" w:type="dxa"/>
            <w:right w:w="108" w:type="dxa"/>
          </w:tblCellMar>
        </w:tblPrEx>
        <w:trPr>
          <w:jc w:val="center"/>
        </w:trPr>
        <w:tc>
          <w:tcPr>
            <w:tcW w:w="2225" w:type="dxa"/>
            <w:vAlign w:val="center"/>
          </w:tcPr>
          <w:p>
            <w:pPr>
              <w:rPr>
                <w:bCs/>
                <w:szCs w:val="21"/>
              </w:rPr>
            </w:pPr>
          </w:p>
        </w:tc>
        <w:tc>
          <w:tcPr>
            <w:tcW w:w="1035" w:type="dxa"/>
            <w:vAlign w:val="center"/>
          </w:tcPr>
          <w:p>
            <w:pPr>
              <w:rPr>
                <w:bCs/>
                <w:szCs w:val="21"/>
              </w:rPr>
            </w:pPr>
          </w:p>
        </w:tc>
        <w:tc>
          <w:tcPr>
            <w:tcW w:w="2712" w:type="dxa"/>
            <w:vAlign w:val="center"/>
          </w:tcPr>
          <w:p>
            <w:pPr>
              <w:rPr>
                <w:bCs/>
                <w:szCs w:val="21"/>
              </w:rPr>
            </w:pPr>
          </w:p>
        </w:tc>
        <w:tc>
          <w:tcPr>
            <w:tcW w:w="2506" w:type="dxa"/>
            <w:vAlign w:val="center"/>
          </w:tcPr>
          <w:p>
            <w:pPr>
              <w:rPr>
                <w:bCs/>
                <w:szCs w:val="21"/>
              </w:rPr>
            </w:pPr>
          </w:p>
        </w:tc>
      </w:tr>
      <w:tr>
        <w:tblPrEx>
          <w:tblLayout w:type="fixed"/>
          <w:tblCellMar>
            <w:top w:w="0" w:type="dxa"/>
            <w:left w:w="108" w:type="dxa"/>
            <w:bottom w:w="0" w:type="dxa"/>
            <w:right w:w="108" w:type="dxa"/>
          </w:tblCellMar>
        </w:tblPrEx>
        <w:trPr>
          <w:jc w:val="center"/>
        </w:trPr>
        <w:tc>
          <w:tcPr>
            <w:tcW w:w="2225" w:type="dxa"/>
            <w:vAlign w:val="center"/>
          </w:tcPr>
          <w:p>
            <w:pPr>
              <w:rPr>
                <w:bCs/>
                <w:szCs w:val="21"/>
              </w:rPr>
            </w:pPr>
          </w:p>
        </w:tc>
        <w:tc>
          <w:tcPr>
            <w:tcW w:w="1035" w:type="dxa"/>
            <w:vAlign w:val="center"/>
          </w:tcPr>
          <w:p>
            <w:pPr>
              <w:rPr>
                <w:bCs/>
                <w:szCs w:val="21"/>
              </w:rPr>
            </w:pPr>
          </w:p>
        </w:tc>
        <w:tc>
          <w:tcPr>
            <w:tcW w:w="2712" w:type="dxa"/>
            <w:vAlign w:val="center"/>
          </w:tcPr>
          <w:p>
            <w:pPr>
              <w:rPr>
                <w:bCs/>
                <w:szCs w:val="21"/>
              </w:rPr>
            </w:pPr>
          </w:p>
        </w:tc>
        <w:tc>
          <w:tcPr>
            <w:tcW w:w="2506" w:type="dxa"/>
            <w:vAlign w:val="center"/>
          </w:tcPr>
          <w:p>
            <w:pPr>
              <w:rPr>
                <w:bCs/>
                <w:szCs w:val="21"/>
              </w:rPr>
            </w:pPr>
          </w:p>
        </w:tc>
      </w:tr>
      <w:tr>
        <w:tblPrEx>
          <w:tblLayout w:type="fixed"/>
          <w:tblCellMar>
            <w:top w:w="0" w:type="dxa"/>
            <w:left w:w="108" w:type="dxa"/>
            <w:bottom w:w="0" w:type="dxa"/>
            <w:right w:w="108" w:type="dxa"/>
          </w:tblCellMar>
        </w:tblPrEx>
        <w:trPr>
          <w:jc w:val="center"/>
        </w:trPr>
        <w:tc>
          <w:tcPr>
            <w:tcW w:w="2225" w:type="dxa"/>
            <w:vAlign w:val="center"/>
          </w:tcPr>
          <w:p>
            <w:pPr>
              <w:rPr>
                <w:bCs/>
                <w:szCs w:val="21"/>
              </w:rPr>
            </w:pPr>
          </w:p>
        </w:tc>
        <w:tc>
          <w:tcPr>
            <w:tcW w:w="1035" w:type="dxa"/>
            <w:vAlign w:val="center"/>
          </w:tcPr>
          <w:p>
            <w:pPr>
              <w:rPr>
                <w:bCs/>
                <w:szCs w:val="21"/>
              </w:rPr>
            </w:pPr>
          </w:p>
        </w:tc>
        <w:tc>
          <w:tcPr>
            <w:tcW w:w="2712" w:type="dxa"/>
            <w:vAlign w:val="center"/>
          </w:tcPr>
          <w:p>
            <w:pPr>
              <w:rPr>
                <w:bCs/>
                <w:szCs w:val="21"/>
              </w:rPr>
            </w:pPr>
          </w:p>
        </w:tc>
        <w:tc>
          <w:tcPr>
            <w:tcW w:w="2506" w:type="dxa"/>
            <w:vAlign w:val="center"/>
          </w:tcPr>
          <w:p>
            <w:pPr>
              <w:rPr>
                <w:bCs/>
                <w:szCs w:val="21"/>
              </w:rPr>
            </w:pPr>
          </w:p>
        </w:tc>
      </w:tr>
      <w:tr>
        <w:tblPrEx>
          <w:tblLayout w:type="fixed"/>
          <w:tblCellMar>
            <w:top w:w="0" w:type="dxa"/>
            <w:left w:w="108" w:type="dxa"/>
            <w:bottom w:w="0" w:type="dxa"/>
            <w:right w:w="108" w:type="dxa"/>
          </w:tblCellMar>
        </w:tblPrEx>
        <w:trPr>
          <w:jc w:val="center"/>
        </w:trPr>
        <w:tc>
          <w:tcPr>
            <w:tcW w:w="2225" w:type="dxa"/>
            <w:vAlign w:val="center"/>
          </w:tcPr>
          <w:p>
            <w:pPr>
              <w:rPr>
                <w:bCs/>
                <w:szCs w:val="21"/>
              </w:rPr>
            </w:pPr>
          </w:p>
        </w:tc>
        <w:tc>
          <w:tcPr>
            <w:tcW w:w="6253" w:type="dxa"/>
            <w:gridSpan w:val="3"/>
            <w:vAlign w:val="center"/>
          </w:tcPr>
          <w:p>
            <w:pPr>
              <w:rPr>
                <w:bCs/>
                <w:szCs w:val="21"/>
              </w:rPr>
            </w:pPr>
          </w:p>
        </w:tc>
      </w:tr>
    </w:tbl>
    <w:p>
      <w:pPr>
        <w:ind w:firstLine="420"/>
        <w:rPr>
          <w:bCs/>
          <w:kern w:val="0"/>
          <w:szCs w:val="21"/>
        </w:rPr>
      </w:pPr>
      <w:r>
        <w:rPr>
          <w:bCs/>
          <w:kern w:val="0"/>
          <w:szCs w:val="21"/>
        </w:rPr>
        <w:t xml:space="preserve">B-3  </w:t>
      </w:r>
      <w:r>
        <w:rPr>
          <w:rFonts w:hAnsi="宋体"/>
          <w:bCs/>
          <w:kern w:val="0"/>
          <w:szCs w:val="21"/>
        </w:rPr>
        <w:t>委托人提供的资料</w:t>
      </w:r>
    </w:p>
    <w:tbl>
      <w:tblPr>
        <w:tblStyle w:val="28"/>
        <w:tblpPr w:leftFromText="180" w:rightFromText="180" w:vertAnchor="text" w:horzAnchor="page" w:tblpX="1814" w:tblpY="371"/>
        <w:tblOverlap w:val="never"/>
        <w:tblW w:w="8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1491"/>
        <w:gridCol w:w="2147"/>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vAlign w:val="center"/>
          </w:tcPr>
          <w:p>
            <w:pPr>
              <w:jc w:val="center"/>
              <w:rPr>
                <w:bCs/>
                <w:szCs w:val="21"/>
              </w:rPr>
            </w:pPr>
            <w:r>
              <w:rPr>
                <w:rFonts w:hAnsi="宋体"/>
                <w:bCs/>
                <w:szCs w:val="21"/>
              </w:rPr>
              <w:t>名称</w:t>
            </w:r>
          </w:p>
        </w:tc>
        <w:tc>
          <w:tcPr>
            <w:tcW w:w="1491" w:type="dxa"/>
            <w:vAlign w:val="center"/>
          </w:tcPr>
          <w:p>
            <w:pPr>
              <w:jc w:val="center"/>
              <w:rPr>
                <w:bCs/>
                <w:szCs w:val="21"/>
              </w:rPr>
            </w:pPr>
            <w:r>
              <w:rPr>
                <w:rFonts w:hAnsi="宋体"/>
                <w:bCs/>
                <w:szCs w:val="21"/>
              </w:rPr>
              <w:t>份数</w:t>
            </w:r>
          </w:p>
        </w:tc>
        <w:tc>
          <w:tcPr>
            <w:tcW w:w="2147" w:type="dxa"/>
            <w:vAlign w:val="center"/>
          </w:tcPr>
          <w:p>
            <w:pPr>
              <w:jc w:val="center"/>
              <w:rPr>
                <w:bCs/>
                <w:szCs w:val="21"/>
              </w:rPr>
            </w:pPr>
            <w:r>
              <w:rPr>
                <w:rFonts w:hAnsi="宋体"/>
                <w:bCs/>
                <w:szCs w:val="21"/>
              </w:rPr>
              <w:t>提供时间</w:t>
            </w:r>
          </w:p>
        </w:tc>
        <w:tc>
          <w:tcPr>
            <w:tcW w:w="2032" w:type="dxa"/>
            <w:vAlign w:val="center"/>
          </w:tcPr>
          <w:p>
            <w:pPr>
              <w:jc w:val="center"/>
              <w:rPr>
                <w:bCs/>
                <w:szCs w:val="21"/>
              </w:rPr>
            </w:pPr>
            <w:r>
              <w:rPr>
                <w:rFonts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vAlign w:val="center"/>
          </w:tcPr>
          <w:p>
            <w:pPr>
              <w:rPr>
                <w:bCs/>
                <w:szCs w:val="21"/>
              </w:rPr>
            </w:pPr>
            <w:r>
              <w:rPr>
                <w:bCs/>
                <w:szCs w:val="21"/>
              </w:rPr>
              <w:t xml:space="preserve">1. </w:t>
            </w:r>
            <w:r>
              <w:rPr>
                <w:rFonts w:hAnsi="宋体"/>
                <w:bCs/>
                <w:szCs w:val="21"/>
              </w:rPr>
              <w:t>工程立项文件</w:t>
            </w:r>
          </w:p>
        </w:tc>
        <w:tc>
          <w:tcPr>
            <w:tcW w:w="1491" w:type="dxa"/>
            <w:vAlign w:val="center"/>
          </w:tcPr>
          <w:p>
            <w:pPr>
              <w:rPr>
                <w:bCs/>
                <w:szCs w:val="21"/>
              </w:rPr>
            </w:pPr>
          </w:p>
        </w:tc>
        <w:tc>
          <w:tcPr>
            <w:tcW w:w="2147" w:type="dxa"/>
            <w:vAlign w:val="center"/>
          </w:tcPr>
          <w:p>
            <w:pPr>
              <w:rPr>
                <w:bCs/>
                <w:szCs w:val="21"/>
              </w:rPr>
            </w:pPr>
          </w:p>
        </w:tc>
        <w:tc>
          <w:tcPr>
            <w:tcW w:w="2032"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vAlign w:val="center"/>
          </w:tcPr>
          <w:p>
            <w:pPr>
              <w:rPr>
                <w:bCs/>
                <w:szCs w:val="21"/>
              </w:rPr>
            </w:pPr>
            <w:r>
              <w:rPr>
                <w:bCs/>
                <w:szCs w:val="21"/>
              </w:rPr>
              <w:t xml:space="preserve">2. </w:t>
            </w:r>
            <w:r>
              <w:rPr>
                <w:rFonts w:hAnsi="宋体"/>
                <w:bCs/>
                <w:szCs w:val="21"/>
              </w:rPr>
              <w:t>工程勘察文件</w:t>
            </w:r>
          </w:p>
        </w:tc>
        <w:tc>
          <w:tcPr>
            <w:tcW w:w="1491" w:type="dxa"/>
            <w:vAlign w:val="center"/>
          </w:tcPr>
          <w:p>
            <w:pPr>
              <w:rPr>
                <w:bCs/>
                <w:szCs w:val="21"/>
              </w:rPr>
            </w:pPr>
          </w:p>
        </w:tc>
        <w:tc>
          <w:tcPr>
            <w:tcW w:w="2147" w:type="dxa"/>
            <w:vAlign w:val="center"/>
          </w:tcPr>
          <w:p>
            <w:pPr>
              <w:rPr>
                <w:bCs/>
                <w:szCs w:val="21"/>
              </w:rPr>
            </w:pPr>
          </w:p>
        </w:tc>
        <w:tc>
          <w:tcPr>
            <w:tcW w:w="2032"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vAlign w:val="center"/>
          </w:tcPr>
          <w:p>
            <w:pPr>
              <w:rPr>
                <w:bCs/>
                <w:szCs w:val="21"/>
              </w:rPr>
            </w:pPr>
            <w:r>
              <w:rPr>
                <w:bCs/>
                <w:szCs w:val="21"/>
              </w:rPr>
              <w:t xml:space="preserve">3. </w:t>
            </w:r>
            <w:r>
              <w:rPr>
                <w:rFonts w:hAnsi="宋体"/>
                <w:bCs/>
                <w:szCs w:val="21"/>
              </w:rPr>
              <w:t>工程设计及施工图纸</w:t>
            </w:r>
          </w:p>
        </w:tc>
        <w:tc>
          <w:tcPr>
            <w:tcW w:w="1491" w:type="dxa"/>
            <w:vAlign w:val="center"/>
          </w:tcPr>
          <w:p>
            <w:pPr>
              <w:rPr>
                <w:bCs/>
                <w:szCs w:val="21"/>
              </w:rPr>
            </w:pPr>
          </w:p>
        </w:tc>
        <w:tc>
          <w:tcPr>
            <w:tcW w:w="2147" w:type="dxa"/>
            <w:vAlign w:val="center"/>
          </w:tcPr>
          <w:p>
            <w:pPr>
              <w:rPr>
                <w:bCs/>
                <w:szCs w:val="21"/>
              </w:rPr>
            </w:pPr>
          </w:p>
        </w:tc>
        <w:tc>
          <w:tcPr>
            <w:tcW w:w="2032"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vAlign w:val="center"/>
          </w:tcPr>
          <w:p>
            <w:pPr>
              <w:rPr>
                <w:bCs/>
                <w:szCs w:val="21"/>
              </w:rPr>
            </w:pPr>
            <w:r>
              <w:rPr>
                <w:bCs/>
                <w:szCs w:val="21"/>
              </w:rPr>
              <w:t xml:space="preserve">4. </w:t>
            </w:r>
            <w:r>
              <w:rPr>
                <w:rFonts w:hAnsi="宋体"/>
                <w:bCs/>
                <w:szCs w:val="21"/>
              </w:rPr>
              <w:t>工程承包合同及其他相关合同</w:t>
            </w:r>
          </w:p>
        </w:tc>
        <w:tc>
          <w:tcPr>
            <w:tcW w:w="1491" w:type="dxa"/>
            <w:vAlign w:val="center"/>
          </w:tcPr>
          <w:p>
            <w:pPr>
              <w:rPr>
                <w:bCs/>
                <w:szCs w:val="21"/>
              </w:rPr>
            </w:pPr>
          </w:p>
        </w:tc>
        <w:tc>
          <w:tcPr>
            <w:tcW w:w="2147" w:type="dxa"/>
            <w:vAlign w:val="center"/>
          </w:tcPr>
          <w:p>
            <w:pPr>
              <w:rPr>
                <w:bCs/>
                <w:szCs w:val="21"/>
              </w:rPr>
            </w:pPr>
          </w:p>
        </w:tc>
        <w:tc>
          <w:tcPr>
            <w:tcW w:w="2032"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vAlign w:val="center"/>
          </w:tcPr>
          <w:p>
            <w:pPr>
              <w:rPr>
                <w:bCs/>
                <w:szCs w:val="21"/>
              </w:rPr>
            </w:pPr>
            <w:r>
              <w:rPr>
                <w:bCs/>
                <w:szCs w:val="21"/>
              </w:rPr>
              <w:t xml:space="preserve">5. </w:t>
            </w:r>
            <w:r>
              <w:rPr>
                <w:rFonts w:hAnsi="宋体"/>
                <w:bCs/>
                <w:szCs w:val="21"/>
              </w:rPr>
              <w:t>施工许可文件</w:t>
            </w:r>
          </w:p>
        </w:tc>
        <w:tc>
          <w:tcPr>
            <w:tcW w:w="1491" w:type="dxa"/>
            <w:vAlign w:val="center"/>
          </w:tcPr>
          <w:p>
            <w:pPr>
              <w:rPr>
                <w:bCs/>
                <w:szCs w:val="21"/>
              </w:rPr>
            </w:pPr>
          </w:p>
        </w:tc>
        <w:tc>
          <w:tcPr>
            <w:tcW w:w="2147" w:type="dxa"/>
            <w:vAlign w:val="center"/>
          </w:tcPr>
          <w:p>
            <w:pPr>
              <w:rPr>
                <w:bCs/>
                <w:szCs w:val="21"/>
              </w:rPr>
            </w:pPr>
          </w:p>
        </w:tc>
        <w:tc>
          <w:tcPr>
            <w:tcW w:w="2032"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vAlign w:val="center"/>
          </w:tcPr>
          <w:p>
            <w:pPr>
              <w:rPr>
                <w:bCs/>
                <w:szCs w:val="21"/>
              </w:rPr>
            </w:pPr>
            <w:r>
              <w:rPr>
                <w:bCs/>
                <w:szCs w:val="21"/>
              </w:rPr>
              <w:t xml:space="preserve">6. </w:t>
            </w:r>
            <w:r>
              <w:rPr>
                <w:rFonts w:hAnsi="宋体"/>
                <w:bCs/>
                <w:szCs w:val="21"/>
              </w:rPr>
              <w:t>与本工程有关的协作单位、配合单位的名录</w:t>
            </w:r>
          </w:p>
        </w:tc>
        <w:tc>
          <w:tcPr>
            <w:tcW w:w="1491" w:type="dxa"/>
            <w:vAlign w:val="center"/>
          </w:tcPr>
          <w:p>
            <w:pPr>
              <w:rPr>
                <w:bCs/>
                <w:szCs w:val="21"/>
              </w:rPr>
            </w:pPr>
          </w:p>
        </w:tc>
        <w:tc>
          <w:tcPr>
            <w:tcW w:w="2147" w:type="dxa"/>
            <w:vAlign w:val="center"/>
          </w:tcPr>
          <w:p>
            <w:pPr>
              <w:rPr>
                <w:bCs/>
                <w:szCs w:val="21"/>
              </w:rPr>
            </w:pPr>
          </w:p>
        </w:tc>
        <w:tc>
          <w:tcPr>
            <w:tcW w:w="2032"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vAlign w:val="center"/>
          </w:tcPr>
          <w:p>
            <w:pPr>
              <w:rPr>
                <w:bCs/>
                <w:szCs w:val="21"/>
              </w:rPr>
            </w:pPr>
          </w:p>
        </w:tc>
        <w:tc>
          <w:tcPr>
            <w:tcW w:w="1491" w:type="dxa"/>
            <w:vAlign w:val="center"/>
          </w:tcPr>
          <w:p>
            <w:pPr>
              <w:rPr>
                <w:bCs/>
                <w:szCs w:val="21"/>
              </w:rPr>
            </w:pPr>
          </w:p>
        </w:tc>
        <w:tc>
          <w:tcPr>
            <w:tcW w:w="2147" w:type="dxa"/>
            <w:vAlign w:val="center"/>
          </w:tcPr>
          <w:p>
            <w:pPr>
              <w:rPr>
                <w:bCs/>
                <w:szCs w:val="21"/>
              </w:rPr>
            </w:pPr>
          </w:p>
        </w:tc>
        <w:tc>
          <w:tcPr>
            <w:tcW w:w="2032" w:type="dxa"/>
            <w:vAlign w:val="center"/>
          </w:tcPr>
          <w:p>
            <w:pPr>
              <w:rPr>
                <w:bCs/>
                <w:szCs w:val="21"/>
              </w:rPr>
            </w:pPr>
          </w:p>
        </w:tc>
      </w:tr>
    </w:tbl>
    <w:p>
      <w:pPr>
        <w:spacing w:beforeLines="50"/>
        <w:ind w:firstLine="420"/>
        <w:rPr>
          <w:bCs/>
          <w:kern w:val="0"/>
          <w:szCs w:val="21"/>
        </w:rPr>
      </w:pPr>
      <w:r>
        <w:rPr>
          <w:bCs/>
          <w:kern w:val="0"/>
          <w:szCs w:val="21"/>
        </w:rPr>
        <w:t xml:space="preserve">B-4 </w:t>
      </w:r>
      <w:r>
        <w:rPr>
          <w:rFonts w:hAnsi="宋体"/>
          <w:bCs/>
          <w:kern w:val="0"/>
          <w:szCs w:val="21"/>
        </w:rPr>
        <w:t>委托人提供的设备</w:t>
      </w:r>
    </w:p>
    <w:tbl>
      <w:tblPr>
        <w:tblStyle w:val="28"/>
        <w:tblpPr w:leftFromText="180" w:rightFromText="180" w:vertAnchor="text" w:horzAnchor="page" w:tblpX="1714" w:tblpY="338"/>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center"/>
          </w:tcPr>
          <w:p>
            <w:pPr>
              <w:tabs>
                <w:tab w:val="center" w:pos="1386"/>
              </w:tabs>
              <w:jc w:val="center"/>
              <w:rPr>
                <w:bCs/>
                <w:szCs w:val="21"/>
              </w:rPr>
            </w:pPr>
            <w:r>
              <w:rPr>
                <w:rFonts w:hAnsi="宋体"/>
                <w:bCs/>
                <w:szCs w:val="21"/>
              </w:rPr>
              <w:t>名称</w:t>
            </w:r>
          </w:p>
        </w:tc>
        <w:tc>
          <w:tcPr>
            <w:tcW w:w="1590" w:type="dxa"/>
            <w:vAlign w:val="center"/>
          </w:tcPr>
          <w:p>
            <w:pPr>
              <w:jc w:val="center"/>
              <w:rPr>
                <w:bCs/>
                <w:szCs w:val="21"/>
              </w:rPr>
            </w:pPr>
            <w:r>
              <w:rPr>
                <w:rFonts w:hAnsi="宋体"/>
                <w:bCs/>
                <w:szCs w:val="21"/>
              </w:rPr>
              <w:t>数量</w:t>
            </w:r>
          </w:p>
        </w:tc>
        <w:tc>
          <w:tcPr>
            <w:tcW w:w="2130" w:type="dxa"/>
            <w:vAlign w:val="center"/>
          </w:tcPr>
          <w:p>
            <w:pPr>
              <w:jc w:val="center"/>
              <w:rPr>
                <w:bCs/>
                <w:szCs w:val="21"/>
              </w:rPr>
            </w:pPr>
            <w:r>
              <w:rPr>
                <w:rFonts w:hAnsi="宋体"/>
                <w:bCs/>
                <w:szCs w:val="21"/>
              </w:rPr>
              <w:t>型号与规格</w:t>
            </w:r>
          </w:p>
        </w:tc>
        <w:tc>
          <w:tcPr>
            <w:tcW w:w="1860" w:type="dxa"/>
            <w:vAlign w:val="center"/>
          </w:tcPr>
          <w:p>
            <w:pPr>
              <w:jc w:val="center"/>
              <w:rPr>
                <w:bCs/>
                <w:szCs w:val="21"/>
              </w:rPr>
            </w:pPr>
            <w:r>
              <w:rPr>
                <w:rFonts w:hAnsi="宋体"/>
                <w:bCs/>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center"/>
          </w:tcPr>
          <w:p>
            <w:pPr>
              <w:rPr>
                <w:bCs/>
                <w:szCs w:val="21"/>
              </w:rPr>
            </w:pPr>
            <w:r>
              <w:rPr>
                <w:rFonts w:hint="eastAsia"/>
                <w:bCs/>
                <w:szCs w:val="21"/>
              </w:rPr>
              <w:t>无</w:t>
            </w:r>
          </w:p>
        </w:tc>
        <w:tc>
          <w:tcPr>
            <w:tcW w:w="1590" w:type="dxa"/>
            <w:vAlign w:val="center"/>
          </w:tcPr>
          <w:p>
            <w:pPr>
              <w:rPr>
                <w:bCs/>
                <w:szCs w:val="21"/>
              </w:rPr>
            </w:pPr>
          </w:p>
        </w:tc>
        <w:tc>
          <w:tcPr>
            <w:tcW w:w="2130" w:type="dxa"/>
            <w:vAlign w:val="center"/>
          </w:tcPr>
          <w:p>
            <w:pPr>
              <w:rPr>
                <w:bCs/>
                <w:szCs w:val="21"/>
              </w:rPr>
            </w:pPr>
          </w:p>
        </w:tc>
        <w:tc>
          <w:tcPr>
            <w:tcW w:w="1860"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center"/>
          </w:tcPr>
          <w:p>
            <w:pPr>
              <w:rPr>
                <w:bCs/>
                <w:szCs w:val="21"/>
              </w:rPr>
            </w:pPr>
          </w:p>
        </w:tc>
        <w:tc>
          <w:tcPr>
            <w:tcW w:w="1590" w:type="dxa"/>
            <w:vAlign w:val="center"/>
          </w:tcPr>
          <w:p>
            <w:pPr>
              <w:rPr>
                <w:bCs/>
                <w:szCs w:val="21"/>
              </w:rPr>
            </w:pPr>
          </w:p>
        </w:tc>
        <w:tc>
          <w:tcPr>
            <w:tcW w:w="2130" w:type="dxa"/>
            <w:vAlign w:val="center"/>
          </w:tcPr>
          <w:p>
            <w:pPr>
              <w:rPr>
                <w:bCs/>
                <w:szCs w:val="21"/>
              </w:rPr>
            </w:pPr>
          </w:p>
        </w:tc>
        <w:tc>
          <w:tcPr>
            <w:tcW w:w="1860"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center"/>
          </w:tcPr>
          <w:p>
            <w:pPr>
              <w:rPr>
                <w:bCs/>
                <w:szCs w:val="21"/>
              </w:rPr>
            </w:pPr>
          </w:p>
        </w:tc>
        <w:tc>
          <w:tcPr>
            <w:tcW w:w="1590" w:type="dxa"/>
            <w:vAlign w:val="center"/>
          </w:tcPr>
          <w:p>
            <w:pPr>
              <w:rPr>
                <w:bCs/>
                <w:szCs w:val="21"/>
              </w:rPr>
            </w:pPr>
          </w:p>
        </w:tc>
        <w:tc>
          <w:tcPr>
            <w:tcW w:w="2130" w:type="dxa"/>
            <w:vAlign w:val="center"/>
          </w:tcPr>
          <w:p>
            <w:pPr>
              <w:rPr>
                <w:bCs/>
                <w:szCs w:val="21"/>
              </w:rPr>
            </w:pPr>
          </w:p>
        </w:tc>
        <w:tc>
          <w:tcPr>
            <w:tcW w:w="1860"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center"/>
          </w:tcPr>
          <w:p>
            <w:pPr>
              <w:rPr>
                <w:bCs/>
                <w:szCs w:val="21"/>
              </w:rPr>
            </w:pPr>
          </w:p>
        </w:tc>
        <w:tc>
          <w:tcPr>
            <w:tcW w:w="1590" w:type="dxa"/>
            <w:vAlign w:val="center"/>
          </w:tcPr>
          <w:p>
            <w:pPr>
              <w:rPr>
                <w:bCs/>
                <w:szCs w:val="21"/>
              </w:rPr>
            </w:pPr>
          </w:p>
        </w:tc>
        <w:tc>
          <w:tcPr>
            <w:tcW w:w="2130" w:type="dxa"/>
            <w:vAlign w:val="center"/>
          </w:tcPr>
          <w:p>
            <w:pPr>
              <w:rPr>
                <w:bCs/>
                <w:szCs w:val="21"/>
              </w:rPr>
            </w:pPr>
          </w:p>
        </w:tc>
        <w:tc>
          <w:tcPr>
            <w:tcW w:w="1860"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center"/>
          </w:tcPr>
          <w:p>
            <w:pPr>
              <w:rPr>
                <w:bCs/>
                <w:szCs w:val="21"/>
              </w:rPr>
            </w:pPr>
          </w:p>
        </w:tc>
        <w:tc>
          <w:tcPr>
            <w:tcW w:w="1590" w:type="dxa"/>
            <w:vAlign w:val="center"/>
          </w:tcPr>
          <w:p>
            <w:pPr>
              <w:rPr>
                <w:bCs/>
                <w:szCs w:val="21"/>
              </w:rPr>
            </w:pPr>
          </w:p>
        </w:tc>
        <w:tc>
          <w:tcPr>
            <w:tcW w:w="2130" w:type="dxa"/>
            <w:vAlign w:val="center"/>
          </w:tcPr>
          <w:p>
            <w:pPr>
              <w:rPr>
                <w:bCs/>
                <w:szCs w:val="21"/>
              </w:rPr>
            </w:pPr>
          </w:p>
        </w:tc>
        <w:tc>
          <w:tcPr>
            <w:tcW w:w="1860" w:type="dxa"/>
            <w:vAlign w:val="center"/>
          </w:tcPr>
          <w:p>
            <w:pPr>
              <w:rPr>
                <w:bCs/>
                <w:szCs w:val="21"/>
              </w:rPr>
            </w:pPr>
          </w:p>
        </w:tc>
      </w:tr>
    </w:tbl>
    <w:p>
      <w:bookmarkStart w:id="1335" w:name="_Toc24835"/>
      <w:bookmarkStart w:id="1336" w:name="_Toc153524100"/>
      <w:bookmarkStart w:id="1337" w:name="_Toc153591797"/>
      <w:bookmarkStart w:id="1338" w:name="_Toc153177840"/>
      <w:bookmarkStart w:id="1339" w:name="_Toc296520809"/>
      <w:bookmarkStart w:id="1340" w:name="_Toc153106545"/>
      <w:bookmarkStart w:id="1341" w:name="_Toc496098802"/>
    </w:p>
    <w:p/>
    <w:p/>
    <w:p/>
    <w:p/>
    <w:p/>
    <w:p/>
    <w:p>
      <w:pPr>
        <w:pStyle w:val="2"/>
      </w:pPr>
      <w:bookmarkStart w:id="1342" w:name="_Toc21613"/>
      <w:r>
        <w:rPr>
          <w:rFonts w:hint="eastAsia"/>
        </w:rPr>
        <w:t>附录C</w:t>
      </w:r>
      <w:bookmarkEnd w:id="1335"/>
      <w:bookmarkEnd w:id="1336"/>
      <w:bookmarkEnd w:id="1337"/>
      <w:bookmarkEnd w:id="1338"/>
      <w:bookmarkEnd w:id="1339"/>
      <w:bookmarkEnd w:id="1340"/>
      <w:bookmarkStart w:id="1343" w:name="_Toc476924927"/>
      <w:r>
        <w:rPr>
          <w:rFonts w:hint="eastAsia"/>
        </w:rPr>
        <w:t>廉洁从业合同格式</w:t>
      </w:r>
      <w:bookmarkEnd w:id="1341"/>
      <w:bookmarkEnd w:id="1342"/>
      <w:bookmarkEnd w:id="1343"/>
    </w:p>
    <w:p>
      <w:pPr>
        <w:spacing w:beforeLines="100" w:afterLines="100" w:line="440" w:lineRule="exact"/>
        <w:ind w:firstLine="482"/>
        <w:jc w:val="center"/>
        <w:rPr>
          <w:b/>
          <w:sz w:val="24"/>
        </w:rPr>
      </w:pPr>
      <w:r>
        <w:rPr>
          <w:rFonts w:hint="eastAsia"/>
          <w:b/>
          <w:sz w:val="24"/>
        </w:rPr>
        <w:t>廉洁从业合同</w:t>
      </w:r>
    </w:p>
    <w:p>
      <w:pPr>
        <w:spacing w:line="440" w:lineRule="exact"/>
        <w:ind w:firstLine="420"/>
        <w:rPr>
          <w:rFonts w:ascii="宋体" w:hAnsi="宋体" w:cs="宋体"/>
          <w:bCs/>
          <w:sz w:val="24"/>
        </w:rPr>
      </w:pPr>
      <w:r>
        <w:rPr>
          <w:rFonts w:hint="eastAsia" w:ascii="宋体" w:hAnsi="宋体" w:cs="宋体"/>
          <w:bCs/>
          <w:sz w:val="24"/>
        </w:rPr>
        <w:t>委托人（简称甲方）：</w:t>
      </w:r>
    </w:p>
    <w:p>
      <w:pPr>
        <w:spacing w:line="440" w:lineRule="exact"/>
        <w:ind w:firstLine="420"/>
        <w:rPr>
          <w:rFonts w:ascii="宋体" w:hAnsi="宋体" w:cs="宋体"/>
          <w:bCs/>
          <w:sz w:val="24"/>
        </w:rPr>
      </w:pPr>
      <w:r>
        <w:rPr>
          <w:rFonts w:hint="eastAsia" w:ascii="宋体" w:hAnsi="宋体" w:cs="宋体"/>
          <w:bCs/>
          <w:sz w:val="24"/>
        </w:rPr>
        <w:t>监理人（简称乙方）：</w:t>
      </w:r>
    </w:p>
    <w:p>
      <w:pPr>
        <w:spacing w:line="440" w:lineRule="exact"/>
        <w:ind w:firstLine="420"/>
        <w:rPr>
          <w:rFonts w:ascii="宋体" w:hAnsi="宋体" w:cs="宋体"/>
          <w:bCs/>
          <w:sz w:val="24"/>
        </w:rPr>
      </w:pPr>
      <w:r>
        <w:rPr>
          <w:rFonts w:hint="eastAsia" w:ascii="宋体" w:hAnsi="宋体" w:cs="宋体"/>
          <w:bCs/>
          <w:sz w:val="24"/>
        </w:rPr>
        <w:t xml:space="preserve">为加强工程建设中的廉洁建设，规范工程建设监理委托与被委托双方的各项活动，防止发生各种谋取不正当利益的违法违纪行为，保护国家、集体和当事人的合法权益，根据国家有关工程建设的法律法规和廉洁建设责任制规定，特订立本廉洁责任书。 </w:t>
      </w:r>
    </w:p>
    <w:p>
      <w:pPr>
        <w:spacing w:line="440" w:lineRule="exact"/>
        <w:ind w:firstLine="420"/>
        <w:rPr>
          <w:rFonts w:ascii="宋体" w:hAnsi="宋体" w:cs="宋体"/>
          <w:bCs/>
          <w:sz w:val="24"/>
        </w:rPr>
      </w:pPr>
      <w:r>
        <w:rPr>
          <w:rFonts w:hint="eastAsia" w:ascii="宋体" w:hAnsi="宋体" w:cs="宋体"/>
          <w:bCs/>
          <w:sz w:val="24"/>
        </w:rPr>
        <w:t xml:space="preserve">第一条甲乙双方的责任 </w:t>
      </w:r>
    </w:p>
    <w:p>
      <w:pPr>
        <w:spacing w:line="440" w:lineRule="exact"/>
        <w:ind w:firstLine="420"/>
        <w:rPr>
          <w:rFonts w:ascii="宋体" w:hAnsi="宋体" w:cs="宋体"/>
          <w:bCs/>
          <w:sz w:val="24"/>
        </w:rPr>
      </w:pPr>
      <w:r>
        <w:rPr>
          <w:rFonts w:hint="eastAsia" w:ascii="宋体" w:hAnsi="宋体" w:cs="宋体"/>
          <w:bCs/>
          <w:sz w:val="24"/>
        </w:rPr>
        <w:t xml:space="preserve">　　（一）应严格遵守国家关于市场准入、项目招标投标、工程建设、工程监理和市场活动的有关法律、法规，相关政策，以及廉洁建设的各项规定。 </w:t>
      </w:r>
    </w:p>
    <w:p>
      <w:pPr>
        <w:spacing w:line="440" w:lineRule="exact"/>
        <w:ind w:firstLine="420"/>
        <w:rPr>
          <w:rFonts w:ascii="宋体" w:hAnsi="宋体" w:cs="宋体"/>
          <w:bCs/>
          <w:sz w:val="24"/>
        </w:rPr>
      </w:pPr>
      <w:r>
        <w:rPr>
          <w:rFonts w:hint="eastAsia" w:ascii="宋体" w:hAnsi="宋体" w:cs="宋体"/>
          <w:bCs/>
          <w:sz w:val="24"/>
        </w:rPr>
        <w:t xml:space="preserve">　　（二）严格执行建设工程项目监理合同文件，自觉按合同办事。 </w:t>
      </w:r>
    </w:p>
    <w:p>
      <w:pPr>
        <w:spacing w:line="440" w:lineRule="exact"/>
        <w:ind w:firstLine="420"/>
        <w:rPr>
          <w:rFonts w:ascii="宋体" w:hAnsi="宋体" w:cs="宋体"/>
          <w:bCs/>
          <w:sz w:val="24"/>
        </w:rPr>
      </w:pPr>
      <w:r>
        <w:rPr>
          <w:rFonts w:hint="eastAsia" w:ascii="宋体" w:hAnsi="宋体" w:cs="宋体"/>
          <w:bCs/>
          <w:sz w:val="24"/>
        </w:rPr>
        <w:t xml:space="preserve">　　（三）业务活动必须坚持公开、公平、公正、诚信、透明的原则（除法律法规另有规定者外），不得为获取不正当的利益，损害国家、集体和对方利益，不得违反工程建设管理、建设监理的规章制度。 </w:t>
      </w:r>
    </w:p>
    <w:p>
      <w:pPr>
        <w:spacing w:line="440" w:lineRule="exact"/>
        <w:ind w:firstLine="420"/>
        <w:rPr>
          <w:rFonts w:ascii="宋体" w:hAnsi="宋体" w:cs="宋体"/>
          <w:bCs/>
          <w:sz w:val="24"/>
        </w:rPr>
      </w:pPr>
      <w:r>
        <w:rPr>
          <w:rFonts w:hint="eastAsia" w:ascii="宋体" w:hAnsi="宋体" w:cs="宋体"/>
          <w:bCs/>
          <w:sz w:val="24"/>
        </w:rPr>
        <w:t xml:space="preserve">　　（四）发现对方在业务活动中有违规、违纪、违法行为的，应及时提醒对方，情节严重的，应向其上级主管部门或纪检监察、司法等有关机关举报。 </w:t>
      </w:r>
    </w:p>
    <w:p>
      <w:pPr>
        <w:spacing w:line="440" w:lineRule="exact"/>
        <w:ind w:firstLine="420"/>
        <w:rPr>
          <w:rFonts w:ascii="宋体" w:hAnsi="宋体" w:cs="宋体"/>
          <w:bCs/>
          <w:sz w:val="24"/>
        </w:rPr>
      </w:pPr>
      <w:r>
        <w:rPr>
          <w:rFonts w:hint="eastAsia" w:ascii="宋体" w:hAnsi="宋体" w:cs="宋体"/>
          <w:bCs/>
          <w:sz w:val="24"/>
        </w:rPr>
        <w:t xml:space="preserve">第二条甲方的责任 </w:t>
      </w:r>
    </w:p>
    <w:p>
      <w:pPr>
        <w:spacing w:line="440" w:lineRule="exact"/>
        <w:ind w:firstLine="420"/>
        <w:rPr>
          <w:rFonts w:ascii="宋体" w:hAnsi="宋体" w:cs="宋体"/>
          <w:bCs/>
          <w:sz w:val="24"/>
        </w:rPr>
      </w:pPr>
      <w:r>
        <w:rPr>
          <w:rFonts w:hint="eastAsia" w:ascii="宋体" w:hAnsi="宋体" w:cs="宋体"/>
          <w:bCs/>
          <w:sz w:val="24"/>
        </w:rPr>
        <w:t xml:space="preserve">　　甲方的领导和从事该建设工程项目的工作人员在工程建设的事前、事中、事后应遵守以下规定： </w:t>
      </w:r>
    </w:p>
    <w:p>
      <w:pPr>
        <w:spacing w:line="440" w:lineRule="exact"/>
        <w:ind w:firstLine="420"/>
        <w:rPr>
          <w:rFonts w:ascii="宋体" w:hAnsi="宋体" w:cs="宋体"/>
          <w:bCs/>
          <w:sz w:val="24"/>
        </w:rPr>
      </w:pPr>
      <w:r>
        <w:rPr>
          <w:rFonts w:hint="eastAsia" w:ascii="宋体" w:hAnsi="宋体" w:cs="宋体"/>
          <w:bCs/>
          <w:sz w:val="24"/>
        </w:rPr>
        <w:t xml:space="preserve">　　（一）不准向乙方和相关单位索要或接受回扣、礼金、有价证券、贵重物品和好处费、感谢费等。 </w:t>
      </w:r>
    </w:p>
    <w:p>
      <w:pPr>
        <w:spacing w:line="440" w:lineRule="exact"/>
        <w:ind w:firstLine="420"/>
        <w:rPr>
          <w:rFonts w:ascii="宋体" w:hAnsi="宋体" w:cs="宋体"/>
          <w:bCs/>
          <w:sz w:val="24"/>
        </w:rPr>
      </w:pPr>
      <w:r>
        <w:rPr>
          <w:rFonts w:hint="eastAsia" w:ascii="宋体" w:hAnsi="宋体" w:cs="宋体"/>
          <w:bCs/>
          <w:sz w:val="24"/>
        </w:rPr>
        <w:t xml:space="preserve">　　（二）不准在乙方和相关单位报销任何应由甲方或个人支付的费用。 </w:t>
      </w:r>
    </w:p>
    <w:p>
      <w:pPr>
        <w:spacing w:line="440" w:lineRule="exact"/>
        <w:ind w:firstLine="420"/>
        <w:rPr>
          <w:rFonts w:ascii="宋体" w:hAnsi="宋体" w:cs="宋体"/>
          <w:bCs/>
          <w:sz w:val="24"/>
        </w:rPr>
      </w:pPr>
      <w:r>
        <w:rPr>
          <w:rFonts w:hint="eastAsia" w:ascii="宋体" w:hAnsi="宋体" w:cs="宋体"/>
          <w:bCs/>
          <w:sz w:val="24"/>
        </w:rPr>
        <w:t xml:space="preserve">　　（三）不准要求、暗示或接受乙方和相关单位为个人装修住房、婚丧嫁娶、配偶子女的工作安排以及出国（境）、旅游等提供方便。 </w:t>
      </w:r>
    </w:p>
    <w:p>
      <w:pPr>
        <w:spacing w:line="440" w:lineRule="exact"/>
        <w:ind w:firstLine="420"/>
        <w:rPr>
          <w:rFonts w:ascii="宋体" w:hAnsi="宋体" w:cs="宋体"/>
          <w:bCs/>
          <w:sz w:val="24"/>
        </w:rPr>
      </w:pPr>
      <w:r>
        <w:rPr>
          <w:rFonts w:hint="eastAsia" w:ascii="宋体" w:hAnsi="宋体" w:cs="宋体"/>
          <w:bCs/>
          <w:sz w:val="24"/>
        </w:rPr>
        <w:t xml:space="preserve">　　（四）不准参加有可能影响公正执行公务的乙方和相关单位的宴请、健身、娱乐等活动。 </w:t>
      </w:r>
    </w:p>
    <w:p>
      <w:pPr>
        <w:spacing w:line="440" w:lineRule="exact"/>
        <w:ind w:firstLine="420"/>
        <w:rPr>
          <w:rFonts w:ascii="宋体" w:hAnsi="宋体" w:cs="宋体"/>
          <w:bCs/>
          <w:sz w:val="24"/>
        </w:rPr>
      </w:pPr>
      <w:r>
        <w:rPr>
          <w:rFonts w:hint="eastAsia" w:ascii="宋体" w:hAnsi="宋体" w:cs="宋体"/>
          <w:bCs/>
          <w:sz w:val="24"/>
        </w:rPr>
        <w:t xml:space="preserve">　　（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 </w:t>
      </w:r>
    </w:p>
    <w:p>
      <w:pPr>
        <w:spacing w:line="440" w:lineRule="exact"/>
        <w:ind w:firstLine="420"/>
        <w:rPr>
          <w:rFonts w:ascii="宋体" w:hAnsi="宋体" w:cs="宋体"/>
          <w:bCs/>
          <w:sz w:val="24"/>
        </w:rPr>
      </w:pPr>
      <w:r>
        <w:rPr>
          <w:rFonts w:hint="eastAsia" w:ascii="宋体" w:hAnsi="宋体" w:cs="宋体"/>
          <w:bCs/>
          <w:sz w:val="24"/>
        </w:rPr>
        <w:t xml:space="preserve">第三条乙方的责任 </w:t>
      </w:r>
    </w:p>
    <w:p>
      <w:pPr>
        <w:spacing w:line="440" w:lineRule="exact"/>
        <w:ind w:firstLine="420"/>
        <w:rPr>
          <w:rFonts w:ascii="宋体" w:hAnsi="宋体" w:cs="宋体"/>
          <w:bCs/>
          <w:sz w:val="24"/>
        </w:rPr>
      </w:pPr>
      <w:r>
        <w:rPr>
          <w:rFonts w:hint="eastAsia" w:ascii="宋体" w:hAnsi="宋体" w:cs="宋体"/>
          <w:bCs/>
          <w:sz w:val="24"/>
        </w:rPr>
        <w:t xml:space="preserve">　　应与甲方和相关单位保持正常的业务交往，按照有关法律法规和程序开展业务工作，严格执行工程建设的方针、政策，尤其是有关勘察设计、建筑施工安装的强制性标准和规范，以及监理法规，认真履行监理职责，并遵守以下规定： </w:t>
      </w:r>
    </w:p>
    <w:p>
      <w:pPr>
        <w:spacing w:line="440" w:lineRule="exact"/>
        <w:ind w:firstLine="420"/>
        <w:rPr>
          <w:rFonts w:ascii="宋体" w:hAnsi="宋体" w:cs="宋体"/>
          <w:bCs/>
          <w:sz w:val="24"/>
        </w:rPr>
      </w:pPr>
      <w:r>
        <w:rPr>
          <w:rFonts w:hint="eastAsia" w:ascii="宋体" w:hAnsi="宋体" w:cs="宋体"/>
          <w:bCs/>
          <w:sz w:val="24"/>
        </w:rPr>
        <w:t xml:space="preserve">　　（一）不准以任何理由向甲方和相关单位及其工作人员索要、接受或赠送礼金、有价证券、贵重物品及回扣、好处费、感谢费等。 </w:t>
      </w:r>
    </w:p>
    <w:p>
      <w:pPr>
        <w:spacing w:line="440" w:lineRule="exact"/>
        <w:ind w:firstLine="420"/>
        <w:rPr>
          <w:rFonts w:ascii="宋体" w:hAnsi="宋体" w:cs="宋体"/>
          <w:bCs/>
          <w:sz w:val="24"/>
        </w:rPr>
      </w:pPr>
      <w:r>
        <w:rPr>
          <w:rFonts w:hint="eastAsia" w:ascii="宋体" w:hAnsi="宋体" w:cs="宋体"/>
          <w:bCs/>
          <w:sz w:val="24"/>
        </w:rPr>
        <w:t xml:space="preserve">　　（二）不准以任何理由为甲方和相关单位报销应由对方或个人支付的费用。 </w:t>
      </w:r>
    </w:p>
    <w:p>
      <w:pPr>
        <w:spacing w:line="440" w:lineRule="exact"/>
        <w:ind w:firstLine="420"/>
        <w:rPr>
          <w:rFonts w:ascii="宋体" w:hAnsi="宋体" w:cs="宋体"/>
          <w:bCs/>
          <w:sz w:val="24"/>
        </w:rPr>
      </w:pPr>
      <w:r>
        <w:rPr>
          <w:rFonts w:hint="eastAsia" w:ascii="宋体" w:hAnsi="宋体" w:cs="宋体"/>
          <w:bCs/>
          <w:sz w:val="24"/>
        </w:rPr>
        <w:t xml:space="preserve">　　（三）不准接受或暗示为甲方、相关单位或个人装修住房、婚丧嫁娶、配偶子女的工作安排以及出国（境）、旅游等提供方便。 </w:t>
      </w:r>
    </w:p>
    <w:p>
      <w:pPr>
        <w:spacing w:line="440" w:lineRule="exact"/>
        <w:ind w:firstLine="420"/>
        <w:rPr>
          <w:rFonts w:ascii="宋体" w:hAnsi="宋体" w:cs="宋体"/>
          <w:bCs/>
          <w:sz w:val="24"/>
        </w:rPr>
      </w:pPr>
      <w:r>
        <w:rPr>
          <w:rFonts w:hint="eastAsia" w:ascii="宋体" w:hAnsi="宋体" w:cs="宋体"/>
          <w:bCs/>
          <w:sz w:val="24"/>
        </w:rPr>
        <w:t xml:space="preserve">　　（四）不准违反合同约定而使用甲方、相关单位提供的通信、交通工具和高档办公用品。 </w:t>
      </w:r>
    </w:p>
    <w:p>
      <w:pPr>
        <w:spacing w:line="440" w:lineRule="exact"/>
        <w:ind w:firstLine="420"/>
        <w:rPr>
          <w:rFonts w:ascii="宋体" w:hAnsi="宋体" w:cs="宋体"/>
          <w:bCs/>
          <w:sz w:val="24"/>
        </w:rPr>
      </w:pPr>
      <w:r>
        <w:rPr>
          <w:rFonts w:hint="eastAsia" w:ascii="宋体" w:hAnsi="宋体" w:cs="宋体"/>
          <w:bCs/>
          <w:sz w:val="24"/>
        </w:rPr>
        <w:t xml:space="preserve">　　（五）不准以任何理由为甲方、相关单位或个人组织有可能影响公正执行公务的宴请、健身、娱乐等活动。 </w:t>
      </w:r>
    </w:p>
    <w:p>
      <w:pPr>
        <w:spacing w:line="440" w:lineRule="exact"/>
        <w:ind w:firstLine="420"/>
        <w:rPr>
          <w:rFonts w:ascii="宋体" w:hAnsi="宋体" w:cs="宋体"/>
          <w:bCs/>
          <w:sz w:val="24"/>
        </w:rPr>
      </w:pPr>
      <w:r>
        <w:rPr>
          <w:rFonts w:hint="eastAsia" w:ascii="宋体" w:hAnsi="宋体" w:cs="宋体"/>
          <w:bCs/>
          <w:sz w:val="24"/>
        </w:rPr>
        <w:t xml:space="preserve">第四条违约责任 </w:t>
      </w:r>
    </w:p>
    <w:p>
      <w:pPr>
        <w:spacing w:line="440" w:lineRule="exact"/>
        <w:ind w:firstLine="420"/>
        <w:rPr>
          <w:rFonts w:ascii="宋体" w:hAnsi="宋体" w:cs="宋体"/>
          <w:bCs/>
          <w:sz w:val="24"/>
        </w:rPr>
      </w:pPr>
      <w:r>
        <w:rPr>
          <w:rFonts w:hint="eastAsia" w:ascii="宋体" w:hAnsi="宋体" w:cs="宋体"/>
          <w:bCs/>
          <w:sz w:val="24"/>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 </w:t>
      </w:r>
    </w:p>
    <w:p>
      <w:pPr>
        <w:spacing w:line="440" w:lineRule="exact"/>
        <w:ind w:firstLine="420"/>
        <w:rPr>
          <w:rFonts w:ascii="宋体" w:hAnsi="宋体" w:cs="宋体"/>
          <w:bCs/>
          <w:sz w:val="24"/>
        </w:rPr>
      </w:pPr>
      <w:r>
        <w:rPr>
          <w:rFonts w:hint="eastAsia" w:ascii="宋体" w:hAnsi="宋体" w:cs="宋体"/>
          <w:bCs/>
          <w:sz w:val="24"/>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 </w:t>
      </w:r>
    </w:p>
    <w:p>
      <w:pPr>
        <w:spacing w:line="440" w:lineRule="exact"/>
        <w:ind w:firstLine="420"/>
        <w:rPr>
          <w:rFonts w:ascii="宋体" w:hAnsi="宋体" w:cs="宋体"/>
          <w:bCs/>
          <w:sz w:val="24"/>
        </w:rPr>
      </w:pPr>
      <w:r>
        <w:rPr>
          <w:rFonts w:hint="eastAsia" w:ascii="宋体" w:hAnsi="宋体" w:cs="宋体"/>
          <w:bCs/>
          <w:sz w:val="24"/>
        </w:rPr>
        <w:t xml:space="preserve">　　第五条本责任书作为工程监理合同的附件，与工程监理合同具有同等法律效力。经双方签署后立即生效。 </w:t>
      </w:r>
    </w:p>
    <w:p>
      <w:pPr>
        <w:spacing w:line="440" w:lineRule="exact"/>
        <w:ind w:firstLine="420"/>
        <w:rPr>
          <w:rFonts w:ascii="宋体" w:hAnsi="宋体" w:cs="宋体"/>
          <w:bCs/>
          <w:sz w:val="24"/>
        </w:rPr>
      </w:pPr>
      <w:r>
        <w:rPr>
          <w:rFonts w:hint="eastAsia" w:ascii="宋体" w:hAnsi="宋体" w:cs="宋体"/>
          <w:bCs/>
          <w:sz w:val="24"/>
        </w:rPr>
        <w:t xml:space="preserve">　　第六条本责任书的有效期为双方签署之日起至该工程项目竣工验收合格时止。 </w:t>
      </w:r>
    </w:p>
    <w:p>
      <w:pPr>
        <w:spacing w:line="440" w:lineRule="exact"/>
        <w:ind w:firstLine="420"/>
        <w:rPr>
          <w:rFonts w:ascii="宋体" w:hAnsi="宋体" w:cs="宋体"/>
          <w:bCs/>
          <w:sz w:val="24"/>
        </w:rPr>
      </w:pPr>
    </w:p>
    <w:p>
      <w:pPr>
        <w:spacing w:line="440" w:lineRule="exact"/>
        <w:ind w:firstLine="420"/>
        <w:rPr>
          <w:rFonts w:ascii="宋体" w:hAnsi="宋体" w:cs="宋体"/>
          <w:bCs/>
          <w:sz w:val="24"/>
        </w:rPr>
      </w:pPr>
      <w:r>
        <w:rPr>
          <w:rFonts w:hint="eastAsia" w:ascii="宋体" w:hAnsi="宋体" w:cs="宋体"/>
          <w:bCs/>
          <w:sz w:val="24"/>
        </w:rPr>
        <w:t xml:space="preserve">　　委托人单位：（盖章）　　　　　　　　监理人单位：（盖章） </w:t>
      </w:r>
    </w:p>
    <w:p>
      <w:pPr>
        <w:spacing w:line="440" w:lineRule="exact"/>
        <w:ind w:firstLine="420"/>
        <w:rPr>
          <w:rFonts w:ascii="宋体" w:hAnsi="宋体" w:cs="宋体"/>
          <w:bCs/>
          <w:sz w:val="24"/>
        </w:rPr>
      </w:pPr>
      <w:r>
        <w:rPr>
          <w:rFonts w:hint="eastAsia" w:ascii="宋体" w:hAnsi="宋体" w:cs="宋体"/>
          <w:bCs/>
          <w:sz w:val="24"/>
        </w:rPr>
        <w:t xml:space="preserve">　　法定代表人：　　　　　　　　　　　　法定代表人： </w:t>
      </w:r>
    </w:p>
    <w:p>
      <w:pPr>
        <w:spacing w:line="440" w:lineRule="exact"/>
        <w:ind w:firstLine="420"/>
        <w:rPr>
          <w:rFonts w:ascii="宋体" w:hAnsi="宋体" w:cs="宋体"/>
          <w:bCs/>
          <w:sz w:val="24"/>
        </w:rPr>
      </w:pPr>
      <w:r>
        <w:rPr>
          <w:rFonts w:hint="eastAsia" w:ascii="宋体" w:hAnsi="宋体" w:cs="宋体"/>
          <w:bCs/>
          <w:sz w:val="24"/>
        </w:rPr>
        <w:t xml:space="preserve">　　地址：　　　　　　　　　　　　　　　地址： </w:t>
      </w:r>
    </w:p>
    <w:p>
      <w:pPr>
        <w:spacing w:line="440" w:lineRule="exact"/>
        <w:ind w:firstLine="420"/>
        <w:rPr>
          <w:rFonts w:ascii="宋体" w:hAnsi="宋体" w:cs="宋体"/>
          <w:bCs/>
          <w:sz w:val="24"/>
        </w:rPr>
      </w:pPr>
      <w:r>
        <w:rPr>
          <w:rFonts w:hint="eastAsia" w:ascii="宋体" w:hAnsi="宋体" w:cs="宋体"/>
          <w:bCs/>
          <w:sz w:val="24"/>
        </w:rPr>
        <w:t xml:space="preserve">　　电话：　　　　　　　　　　　　　　　电话： </w:t>
      </w:r>
    </w:p>
    <w:p>
      <w:pPr>
        <w:spacing w:line="440" w:lineRule="exact"/>
        <w:ind w:firstLine="840" w:firstLineChars="350"/>
        <w:rPr>
          <w:sz w:val="24"/>
        </w:rPr>
      </w:pPr>
      <w:r>
        <w:rPr>
          <w:rFonts w:hint="eastAsia"/>
          <w:sz w:val="24"/>
        </w:rPr>
        <w:t>年　月　日　　　　　　　　　　　　　年　月　日</w:t>
      </w:r>
    </w:p>
    <w:p>
      <w:pPr>
        <w:pStyle w:val="2"/>
      </w:pPr>
      <w:bookmarkStart w:id="1344" w:name="_Toc17498"/>
      <w:bookmarkStart w:id="1345" w:name="_Toc17674"/>
      <w:bookmarkStart w:id="1346" w:name="_Toc496098803"/>
      <w:bookmarkStart w:id="1347" w:name="_Toc296520811"/>
      <w:r>
        <w:rPr>
          <w:rFonts w:hint="eastAsia"/>
        </w:rPr>
        <w:t>附录D安全责任保证书</w:t>
      </w:r>
      <w:bookmarkEnd w:id="1344"/>
      <w:bookmarkEnd w:id="1345"/>
      <w:bookmarkEnd w:id="1346"/>
      <w:bookmarkEnd w:id="1347"/>
    </w:p>
    <w:p>
      <w:pPr>
        <w:spacing w:beforeLines="100" w:afterLines="100" w:line="360" w:lineRule="auto"/>
        <w:ind w:firstLine="482"/>
        <w:jc w:val="center"/>
        <w:rPr>
          <w:b/>
        </w:rPr>
      </w:pPr>
      <w:r>
        <w:rPr>
          <w:rFonts w:hint="eastAsia"/>
          <w:b/>
        </w:rPr>
        <w:t>安全责任保证书</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委托人（全称）：</w:t>
      </w:r>
      <w:r>
        <w:rPr>
          <w:rFonts w:hint="eastAsia" w:cs="宋体" w:asciiTheme="minorEastAsia" w:hAnsiTheme="minorEastAsia" w:eastAsiaTheme="minorEastAsia"/>
          <w:bCs/>
          <w:sz w:val="24"/>
          <w:u w:val="single"/>
        </w:rPr>
        <w:t xml:space="preserve">　                  　                </w:t>
      </w:r>
      <w:r>
        <w:rPr>
          <w:rFonts w:hint="eastAsia" w:cs="宋体" w:asciiTheme="minorEastAsia" w:hAnsiTheme="minorEastAsia" w:eastAsiaTheme="minorEastAsia"/>
          <w:bCs/>
          <w:sz w:val="24"/>
        </w:rPr>
        <w:t>（简称甲方）</w:t>
      </w:r>
    </w:p>
    <w:p>
      <w:pPr>
        <w:spacing w:line="360" w:lineRule="auto"/>
        <w:ind w:firstLine="420"/>
        <w:rPr>
          <w:rFonts w:cs="宋体" w:asciiTheme="minorEastAsia" w:hAnsiTheme="minorEastAsia" w:eastAsiaTheme="minorEastAsia"/>
          <w:bCs/>
          <w:sz w:val="24"/>
          <w:u w:val="single"/>
        </w:rPr>
      </w:pPr>
      <w:r>
        <w:rPr>
          <w:rFonts w:hint="eastAsia" w:cs="宋体" w:asciiTheme="minorEastAsia" w:hAnsiTheme="minorEastAsia" w:eastAsiaTheme="minorEastAsia"/>
          <w:bCs/>
          <w:sz w:val="24"/>
        </w:rPr>
        <w:t>承包人（全称）：</w:t>
      </w:r>
      <w:r>
        <w:rPr>
          <w:rFonts w:hint="eastAsia" w:cs="宋体" w:asciiTheme="minorEastAsia" w:hAnsiTheme="minorEastAsia" w:eastAsiaTheme="minorEastAsia"/>
          <w:bCs/>
          <w:sz w:val="24"/>
          <w:u w:val="single"/>
        </w:rPr>
        <w:t xml:space="preserve">　　　　　　　　　　　      　　      </w:t>
      </w:r>
      <w:r>
        <w:rPr>
          <w:rFonts w:hint="eastAsia" w:cs="宋体" w:asciiTheme="minorEastAsia" w:hAnsiTheme="minorEastAsia" w:eastAsiaTheme="minorEastAsia"/>
          <w:bCs/>
          <w:sz w:val="24"/>
        </w:rPr>
        <w:t>（简称乙方）</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监理人（全称）：</w:t>
      </w:r>
      <w:r>
        <w:rPr>
          <w:rFonts w:hint="eastAsia" w:cs="宋体" w:asciiTheme="minorEastAsia" w:hAnsiTheme="minorEastAsia" w:eastAsiaTheme="minorEastAsia"/>
          <w:bCs/>
          <w:sz w:val="24"/>
          <w:u w:val="single"/>
        </w:rPr>
        <w:t xml:space="preserve">　　　　　　　　　　　      　　      </w:t>
      </w:r>
      <w:r>
        <w:rPr>
          <w:rFonts w:hint="eastAsia" w:cs="宋体" w:asciiTheme="minorEastAsia" w:hAnsiTheme="minorEastAsia" w:eastAsiaTheme="minorEastAsia"/>
          <w:bCs/>
          <w:sz w:val="24"/>
        </w:rPr>
        <w:t>（简称丙方）</w:t>
      </w:r>
    </w:p>
    <w:p>
      <w:pPr>
        <w:spacing w:line="360" w:lineRule="auto"/>
        <w:ind w:firstLine="420"/>
        <w:rPr>
          <w:rFonts w:cs="宋体" w:asciiTheme="minorEastAsia" w:hAnsiTheme="minorEastAsia" w:eastAsiaTheme="minorEastAsia"/>
          <w:bCs/>
          <w:sz w:val="24"/>
        </w:rPr>
      </w:pP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为确保工程项目的施工安全，依照国家、建设部及河南省、许昌市有关法律、法规，甲、乙、丙三方经协商，特签订本协议：</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第一条 各方必须严格遵守国家、行业和河南省、许昌市安全生产法律、法规的规定，保证本工程安全生产，依法承担建设工程安全生产责任。</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第二条 甲方的权利与义务：</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（一）审核乙方、丙方的资质及合同履行能力，审核项目负责人、技术负责人、专职安全管理人员、监理人员的资质。</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（二）向乙方移交本工程施工场地，并明确乙方进入施工场地的安全责任。</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（三）在工程施工前向乙方提供本工程施工现场及毗邻区域内地上、地下管线资料；气象和水文地质资料；相邻建（构）筑物资料。并保证资料的真实、准确、完整。</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（四）提供本工程安全作业环境及安全施工措施所需费用，按甲乙双方确认的安全防护、文明施工措施费用付款计划按时、足额向乙方付款。</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（五）按照有关法律法规、招标文件及合同条款等有关规定向乙方支付意外伤害、农民工工伤保险费。</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（六）不对乙方、丙方提出不符合建设工程安全生产法律、法规和强制性标准规定的要求，不压缩合同约定的工期。</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（七）不明示或者暗示乙方购买、租赁、使用不符合安全施工要求的安全防护用具、机械设备、施工机具及配件、消防设施和器材。</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（八）</w:t>
      </w:r>
      <w:r>
        <w:rPr>
          <w:rFonts w:cs="宋体" w:asciiTheme="minorEastAsia" w:hAnsiTheme="minorEastAsia" w:eastAsiaTheme="minorEastAsia"/>
          <w:bCs/>
          <w:sz w:val="24"/>
        </w:rPr>
        <w:t>有权对乙方安全生产进行监督检查，对存在的问题和隐患，有权制止，责成其改正，</w:t>
      </w:r>
      <w:r>
        <w:rPr>
          <w:rFonts w:hint="eastAsia" w:cs="宋体" w:asciiTheme="minorEastAsia" w:hAnsiTheme="minorEastAsia" w:eastAsiaTheme="minorEastAsia"/>
          <w:bCs/>
          <w:sz w:val="24"/>
        </w:rPr>
        <w:t>并要求乙方承担相应的违约责任</w:t>
      </w:r>
      <w:r>
        <w:rPr>
          <w:rFonts w:cs="宋体" w:asciiTheme="minorEastAsia" w:hAnsiTheme="minorEastAsia" w:eastAsiaTheme="minorEastAsia"/>
          <w:bCs/>
          <w:sz w:val="24"/>
        </w:rPr>
        <w:t>；对不按要求改正者</w:t>
      </w:r>
      <w:r>
        <w:rPr>
          <w:rFonts w:hint="eastAsia" w:cs="宋体" w:asciiTheme="minorEastAsia" w:hAnsiTheme="minorEastAsia" w:eastAsiaTheme="minorEastAsia"/>
          <w:bCs/>
          <w:sz w:val="24"/>
        </w:rPr>
        <w:t>或</w:t>
      </w:r>
      <w:r>
        <w:rPr>
          <w:rFonts w:cs="宋体" w:asciiTheme="minorEastAsia" w:hAnsiTheme="minorEastAsia" w:eastAsiaTheme="minorEastAsia"/>
          <w:bCs/>
          <w:sz w:val="24"/>
        </w:rPr>
        <w:t>对拒不整改的，甲方有权按照合同约定追究乙方的违约责任，并向有关部门报告；凡发生事故的，甲方可按其造成的后果及影响，追究乙方的违约责任</w:t>
      </w:r>
      <w:r>
        <w:rPr>
          <w:rFonts w:hint="eastAsia" w:cs="宋体" w:asciiTheme="minorEastAsia" w:hAnsiTheme="minorEastAsia" w:eastAsiaTheme="minorEastAsia"/>
          <w:bCs/>
          <w:sz w:val="24"/>
        </w:rPr>
        <w:t>。</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（九）</w:t>
      </w:r>
      <w:r>
        <w:rPr>
          <w:rFonts w:cs="宋体" w:asciiTheme="minorEastAsia" w:hAnsiTheme="minorEastAsia" w:eastAsiaTheme="minorEastAsia"/>
          <w:bCs/>
          <w:sz w:val="24"/>
        </w:rPr>
        <w:t>按照监理合同的规定有权对丙方实施的监理工作进行检查，并</w:t>
      </w:r>
      <w:r>
        <w:rPr>
          <w:rFonts w:hint="eastAsia" w:cs="宋体" w:asciiTheme="minorEastAsia" w:hAnsiTheme="minorEastAsia" w:eastAsiaTheme="minorEastAsia"/>
          <w:bCs/>
          <w:sz w:val="24"/>
        </w:rPr>
        <w:t>有权要求</w:t>
      </w:r>
      <w:r>
        <w:rPr>
          <w:rFonts w:cs="宋体" w:asciiTheme="minorEastAsia" w:hAnsiTheme="minorEastAsia" w:eastAsiaTheme="minorEastAsia"/>
          <w:bCs/>
          <w:sz w:val="24"/>
        </w:rPr>
        <w:t>丙方</w:t>
      </w:r>
      <w:r>
        <w:rPr>
          <w:rFonts w:hint="eastAsia" w:cs="宋体" w:asciiTheme="minorEastAsia" w:hAnsiTheme="minorEastAsia" w:eastAsiaTheme="minorEastAsia"/>
          <w:bCs/>
          <w:sz w:val="24"/>
        </w:rPr>
        <w:t>对</w:t>
      </w:r>
      <w:r>
        <w:rPr>
          <w:rFonts w:cs="宋体" w:asciiTheme="minorEastAsia" w:hAnsiTheme="minorEastAsia" w:eastAsiaTheme="minorEastAsia"/>
          <w:bCs/>
          <w:sz w:val="24"/>
        </w:rPr>
        <w:t>违反监理合同及本协议的规定、未尽到监理义务的行为</w:t>
      </w:r>
      <w:r>
        <w:rPr>
          <w:rFonts w:hint="eastAsia" w:cs="宋体" w:asciiTheme="minorEastAsia" w:hAnsiTheme="minorEastAsia" w:eastAsiaTheme="minorEastAsia"/>
          <w:bCs/>
          <w:sz w:val="24"/>
        </w:rPr>
        <w:t>立即改正，由此造成的损失由丙方承担。</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（十）行使与乙方签订的施工合同中安全方面条款规定的甲方的权利与义务；行使与丙方签订的监理合同中安全方面条款规定的甲方的权利与义务。</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第三条 乙方的权利和义务：</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一）乙方是本工程施工现场安全生产总负责单位，对本工程施工现场安全生产工作全面负责，确保生产安全、工程安全和不因工程施工而危及周边建（构）筑物、各种管线、道路交通等公众环境安全及人身财产安全。</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二）建立健全并落实本工程项目的安全生产责任制度、各项安全生产规章制度和操作规程，设立安全生产管理机构，确定主管安全的负责人，配备专业齐全且不少于合同约定数量的专职安全生产管理人员。乙方的项目负责人、项目技术负责人、专职安全生产管理人员须有相应的执业资格，经建设行政主管部门考核合格，并取得安全生产考核合格证书。上述人员应报丙方核查、报甲方备案，未经甲方同意不得随意更换，对施工中的特种作业人员乙方必须选取合格的持证人员上岗。</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三）施工合同中明确的安全防护、文明施工措施费用必须用于所承担的工程项目施工安全防护用具及设施的采购和更新、安全施工措施的落实、安全生产条件的改善，不得挪作他用。在财务管理中应单独列出安全防护、文明施工措施项目清单和费用清单。</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四）工程分包必须符合有关规定和合同约定，乙方应审查分包单位资质和人员资格，与分包单位签订安全生产协议书，明确各自的安全生产方面的权利、义务。对分包工程的安全生产进行管理，并对分包工程的安全生产承担连带责任。</w:t>
      </w:r>
    </w:p>
    <w:p>
      <w:pPr>
        <w:tabs>
          <w:tab w:val="left" w:pos="1365"/>
        </w:tabs>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五）依据有关规定和合同约定履行施工现场总负责单位的权利、义务，与其他和工程有关的由甲方直接发包的承包商签订安全生产协议书，明确各自的安全生产方面的权利、义务，统一管理施工现场临时用电、防护设施、明火作业和进出洞口等，并承担相应的责任。</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六）建立完整的安全教育培训计划和培训档案，按计划、定期组织安全教育培训，施工作业前必须按有关规定向作业人员进行安全技术交底，不得安排未经安全生产教育培训或考试不合格的施工人员上岗作业；使用新技术、新工艺、新设备、新材料时应对作业人员进行相应的安全生产教育培训。</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 xml:space="preserve">（七）进行定期、不定期的全面和专项安全检查，及时消除安全事故隐患，对涉及相邻建（构）筑物、地下线管线等周边环境安全的重大风险点和危险性较大的分部分项工程，应派专人监督安全生产，对每个作业班次安全生产情况进行监督检查，关键工序实施现场时时监督检查，检查应留有记录。 </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八）认真执行国家、行业和河南省、许昌市市关于安全生产的规范、标准，认真执行建设工程安全管理的有关规定，做好施工现场实体防护，并在施工现场的各个危险部位设置符合国家标准的明显的安全警示标志。</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（九）对甲方提供的地质勘查、市政管线、相邻建（构）筑物等相关资料的准确性进行核查，如果发现资料与实际不符，应当立即向甲方和丙方报告，并要求补充相关资料。施工作业前必须对地下管线进行物探。</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根据有关规范、规程、标准及甲方提供的相关资料，制定有针对性的施工组织设计，施工组织设计应有包括保证相邻建（构）筑物、地下线管线及周边公众环境安全在内的安全技术措施和施工现场临时用电方案；对涉及相邻建（构）筑物、地下线管线等周边环境安全的重大风险点和达到一定规模的危险性较大的分部分项工程应编制专项施工方案，组织专家论证，并应符合编制、审批程序。</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一）施工前，须认真审阅经甲方确认并提供的施工图纸，发现设计图纸与规范要求不符或设计图纸标注不明时，应立即与设计单位联系，并及时形成文字记录。对有关安全施工的技术要求向施工作业班组、作业人员作出详细说明，由双方签字确认。</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二）在施工过程中，应严格按照工程建设强制性标准和审查后的施工图纸、施工方案施工，不允许随意改变、简化施工程序、工法、工艺和各项安全防范措施，落实对周边建（构）筑物、地下管线、道路设施等公众环境的保护措施，严格控制地表沉降，如遇有不明情况，应及时与有关部门联系，确定解决方案。</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三）做好工程及周边环境的监控量测工作，施工前应制订监控量测方案，监控量测方案及其布点应符合设计和相关标准要求。监控量测数据要求准确可靠，并及时绘制曲线图表，出现异常情况要及时采取有效措施，并立即报告甲方、丙方。</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（十四）根据不同施工阶段和周围环境及季节、气候的变化，采取相应的安全施工措施；根据有关规定，落实各项文明施工和环境保护措施；施工现场暂时停止施工的，应当做好现场防护。</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五）施工现场使用的安全防护用具、车辆、机械设备和施工机具及配件应符合国家标准或行业标准，起重机械、大型机械设备必须符合国家标准，应当具有生产制造单位的生产（制造）许可证、产品合格证，相应资质的检测机构出具的在有效的检测期内的检测合格证明，并经进场查验合格后方可使用；使用中应设有专人管理，定期进行检查、维修和保养；不得使用存在安全隐患或国家规定应该报废和淘汰的车辆、设备、机具、设施。</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按有关规定在施工现场安装、拆卸施工起重机械和设施等，必须由具有相应资质的单位承担，应当编制拆装方案、制定安全施工措施，并由专业技术人员现场监督。安装完毕后，安装单位应当自检，出具自检合格证明，并向施工单位进行安全使用说明，办理验收手续并签字。</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六）建立施工现场消防安全责任制度，确定消防安全责任人，制定各项消防安全管理制度和操作规程，按有关法律法规和强制性标准要求设置消防通道、消防水源、配备消防设施和灭火器材，并在施工现场入口处设置明显标志。</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七）结合所承担工程项目的实际情况，制定应对包括自然灾害在内的各种突发事件应急救援预案，建立应急救援组织，配备应急救援人员和必要的应急救援器材、设备，并定期组织演练。发生突发事件立即组织进行紧急处置避免事态扩大，并按有关法律、法规和强制性标准的要求立即上报，并立即通知监理人，同时通知委托人；委托人有权向有关政府部门报告，但不替代承包人的上报”。</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（十八）按照规定为施工作业人员和工程管理人员及其他按照国家和河南省、许昌市的规定应当承保的人员承保意外伤害险和工伤保险。</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（十九）接受甲方和丙方对安全生产的监督管理，对甲方、丙方及有关方面在安全检查中要求进行整改的安全事故隐患和不安全行为，立即进行改正。参加甲方组织的安全评比活动，并按活动规则接受奖惩。</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（二十）行使与甲方签订的施工合同中安全方面条款规定的乙方的权利与义务。</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第四条 丙方的权利和义务：</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一）受甲方委托，依照法律、法规、工程建设强制性标准、建设部《关于落实建设工程安全生产监理责任的若干意见》，对所监理工程的施工安全生产进行监督检查，严格执行安全监理工作程序，做好施工准备阶段和施工阶段的安全监理工作。</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（二）建立健全安全监理管理体系、制定各项安全监理规章制度，按有关规定制定教育培训计划，组织安全教育培训，建立培训档案。</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三）建立健全安全监理责任制，明确项目总监理工程师、安全监理人员、专业监理工程师、监理员的安全监理职责。按合同约定配齐专职安全监理人员，总监办至少配备两名专职安全监理人员，每个驻地办至少配备一名专职安全监理人员，安全监理人员应当专业齐全，经过安全监理业务教育培训，考核合格，持证上岗。</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（四）按照有关规定编制包含安全监理方案的项目监理规划和安全监理实施细则。对涉及相邻建（构）筑物、地下线管线等周边环境安全的重大风险点和危险性较大的分部分项工程应编制安全监理实施细则。</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五）按照有关规定对相邻建（构）筑物、地下线管线等的专项保护措施方案，施工组织设计中的安全技术措施，施工现场临时用电施工组织设计，冬季、雨季等季节性施工方案，危险性较大的分部分项工程专项施工方案，监控量测方案，事故应急抢险预案，采用新技术、新工艺、新材料、新设备的专项施工方案，施工总平面布置图，临时设施设置及排水、防火措施等进行审查。审核乙方安全防护、文明施工措施费用使用计划。</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六）根据有关规定和施工合同约定，检查乙方施工现场安全管理目标的设定，安全生产管理机构的设置，安全生产责任制度和各项安全生产规章制度的建立，专职安全生产管理人员的配备等情况；审查各级管理人员合法资格，项目负责人、专职安全生产管理人员安全生产考核合格证书；审核特种作业人员资格证书。</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七）核查乙方及其专业分包、劳务分包单位的资质和安全生产许可证；检查乙方与分包及相关单位的安全协议签订情况；督促乙方检查各分包单位的安全生产规章制度建立情况；在核查开工条件同时核查乙方安全生产准备工作。</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八）在施工过程中，根据有关规定以及施工合同约定，检查乙方安全生产管理、作业行为和施工现场实体防护情况，包括施工现场安全生产保证体系的运行，施工安全技术措施和专项施工方案的落实，安全标志设置，执行工程建设强制性标准，安全防护、文明施工措施费使用等情况。督促乙方进行安全自查，并抽查其自查情况。</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九）施工过程中，现场监理人员每日应不少于两次对施工现场的安全生产情况进行巡视检查，驻地的专职安全监理人员每日应不少于一次进行安全检查，总监办对施工现场的安全检查每周应不少于一次，并参加乙方每周组织的安全检查和甲方组织的安全检查。</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对涉及相邻建（构）筑物、地下管线等周边环境安全的重大风险点和危险性较大的分部分项工程，应安排专人负责安全监理，施工过程中，现场监理人员应对每个作业班次安全生产情况进行巡视检查，关键工序实施现场跟班监督检查，专业监理工程师、驻地的专职安全监理人员每日应不少于两次进行安全检查。</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（十一）根据风险源类别等级编制监控管理方案，对风险源和监测单位实施监控管理，发现异常情况及时报告并采取应急措施等。</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二）施工过程中，应对监控量测数据及时进行分析，出现监测对象沉降、变形严重超过控制范围的隐患险情时，应根据实际情况要求乙方暂时停止施工并督促乙方立即采取措施防止险情进一步扩大，同时报告甲方并组织专家和有关单位研究制定防控方案。</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三）检查施工机械、设备、设施的进场验收、保养、年检手续；参加模板支撑体系的验收，对工具式脚手架、落地式脚手架、临时用电、基坑支护等安全设施的验收资料及实物进行检查，并签署意见；检查起重机械拆装单位企业资质、租赁合同、设备定期检测报告、专项拆装方案、作业人员上岗证，并在安装完毕后检查乙方的安装验收手续。</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（十四）在日常巡视和安全检查中发现违规施工和存在安全事故隐患时，应按有关规定立即发出监理指令，要求乙方整改，并检查整改结果，签署复查意见，情况严重的，由总监下达工程暂停施工令并报告甲方。</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（十五）按照有关法律法规的要求和规定，对安全事故进行处理和报告。</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（十六）按照有关规定健全安全监理资料，并做好资料管理工作。</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（十七）参加甲方组织的安全评比活动，并按活动规则接受奖惩。</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 xml:space="preserve">（十八）行使国家和河南省、许昌市相关规定的以及与甲方签订的监理合同中安全方面条款规定的监理人的权利与义务。 </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第五条 违约责任</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一）发生安全事故，乙方应在抢救受伤人员、减少进一步损失、保护现场的同时，按有关法律、法规和强制性标准的要求立即上报，并立即通知监理人，同时通知委托人，并不得隐瞒事故真相，如有违反，导致事故责任无法确认的，事故责任及事故损失均由乙方承担。委托人有权向有关政府部门报告，但不替代承包人的上报</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二）发生《生产安全事故调查处理条例》（国务院第493号令）中规定的一般等级以上（含一般）事故的，以及发生因地铁施工原因导致对地面建（构）筑物等周边环境或各类市政基础设施的安全运营造成重大隐患，影响其使用功能或损坏，需要组织社会力量紧急抢险的事故，除甲方有权视情况从应支付给乙方的工程款中扣除10000－100000元作为违约金外，乙方还应按有关规定承担因事故造成的经济损失及因乙方责任给甲方造成的连带经济损失</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（三）对在各级各类安全检查中问题较多或情况比较严重或未按要求整改的，甲方有权从应支付给乙方的工程款中扣处1000－10000元作为违约金。</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四）如丙方未尽到监理责任，甲方有权视情况从应支付给丙方的监理费中扣除500－5000元作为违约金；如因此导致施工现场发生事故的，甲方有权视情况从应支付给丙方的监理费中扣除2000－30000元作为违约金，并有权根据丙方过错程度扣除丙方的监理费以弥补损失。</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第六条 本协议条款与国家和河南省、许昌市的有关法规不符时，按国家和河南省、许昌市的有关法律法规执行。</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第七条 本协议作为甲、乙、丙三方分别签订的施工合同及监理合同的附件，与上述合同具有同等法律效力，与上述合同时生效和终止。</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第八条 本协议未尽之事项，依据国家和河南省、许昌市的有关法律、法规处理，法律法规未作明确规定的，可由三方协商处理解决。</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第九条 本协议一式三份，甲、乙、丙三方各执一份。</w:t>
      </w:r>
    </w:p>
    <w:p>
      <w:pPr>
        <w:spacing w:line="360" w:lineRule="auto"/>
        <w:ind w:firstLine="420"/>
        <w:rPr>
          <w:rFonts w:cs="宋体" w:asciiTheme="minorEastAsia" w:hAnsiTheme="minorEastAsia" w:eastAsiaTheme="minorEastAsia"/>
          <w:bCs/>
          <w:sz w:val="24"/>
        </w:rPr>
      </w:pPr>
    </w:p>
    <w:p>
      <w:pPr>
        <w:spacing w:line="360" w:lineRule="auto"/>
        <w:ind w:firstLine="420"/>
        <w:rPr>
          <w:rFonts w:cs="宋体" w:asciiTheme="minorEastAsia" w:hAnsiTheme="minorEastAsia" w:eastAsiaTheme="minorEastAsia"/>
          <w:bCs/>
          <w:sz w:val="24"/>
        </w:rPr>
      </w:pPr>
    </w:p>
    <w:p>
      <w:pPr>
        <w:spacing w:line="360" w:lineRule="auto"/>
        <w:ind w:firstLine="420"/>
        <w:rPr>
          <w:rFonts w:cs="宋体" w:asciiTheme="minorEastAsia" w:hAnsiTheme="minorEastAsia" w:eastAsiaTheme="minorEastAsia"/>
          <w:bCs/>
          <w:sz w:val="24"/>
        </w:rPr>
      </w:pPr>
    </w:p>
    <w:p>
      <w:pPr>
        <w:spacing w:line="360" w:lineRule="auto"/>
        <w:ind w:firstLine="420"/>
        <w:rPr>
          <w:rFonts w:cs="宋体" w:asciiTheme="minorEastAsia" w:hAnsiTheme="minorEastAsia" w:eastAsiaTheme="minorEastAsia"/>
          <w:bCs/>
          <w:sz w:val="24"/>
        </w:rPr>
      </w:pPr>
    </w:p>
    <w:p>
      <w:pPr>
        <w:spacing w:line="360" w:lineRule="auto"/>
        <w:ind w:firstLine="420"/>
        <w:rPr>
          <w:rFonts w:cs="宋体" w:asciiTheme="minorEastAsia" w:hAnsiTheme="minorEastAsia" w:eastAsiaTheme="minorEastAsia"/>
          <w:bCs/>
          <w:sz w:val="24"/>
        </w:rPr>
      </w:pP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甲方：                  乙方：                丙方：</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法定代表人：　　　　　　法定代表人：　　      法定代表人：</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年　月　日　　　　　　　年　月　日　　　  　  年　月　日</w:t>
      </w:r>
    </w:p>
    <w:p>
      <w:pPr>
        <w:spacing w:line="276" w:lineRule="auto"/>
        <w:ind w:firstLine="420"/>
        <w:rPr>
          <w:rFonts w:cs="宋体" w:asciiTheme="minorEastAsia" w:hAnsiTheme="minorEastAsia" w:eastAsiaTheme="minorEastAsia"/>
          <w:bCs/>
          <w:sz w:val="24"/>
        </w:rPr>
      </w:pPr>
    </w:p>
    <w:p>
      <w:pPr>
        <w:spacing w:line="276" w:lineRule="auto"/>
        <w:ind w:firstLine="420"/>
        <w:rPr>
          <w:rFonts w:cs="宋体" w:asciiTheme="minorEastAsia" w:hAnsiTheme="minorEastAsia" w:eastAsiaTheme="minorEastAsia"/>
          <w:bCs/>
          <w:sz w:val="24"/>
        </w:rPr>
      </w:pPr>
    </w:p>
    <w:p>
      <w:pPr>
        <w:spacing w:line="276" w:lineRule="auto"/>
        <w:ind w:firstLine="420"/>
        <w:rPr>
          <w:rFonts w:cs="宋体" w:asciiTheme="minorEastAsia" w:hAnsiTheme="minorEastAsia" w:eastAsiaTheme="minorEastAsia"/>
          <w:bCs/>
          <w:sz w:val="24"/>
        </w:rPr>
      </w:pPr>
    </w:p>
    <w:p>
      <w:pPr>
        <w:pStyle w:val="2"/>
      </w:pPr>
      <w:bookmarkStart w:id="1348" w:name="_Toc11302"/>
      <w:bookmarkStart w:id="1349" w:name="_Toc496098805"/>
      <w:bookmarkStart w:id="1350" w:name="_Toc405378263"/>
      <w:r>
        <w:rPr>
          <w:rFonts w:hint="eastAsia"/>
        </w:rPr>
        <w:t>附录E</w:t>
      </w:r>
      <w:bookmarkStart w:id="1351" w:name="_Toc465184240"/>
      <w:r>
        <w:rPr>
          <w:rFonts w:hint="eastAsia"/>
        </w:rPr>
        <w:t>履约保函格式</w:t>
      </w:r>
      <w:bookmarkEnd w:id="1348"/>
      <w:bookmarkEnd w:id="1349"/>
      <w:bookmarkEnd w:id="1351"/>
    </w:p>
    <w:p>
      <w:pPr>
        <w:spacing w:beforeLines="100" w:afterLines="100"/>
        <w:jc w:val="center"/>
        <w:rPr>
          <w:rFonts w:ascii="宋体" w:hAnsi="宋体"/>
          <w:b/>
          <w:szCs w:val="21"/>
        </w:rPr>
      </w:pPr>
      <w:r>
        <w:rPr>
          <w:rFonts w:hint="eastAsia" w:ascii="宋体" w:hAnsi="宋体"/>
          <w:b/>
          <w:szCs w:val="21"/>
        </w:rPr>
        <w:t>履约保函</w:t>
      </w:r>
    </w:p>
    <w:p>
      <w:pPr>
        <w:ind w:right="-58"/>
        <w:jc w:val="center"/>
        <w:rPr>
          <w:szCs w:val="21"/>
          <w:u w:val="single"/>
        </w:rPr>
      </w:pPr>
      <w:r>
        <w:rPr>
          <w:rFonts w:hint="eastAsia"/>
          <w:szCs w:val="21"/>
        </w:rPr>
        <w:t>保函编号：</w:t>
      </w:r>
    </w:p>
    <w:p>
      <w:pPr>
        <w:spacing w:line="276" w:lineRule="auto"/>
        <w:ind w:firstLine="420"/>
        <w:rPr>
          <w:rFonts w:ascii="宋体" w:hAnsi="宋体"/>
          <w:sz w:val="24"/>
          <w:u w:val="single"/>
        </w:rPr>
      </w:pPr>
      <w:r>
        <w:rPr>
          <w:rFonts w:hint="eastAsia" w:ascii="宋体" w:hAnsi="宋体"/>
          <w:sz w:val="24"/>
        </w:rPr>
        <w:t>致：</w:t>
      </w:r>
    </w:p>
    <w:p>
      <w:pPr>
        <w:spacing w:line="276" w:lineRule="auto"/>
        <w:ind w:firstLine="420"/>
        <w:rPr>
          <w:rFonts w:ascii="宋体" w:hAnsi="宋体"/>
          <w:sz w:val="24"/>
        </w:rPr>
      </w:pPr>
      <w:r>
        <w:rPr>
          <w:rFonts w:hint="eastAsia" w:ascii="宋体" w:hAnsi="宋体"/>
          <w:sz w:val="24"/>
        </w:rPr>
        <w:t>鉴于（以下简称“***”）接受（以下签称“***”）于 年月 日参加</w:t>
      </w:r>
      <w:r>
        <w:rPr>
          <w:rFonts w:hint="eastAsia" w:ascii="宋体" w:hAnsi="宋体"/>
          <w:sz w:val="24"/>
          <w:u w:val="single"/>
        </w:rPr>
        <w:t xml:space="preserve">   （项目名称）    </w:t>
      </w:r>
      <w:r>
        <w:rPr>
          <w:rFonts w:hint="eastAsia" w:ascii="宋体" w:hAnsi="宋体"/>
          <w:sz w:val="24"/>
        </w:rPr>
        <w:t>的投标。</w:t>
      </w:r>
    </w:p>
    <w:p>
      <w:pPr>
        <w:spacing w:line="276" w:lineRule="auto"/>
        <w:ind w:firstLine="420"/>
        <w:rPr>
          <w:rFonts w:ascii="宋体" w:hAnsi="宋体"/>
          <w:sz w:val="24"/>
        </w:rPr>
      </w:pPr>
      <w:r>
        <w:rPr>
          <w:rFonts w:hint="eastAsia" w:ascii="宋体" w:hAnsi="宋体"/>
          <w:sz w:val="24"/>
        </w:rPr>
        <w:t>我方受***委托，为***履行上述合同规定的义务作出如下不可撤销的保证：</w:t>
      </w:r>
    </w:p>
    <w:p>
      <w:pPr>
        <w:spacing w:line="276" w:lineRule="auto"/>
        <w:ind w:firstLine="420"/>
        <w:rPr>
          <w:rFonts w:ascii="宋体" w:hAnsi="宋体"/>
          <w:sz w:val="24"/>
        </w:rPr>
      </w:pPr>
      <w:r>
        <w:rPr>
          <w:rFonts w:hint="eastAsia" w:ascii="宋体" w:hAnsi="宋体"/>
          <w:sz w:val="24"/>
        </w:rPr>
        <w:t>我方在收到你方的书面索赔通知及相关违约证明后，经核定在七个日历天内承担连带保证责任，向你方支付不超过人民币小写：元（大写：）的任何你方要求金额，并放弃任何向你方提出异议和追索的权利。</w:t>
      </w:r>
    </w:p>
    <w:p>
      <w:pPr>
        <w:spacing w:line="276" w:lineRule="auto"/>
        <w:ind w:firstLine="420"/>
        <w:rPr>
          <w:rFonts w:ascii="宋体" w:hAnsi="宋体"/>
          <w:sz w:val="24"/>
        </w:rPr>
      </w:pPr>
      <w:r>
        <w:rPr>
          <w:rFonts w:hint="eastAsia" w:ascii="宋体" w:hAnsi="宋体"/>
          <w:sz w:val="24"/>
        </w:rPr>
        <w:t>我方特此确认并同意：我方受本保函制约的责任是连续的，合同的任何修改或变更、解除、终止或失效都不能削弱或影响我方受本保函制约的责任。</w:t>
      </w:r>
    </w:p>
    <w:p>
      <w:pPr>
        <w:spacing w:line="276" w:lineRule="auto"/>
        <w:ind w:firstLine="420"/>
        <w:rPr>
          <w:rFonts w:ascii="宋体" w:hAnsi="宋体"/>
          <w:sz w:val="24"/>
        </w:rPr>
      </w:pPr>
      <w:r>
        <w:rPr>
          <w:rFonts w:hint="eastAsia" w:ascii="宋体" w:hAnsi="宋体"/>
          <w:sz w:val="24"/>
        </w:rPr>
        <w:t>本保函项下所有权利和义务均受中华人民共和国法律管辖和制约。</w:t>
      </w:r>
    </w:p>
    <w:p>
      <w:pPr>
        <w:spacing w:line="276" w:lineRule="auto"/>
        <w:ind w:firstLine="420"/>
        <w:rPr>
          <w:rFonts w:ascii="宋体" w:hAnsi="宋体"/>
          <w:sz w:val="24"/>
        </w:rPr>
      </w:pPr>
      <w:r>
        <w:rPr>
          <w:rFonts w:hint="eastAsia" w:ascii="宋体" w:hAnsi="宋体"/>
          <w:sz w:val="24"/>
        </w:rPr>
        <w:t>本保函自之日起生效，至 失效，最晚不超过年月日，除非你方提前终止或解除本保函。保函失效后请将本保函退回我方注销。</w:t>
      </w:r>
    </w:p>
    <w:p>
      <w:pPr>
        <w:spacing w:line="276" w:lineRule="auto"/>
        <w:ind w:firstLine="420"/>
        <w:rPr>
          <w:rFonts w:ascii="宋体" w:hAnsi="宋体"/>
          <w:sz w:val="24"/>
        </w:rPr>
      </w:pPr>
    </w:p>
    <w:p>
      <w:pPr>
        <w:spacing w:before="120" w:after="120" w:line="276" w:lineRule="auto"/>
        <w:ind w:firstLine="420"/>
        <w:rPr>
          <w:rFonts w:ascii="宋体" w:hAnsi="宋体"/>
          <w:sz w:val="24"/>
        </w:rPr>
      </w:pPr>
      <w:r>
        <w:rPr>
          <w:rFonts w:hint="eastAsia" w:ascii="宋体" w:hAnsi="宋体"/>
          <w:sz w:val="24"/>
        </w:rPr>
        <w:t>担保人：（盖单位章）</w:t>
      </w:r>
    </w:p>
    <w:p>
      <w:pPr>
        <w:spacing w:before="120" w:after="120" w:line="276" w:lineRule="auto"/>
        <w:ind w:firstLine="420"/>
        <w:rPr>
          <w:rFonts w:ascii="宋体" w:hAnsi="宋体"/>
          <w:sz w:val="24"/>
        </w:rPr>
      </w:pPr>
      <w:r>
        <w:rPr>
          <w:rFonts w:hint="eastAsia" w:ascii="宋体" w:hAnsi="宋体"/>
          <w:sz w:val="24"/>
        </w:rPr>
        <w:t>法定代表人或有权签字人：（签字）</w:t>
      </w:r>
    </w:p>
    <w:p>
      <w:pPr>
        <w:spacing w:before="120" w:after="120" w:line="276" w:lineRule="auto"/>
        <w:ind w:firstLine="420"/>
        <w:rPr>
          <w:rFonts w:ascii="宋体" w:hAnsi="宋体"/>
          <w:sz w:val="24"/>
        </w:rPr>
      </w:pPr>
      <w:r>
        <w:rPr>
          <w:rFonts w:hint="eastAsia" w:ascii="宋体" w:hAnsi="宋体"/>
          <w:sz w:val="24"/>
        </w:rPr>
        <w:t>地    址：</w:t>
      </w:r>
    </w:p>
    <w:p>
      <w:pPr>
        <w:spacing w:before="120" w:after="120" w:line="276" w:lineRule="auto"/>
        <w:ind w:firstLine="420"/>
        <w:rPr>
          <w:rFonts w:ascii="宋体" w:hAnsi="宋体"/>
          <w:sz w:val="24"/>
        </w:rPr>
      </w:pPr>
      <w:r>
        <w:rPr>
          <w:rFonts w:hint="eastAsia" w:ascii="宋体" w:hAnsi="宋体"/>
          <w:sz w:val="24"/>
        </w:rPr>
        <w:t>邮政编码：</w:t>
      </w:r>
    </w:p>
    <w:p>
      <w:pPr>
        <w:spacing w:before="120" w:after="120" w:line="276" w:lineRule="auto"/>
        <w:ind w:firstLine="420"/>
        <w:rPr>
          <w:rFonts w:ascii="宋体" w:hAnsi="宋体"/>
          <w:sz w:val="24"/>
        </w:rPr>
      </w:pPr>
      <w:r>
        <w:rPr>
          <w:rFonts w:hint="eastAsia" w:ascii="宋体" w:hAnsi="宋体"/>
          <w:sz w:val="24"/>
        </w:rPr>
        <w:t>电    话：</w:t>
      </w:r>
    </w:p>
    <w:p>
      <w:pPr>
        <w:spacing w:before="120" w:after="120" w:line="276" w:lineRule="auto"/>
        <w:ind w:firstLine="420"/>
        <w:rPr>
          <w:rFonts w:ascii="宋体" w:hAnsi="宋体"/>
          <w:sz w:val="24"/>
        </w:rPr>
      </w:pPr>
      <w:r>
        <w:rPr>
          <w:rFonts w:hint="eastAsia" w:ascii="宋体" w:hAnsi="宋体"/>
          <w:sz w:val="24"/>
        </w:rPr>
        <w:t>传    真：</w:t>
      </w:r>
    </w:p>
    <w:p>
      <w:pPr>
        <w:spacing w:line="276" w:lineRule="auto"/>
        <w:ind w:firstLine="360" w:firstLineChars="150"/>
        <w:rPr>
          <w:sz w:val="24"/>
        </w:rPr>
      </w:pPr>
      <w:r>
        <w:rPr>
          <w:rFonts w:hint="eastAsia" w:ascii="宋体" w:hAnsi="宋体"/>
          <w:sz w:val="24"/>
        </w:rPr>
        <w:t xml:space="preserve">日    期：           年      月     日 </w:t>
      </w:r>
    </w:p>
    <w:bookmarkEnd w:id="1350"/>
    <w:p>
      <w:pPr>
        <w:spacing w:line="276" w:lineRule="auto"/>
        <w:ind w:firstLine="420"/>
        <w:rPr>
          <w:rFonts w:ascii="宋体" w:hAnsi="宋体" w:cs="宋体"/>
          <w:bCs/>
          <w:sz w:val="24"/>
        </w:rPr>
      </w:pPr>
    </w:p>
    <w:p>
      <w:pPr>
        <w:ind w:firstLine="420"/>
        <w:rPr>
          <w:rFonts w:ascii="宋体" w:hAnsi="宋体" w:cs="宋体"/>
          <w:bCs/>
          <w:szCs w:val="21"/>
        </w:rPr>
      </w:pPr>
    </w:p>
    <w:p>
      <w:pPr>
        <w:rPr>
          <w:rFonts w:ascii="宋体" w:hAnsi="宋体" w:cs="宋体"/>
          <w:bCs/>
        </w:rPr>
      </w:pPr>
    </w:p>
    <w:p>
      <w:pPr>
        <w:rPr>
          <w:rFonts w:ascii="宋体" w:hAnsi="宋体" w:cs="宋体"/>
          <w:bCs/>
          <w:szCs w:val="21"/>
        </w:rPr>
      </w:pPr>
    </w:p>
    <w:p>
      <w:pPr>
        <w:rPr>
          <w:rFonts w:ascii="宋体" w:hAnsi="宋体" w:cs="宋体"/>
          <w:bCs/>
        </w:rPr>
      </w:pPr>
      <w:r>
        <w:rPr>
          <w:rFonts w:ascii="宋体" w:hAnsi="宋体" w:cs="宋体"/>
          <w:bCs/>
        </w:rPr>
        <w:br w:type="page"/>
      </w:r>
    </w:p>
    <w:p>
      <w:pPr>
        <w:pStyle w:val="3"/>
      </w:pPr>
      <w:bookmarkStart w:id="1352" w:name="_Toc281225318"/>
      <w:bookmarkStart w:id="1353" w:name="_Toc273359023"/>
      <w:bookmarkStart w:id="1354" w:name="_Toc271636160"/>
      <w:bookmarkStart w:id="1355" w:name="_Toc31738"/>
      <w:bookmarkStart w:id="1356" w:name="_Toc2092"/>
      <w:bookmarkStart w:id="1357" w:name="_Toc496098807"/>
      <w:r>
        <w:rPr>
          <w:rFonts w:hint="eastAsia"/>
        </w:rPr>
        <w:t>第五章 监理服务内容、</w:t>
      </w:r>
      <w:bookmarkEnd w:id="1352"/>
      <w:bookmarkEnd w:id="1353"/>
      <w:bookmarkEnd w:id="1354"/>
      <w:bookmarkStart w:id="1358" w:name="_Toc279350879"/>
      <w:bookmarkStart w:id="1359" w:name="_Toc210819281"/>
      <w:r>
        <w:rPr>
          <w:rFonts w:hint="eastAsia"/>
        </w:rPr>
        <w:t>技术标准和要求</w:t>
      </w:r>
      <w:bookmarkEnd w:id="1355"/>
      <w:bookmarkEnd w:id="1356"/>
      <w:bookmarkEnd w:id="1357"/>
    </w:p>
    <w:p>
      <w:pPr>
        <w:spacing w:line="200" w:lineRule="exact"/>
        <w:ind w:firstLine="200"/>
        <w:rPr>
          <w:sz w:val="10"/>
          <w:szCs w:val="10"/>
        </w:rPr>
      </w:pPr>
    </w:p>
    <w:bookmarkEnd w:id="1358"/>
    <w:bookmarkEnd w:id="1359"/>
    <w:p>
      <w:pPr>
        <w:spacing w:line="400" w:lineRule="exact"/>
        <w:jc w:val="center"/>
        <w:rPr>
          <w:rFonts w:ascii="宋体" w:hAnsi="宋体"/>
          <w:b/>
          <w:sz w:val="28"/>
          <w:szCs w:val="28"/>
        </w:rPr>
      </w:pPr>
    </w:p>
    <w:p>
      <w:pPr>
        <w:spacing w:line="400" w:lineRule="exact"/>
        <w:jc w:val="center"/>
        <w:rPr>
          <w:rFonts w:ascii="宋体" w:hAnsi="宋体"/>
          <w:b/>
          <w:sz w:val="28"/>
          <w:szCs w:val="28"/>
        </w:rPr>
      </w:pPr>
    </w:p>
    <w:p>
      <w:pPr>
        <w:spacing w:line="400" w:lineRule="exact"/>
        <w:jc w:val="center"/>
        <w:rPr>
          <w:rFonts w:ascii="宋体" w:hAnsi="宋体"/>
          <w:b/>
          <w:sz w:val="28"/>
          <w:szCs w:val="28"/>
        </w:rPr>
      </w:pPr>
      <w:r>
        <w:rPr>
          <w:rFonts w:hint="eastAsia" w:ascii="宋体" w:hAnsi="宋体"/>
          <w:b/>
          <w:sz w:val="28"/>
          <w:szCs w:val="28"/>
        </w:rPr>
        <w:t>建设工程监理规范</w:t>
      </w: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center"/>
        <w:rPr>
          <w:rFonts w:ascii="宋体" w:hAnsi="宋体"/>
        </w:rPr>
      </w:pPr>
      <w:r>
        <w:rPr>
          <w:rFonts w:hint="eastAsia" w:ascii="宋体" w:hAnsi="宋体"/>
        </w:rPr>
        <w:t>《建设工程监理规范》</w:t>
      </w:r>
      <w:r>
        <w:t>GB50319-20</w:t>
      </w:r>
      <w:r>
        <w:rPr>
          <w:rFonts w:hint="eastAsia"/>
        </w:rPr>
        <w:t>13</w:t>
      </w:r>
      <w:r>
        <w:rPr>
          <w:rFonts w:hint="eastAsia" w:ascii="宋体" w:hAnsi="宋体"/>
        </w:rPr>
        <w:t>为本工程监理合同的组成部分。</w:t>
      </w:r>
    </w:p>
    <w:p>
      <w:pPr>
        <w:spacing w:line="400" w:lineRule="exact"/>
        <w:jc w:val="left"/>
        <w:rPr>
          <w:rFonts w:ascii="宋体" w:hAnsi="宋体"/>
        </w:rPr>
      </w:pPr>
      <w:r>
        <w:rPr>
          <w:rFonts w:ascii="宋体" w:hAnsi="宋体"/>
        </w:rPr>
        <w:br w:type="page"/>
      </w: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rPr>
          <w:rFonts w:ascii="宋体" w:hAnsi="宋体"/>
        </w:rPr>
      </w:pPr>
    </w:p>
    <w:p>
      <w:pPr>
        <w:pStyle w:val="3"/>
      </w:pPr>
      <w:bookmarkStart w:id="1360" w:name="_Toc152042575"/>
      <w:bookmarkStart w:id="1361" w:name="_Toc144974855"/>
      <w:bookmarkStart w:id="1362" w:name="_Toc11527"/>
      <w:bookmarkStart w:id="1363" w:name="_Toc273359042"/>
      <w:bookmarkStart w:id="1364" w:name="_Toc152045786"/>
      <w:bookmarkStart w:id="1365" w:name="_Toc281225370"/>
      <w:bookmarkStart w:id="1366" w:name="_Toc14708"/>
      <w:bookmarkStart w:id="1367" w:name="_Toc496098809"/>
      <w:bookmarkStart w:id="1368" w:name="_Toc269324867"/>
      <w:r>
        <w:rPr>
          <w:rFonts w:hint="eastAsia"/>
        </w:rPr>
        <w:t>第六章 投标文件格式</w:t>
      </w:r>
      <w:bookmarkEnd w:id="1360"/>
      <w:bookmarkEnd w:id="1361"/>
      <w:bookmarkEnd w:id="1362"/>
      <w:bookmarkEnd w:id="1363"/>
      <w:bookmarkEnd w:id="1364"/>
      <w:bookmarkEnd w:id="1365"/>
      <w:bookmarkEnd w:id="1366"/>
      <w:bookmarkEnd w:id="1367"/>
      <w:bookmarkEnd w:id="1368"/>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r>
        <w:rPr>
          <w:rFonts w:hint="eastAsia" w:eastAsia="黑体"/>
        </w:rPr>
        <w:t>封面及扉页格式</w:t>
      </w:r>
    </w:p>
    <w:p>
      <w:pPr>
        <w:ind w:firstLine="560"/>
        <w:jc w:val="right"/>
        <w:rPr>
          <w:rFonts w:ascii="黑体" w:hAnsi="黑体" w:eastAsia="黑体"/>
          <w:sz w:val="28"/>
          <w:szCs w:val="28"/>
        </w:rPr>
      </w:pPr>
    </w:p>
    <w:p>
      <w:pPr>
        <w:ind w:firstLine="560"/>
        <w:jc w:val="right"/>
        <w:rPr>
          <w:rFonts w:ascii="黑体" w:hAnsi="黑体" w:eastAsia="黑体"/>
          <w:sz w:val="28"/>
          <w:szCs w:val="28"/>
        </w:rPr>
      </w:pPr>
      <w:r>
        <w:rPr>
          <w:rFonts w:hint="eastAsia" w:ascii="黑体" w:hAnsi="黑体" w:eastAsia="黑体"/>
          <w:sz w:val="28"/>
          <w:szCs w:val="28"/>
        </w:rPr>
        <w:t>正本/副本</w:t>
      </w:r>
    </w:p>
    <w:p>
      <w:pPr>
        <w:jc w:val="left"/>
        <w:rPr>
          <w:rFonts w:ascii="宋体" w:hAnsi="宋体"/>
        </w:rPr>
      </w:pPr>
    </w:p>
    <w:p>
      <w:pPr>
        <w:jc w:val="left"/>
        <w:rPr>
          <w:rFonts w:ascii="宋体" w:hAnsi="宋体"/>
        </w:rPr>
      </w:pPr>
    </w:p>
    <w:p>
      <w:pPr>
        <w:ind w:firstLine="1440" w:firstLineChars="450"/>
        <w:rPr>
          <w:rFonts w:ascii="黑体" w:eastAsia="黑体"/>
          <w:sz w:val="32"/>
          <w:szCs w:val="32"/>
          <w:u w:val="single"/>
        </w:rPr>
      </w:pPr>
      <w:r>
        <w:rPr>
          <w:rFonts w:hint="eastAsia" w:ascii="黑体" w:eastAsia="黑体"/>
          <w:sz w:val="32"/>
          <w:szCs w:val="32"/>
          <w:u w:val="single"/>
        </w:rPr>
        <w:t xml:space="preserve">              （项目名称）         </w:t>
      </w:r>
    </w:p>
    <w:p>
      <w:pPr>
        <w:jc w:val="center"/>
        <w:rPr>
          <w:rFonts w:ascii="黑体" w:eastAsia="黑体"/>
          <w:sz w:val="32"/>
          <w:szCs w:val="32"/>
          <w:u w:val="single"/>
        </w:rPr>
      </w:pPr>
    </w:p>
    <w:p>
      <w:pPr>
        <w:ind w:firstLine="400"/>
        <w:rPr>
          <w:rFonts w:eastAsia="黑体"/>
          <w:sz w:val="20"/>
          <w:szCs w:val="20"/>
        </w:rPr>
      </w:pPr>
    </w:p>
    <w:p>
      <w:pPr>
        <w:ind w:firstLine="400"/>
        <w:rPr>
          <w:rFonts w:eastAsia="黑体"/>
          <w:sz w:val="20"/>
          <w:szCs w:val="20"/>
        </w:rPr>
      </w:pPr>
    </w:p>
    <w:p>
      <w:pPr>
        <w:spacing w:beforeLines="100"/>
        <w:jc w:val="center"/>
        <w:rPr>
          <w:rFonts w:ascii="黑体" w:eastAsia="黑体"/>
          <w:sz w:val="72"/>
          <w:szCs w:val="72"/>
        </w:rPr>
      </w:pPr>
      <w:r>
        <w:rPr>
          <w:rFonts w:ascii="黑体" w:eastAsia="黑体"/>
          <w:sz w:val="72"/>
          <w:szCs w:val="72"/>
        </w:rPr>
        <w:t>投  标  文  件</w:t>
      </w:r>
    </w:p>
    <w:p>
      <w:pPr>
        <w:jc w:val="center"/>
        <w:rPr>
          <w:rFonts w:ascii="宋体" w:hAnsi="宋体"/>
          <w:b/>
          <w:bCs/>
          <w:sz w:val="28"/>
          <w:szCs w:val="32"/>
        </w:rPr>
      </w:pPr>
      <w:r>
        <w:rPr>
          <w:rFonts w:hint="eastAsia" w:ascii="宋体" w:hAnsi="宋体"/>
          <w:b/>
          <w:bCs/>
          <w:sz w:val="28"/>
          <w:szCs w:val="32"/>
        </w:rPr>
        <w:t>所投标段：第三标段</w:t>
      </w:r>
    </w:p>
    <w:p>
      <w:pPr>
        <w:ind w:firstLine="560"/>
        <w:rPr>
          <w:rFonts w:eastAsia="黑体"/>
          <w:sz w:val="28"/>
          <w:szCs w:val="28"/>
        </w:rPr>
      </w:pPr>
    </w:p>
    <w:p>
      <w:pPr>
        <w:ind w:firstLine="560"/>
        <w:rPr>
          <w:rFonts w:eastAsia="黑体"/>
          <w:sz w:val="28"/>
          <w:szCs w:val="28"/>
        </w:rPr>
      </w:pPr>
    </w:p>
    <w:p>
      <w:pPr>
        <w:ind w:firstLine="560"/>
        <w:rPr>
          <w:rFonts w:eastAsia="黑体"/>
          <w:sz w:val="28"/>
          <w:szCs w:val="28"/>
        </w:rPr>
      </w:pPr>
    </w:p>
    <w:p>
      <w:pPr>
        <w:ind w:firstLine="560"/>
        <w:rPr>
          <w:rFonts w:eastAsia="黑体"/>
          <w:sz w:val="28"/>
          <w:szCs w:val="28"/>
        </w:rPr>
      </w:pPr>
    </w:p>
    <w:p>
      <w:pPr>
        <w:ind w:firstLine="560"/>
        <w:rPr>
          <w:rFonts w:eastAsia="黑体"/>
          <w:sz w:val="28"/>
          <w:szCs w:val="28"/>
        </w:rPr>
      </w:pPr>
    </w:p>
    <w:p>
      <w:pPr>
        <w:ind w:firstLine="560"/>
        <w:rPr>
          <w:rFonts w:eastAsia="黑体"/>
          <w:sz w:val="28"/>
          <w:szCs w:val="28"/>
        </w:rPr>
      </w:pPr>
    </w:p>
    <w:p>
      <w:pPr>
        <w:ind w:firstLine="560"/>
        <w:rPr>
          <w:rFonts w:eastAsia="黑体"/>
          <w:sz w:val="28"/>
          <w:szCs w:val="28"/>
        </w:rPr>
      </w:pPr>
    </w:p>
    <w:p>
      <w:pPr>
        <w:ind w:firstLine="1134" w:firstLineChars="405"/>
        <w:rPr>
          <w:rFonts w:asciiTheme="minorEastAsia" w:hAnsiTheme="minorEastAsia" w:eastAsiaTheme="minorEastAsia"/>
          <w:sz w:val="28"/>
          <w:szCs w:val="28"/>
        </w:rPr>
      </w:pPr>
      <w:r>
        <w:rPr>
          <w:rFonts w:asciiTheme="minorEastAsia" w:hAnsiTheme="minorEastAsia" w:eastAsiaTheme="minorEastAsia"/>
          <w:sz w:val="28"/>
          <w:szCs w:val="28"/>
        </w:rPr>
        <w:t>投标人：（盖单位</w:t>
      </w:r>
      <w:r>
        <w:rPr>
          <w:rFonts w:hint="eastAsia" w:asciiTheme="minorEastAsia" w:hAnsiTheme="minorEastAsia" w:eastAsiaTheme="minorEastAsia"/>
          <w:sz w:val="28"/>
          <w:szCs w:val="28"/>
        </w:rPr>
        <w:t>公</w:t>
      </w:r>
      <w:r>
        <w:rPr>
          <w:rFonts w:asciiTheme="minorEastAsia" w:hAnsiTheme="minorEastAsia" w:eastAsiaTheme="minorEastAsia"/>
          <w:sz w:val="28"/>
          <w:szCs w:val="28"/>
        </w:rPr>
        <w:t>章）</w:t>
      </w:r>
    </w:p>
    <w:p/>
    <w:p>
      <w:pPr>
        <w:ind w:firstLine="1134" w:firstLineChars="405"/>
        <w:rPr>
          <w:rFonts w:asciiTheme="minorEastAsia" w:hAnsiTheme="minorEastAsia" w:eastAsiaTheme="minorEastAsia"/>
          <w:sz w:val="28"/>
          <w:szCs w:val="28"/>
        </w:rPr>
      </w:pPr>
      <w:r>
        <w:rPr>
          <w:rFonts w:asciiTheme="minorEastAsia" w:hAnsiTheme="minorEastAsia" w:eastAsiaTheme="minorEastAsia"/>
          <w:sz w:val="28"/>
          <w:szCs w:val="28"/>
        </w:rPr>
        <w:t>法定代表人或其</w:t>
      </w:r>
      <w:r>
        <w:rPr>
          <w:rFonts w:hint="eastAsia" w:asciiTheme="minorEastAsia" w:hAnsiTheme="minorEastAsia" w:eastAsiaTheme="minorEastAsia"/>
          <w:sz w:val="28"/>
          <w:szCs w:val="28"/>
        </w:rPr>
        <w:t>委托代理人</w:t>
      </w:r>
      <w:r>
        <w:rPr>
          <w:rFonts w:asciiTheme="minorEastAsia" w:hAnsiTheme="minorEastAsia" w:eastAsiaTheme="minorEastAsia"/>
          <w:sz w:val="28"/>
          <w:szCs w:val="28"/>
        </w:rPr>
        <w:t>：（签字）</w:t>
      </w:r>
    </w:p>
    <w:p/>
    <w:p>
      <w:pPr>
        <w:ind w:firstLine="1120" w:firstLineChars="400"/>
        <w:rPr>
          <w:rFonts w:asciiTheme="minorEastAsia" w:hAnsiTheme="minorEastAsia" w:eastAsiaTheme="minorEastAsia"/>
        </w:rPr>
      </w:pPr>
      <w:r>
        <w:rPr>
          <w:rFonts w:hint="eastAsia" w:asciiTheme="minorEastAsia" w:hAnsiTheme="minorEastAsia" w:eastAsiaTheme="minorEastAsia"/>
          <w:sz w:val="28"/>
          <w:szCs w:val="28"/>
        </w:rPr>
        <w:t xml:space="preserve">日期：  </w:t>
      </w:r>
      <w:r>
        <w:rPr>
          <w:rFonts w:asciiTheme="minorEastAsia" w:hAnsiTheme="minorEastAsia" w:eastAsiaTheme="minorEastAsia"/>
          <w:sz w:val="28"/>
          <w:szCs w:val="28"/>
        </w:rPr>
        <w:t>年月日</w:t>
      </w:r>
    </w:p>
    <w:p>
      <w:pPr>
        <w:ind w:firstLine="560"/>
        <w:jc w:val="left"/>
        <w:rPr>
          <w:rFonts w:ascii="宋体" w:hAnsi="宋体"/>
          <w:sz w:val="28"/>
          <w:szCs w:val="28"/>
        </w:rPr>
      </w:pPr>
    </w:p>
    <w:p>
      <w:pPr>
        <w:ind w:firstLine="560"/>
        <w:jc w:val="left"/>
        <w:rPr>
          <w:rFonts w:ascii="宋体" w:hAnsi="宋体"/>
          <w:sz w:val="28"/>
          <w:szCs w:val="28"/>
        </w:rPr>
      </w:pPr>
    </w:p>
    <w:p>
      <w:pPr>
        <w:pStyle w:val="2"/>
      </w:pPr>
      <w:bookmarkStart w:id="1369" w:name="_Toc269324870"/>
      <w:bookmarkStart w:id="1370" w:name="_Toc281225373"/>
      <w:bookmarkStart w:id="1371" w:name="_Toc273359045"/>
      <w:bookmarkStart w:id="1372" w:name="_Toc226780939"/>
      <w:bookmarkStart w:id="1373" w:name="_Toc266393418"/>
      <w:bookmarkStart w:id="1374" w:name="_Toc30209"/>
      <w:bookmarkStart w:id="1375" w:name="_Toc496098810"/>
      <w:bookmarkStart w:id="1376" w:name="_Toc21942"/>
      <w:r>
        <w:rPr>
          <w:rFonts w:hint="eastAsia"/>
        </w:rPr>
        <w:t>一、投标函</w:t>
      </w:r>
      <w:bookmarkEnd w:id="1369"/>
      <w:bookmarkEnd w:id="1370"/>
      <w:bookmarkEnd w:id="1371"/>
      <w:bookmarkEnd w:id="1372"/>
      <w:bookmarkEnd w:id="1373"/>
      <w:r>
        <w:rPr>
          <w:rFonts w:hint="eastAsia"/>
        </w:rPr>
        <w:t>及投标函附录</w:t>
      </w:r>
      <w:bookmarkEnd w:id="1374"/>
      <w:bookmarkEnd w:id="1375"/>
      <w:bookmarkEnd w:id="1376"/>
    </w:p>
    <w:p>
      <w:pPr>
        <w:spacing w:beforeLines="100" w:afterLines="100" w:line="276" w:lineRule="auto"/>
        <w:jc w:val="center"/>
        <w:rPr>
          <w:rFonts w:asciiTheme="minorEastAsia" w:hAnsiTheme="minorEastAsia" w:eastAsiaTheme="minorEastAsia"/>
          <w:b/>
          <w:sz w:val="24"/>
        </w:rPr>
      </w:pPr>
      <w:bookmarkStart w:id="1377" w:name="_Toc25207"/>
      <w:bookmarkStart w:id="1378" w:name="_Toc152045789"/>
      <w:bookmarkStart w:id="1379" w:name="_Toc144974858"/>
      <w:bookmarkStart w:id="1380" w:name="_Toc295398985"/>
      <w:bookmarkStart w:id="1381" w:name="_Toc152042578"/>
      <w:r>
        <w:rPr>
          <w:rFonts w:asciiTheme="minorEastAsia" w:hAnsiTheme="minorEastAsia" w:eastAsiaTheme="minorEastAsia"/>
          <w:b/>
          <w:sz w:val="24"/>
        </w:rPr>
        <w:t>（一）投 标 函</w:t>
      </w:r>
      <w:bookmarkEnd w:id="1377"/>
      <w:bookmarkEnd w:id="1378"/>
      <w:bookmarkEnd w:id="1379"/>
      <w:bookmarkEnd w:id="1380"/>
      <w:bookmarkEnd w:id="1381"/>
    </w:p>
    <w:p>
      <w:pPr>
        <w:adjustRightInd w:val="0"/>
        <w:snapToGrid w:val="0"/>
        <w:spacing w:line="276" w:lineRule="auto"/>
        <w:ind w:firstLine="540" w:firstLineChars="225"/>
        <w:rPr>
          <w:rFonts w:asciiTheme="minorEastAsia" w:hAnsiTheme="minorEastAsia" w:eastAsiaTheme="minorEastAsia"/>
          <w:sz w:val="24"/>
        </w:rPr>
      </w:pPr>
      <w:r>
        <w:rPr>
          <w:rFonts w:asciiTheme="minorEastAsia" w:hAnsiTheme="minorEastAsia" w:eastAsiaTheme="minorEastAsia"/>
          <w:sz w:val="24"/>
        </w:rPr>
        <w:t>致：</w:t>
      </w:r>
      <w:r>
        <w:rPr>
          <w:rFonts w:hint="eastAsia" w:asciiTheme="minorEastAsia" w:hAnsiTheme="minorEastAsia" w:eastAsiaTheme="minorEastAsia"/>
          <w:sz w:val="24"/>
          <w:u w:val="single"/>
        </w:rPr>
        <w:t xml:space="preserve">     （招标人全称）             </w:t>
      </w:r>
    </w:p>
    <w:p>
      <w:pPr>
        <w:adjustRightInd w:val="0"/>
        <w:snapToGrid w:val="0"/>
        <w:spacing w:line="276" w:lineRule="auto"/>
        <w:ind w:firstLine="484" w:firstLineChars="202"/>
        <w:jc w:val="left"/>
        <w:rPr>
          <w:rFonts w:asciiTheme="minorEastAsia" w:hAnsiTheme="minorEastAsia" w:eastAsiaTheme="minorEastAsia"/>
          <w:sz w:val="24"/>
        </w:rPr>
      </w:pPr>
      <w:r>
        <w:rPr>
          <w:rFonts w:asciiTheme="minorEastAsia" w:hAnsiTheme="minorEastAsia" w:eastAsiaTheme="minorEastAsia"/>
          <w:sz w:val="24"/>
        </w:rPr>
        <w:t>根据贵方招标文件，我方针对</w:t>
      </w:r>
      <w:r>
        <w:rPr>
          <w:rFonts w:hint="eastAsia" w:asciiTheme="minorEastAsia" w:hAnsiTheme="minorEastAsia" w:eastAsiaTheme="minorEastAsia"/>
          <w:sz w:val="24"/>
          <w:u w:val="single"/>
        </w:rPr>
        <w:t xml:space="preserve">   （项目名称）   第  标段</w:t>
      </w:r>
      <w:r>
        <w:rPr>
          <w:rFonts w:asciiTheme="minorEastAsia" w:hAnsiTheme="minorEastAsia" w:eastAsiaTheme="minorEastAsia"/>
          <w:sz w:val="24"/>
        </w:rPr>
        <w:t>的投标报价</w:t>
      </w:r>
      <w:r>
        <w:rPr>
          <w:rFonts w:hint="eastAsia" w:asciiTheme="minorEastAsia" w:hAnsiTheme="minorEastAsia" w:eastAsiaTheme="minorEastAsia"/>
          <w:sz w:val="24"/>
        </w:rPr>
        <w:t>（即</w:t>
      </w:r>
      <w:r>
        <w:rPr>
          <w:rFonts w:asciiTheme="minorEastAsia" w:hAnsiTheme="minorEastAsia" w:eastAsiaTheme="minorEastAsia"/>
          <w:bCs/>
          <w:kern w:val="0"/>
          <w:sz w:val="24"/>
        </w:rPr>
        <w:t>监理服务费</w:t>
      </w:r>
      <w:r>
        <w:rPr>
          <w:rFonts w:hint="eastAsia" w:asciiTheme="minorEastAsia" w:hAnsiTheme="minorEastAsia" w:eastAsiaTheme="minorEastAsia"/>
          <w:sz w:val="24"/>
        </w:rPr>
        <w:t>率，保留到小数点后两位）</w:t>
      </w:r>
      <w:r>
        <w:rPr>
          <w:rFonts w:asciiTheme="minorEastAsia" w:hAnsiTheme="minorEastAsia" w:eastAsiaTheme="minorEastAsia"/>
          <w:sz w:val="24"/>
        </w:rPr>
        <w:t>为（大写）：（小写）：</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，按合同约定承担本项目的</w:t>
      </w:r>
      <w:r>
        <w:rPr>
          <w:rFonts w:hint="eastAsia" w:asciiTheme="minorEastAsia" w:hAnsiTheme="minorEastAsia" w:eastAsiaTheme="minorEastAsia"/>
          <w:sz w:val="24"/>
        </w:rPr>
        <w:t>监理</w:t>
      </w:r>
      <w:r>
        <w:rPr>
          <w:rFonts w:asciiTheme="minorEastAsia" w:hAnsiTheme="minorEastAsia" w:eastAsiaTheme="minorEastAsia"/>
          <w:sz w:val="24"/>
        </w:rPr>
        <w:t>工作。</w:t>
      </w:r>
    </w:p>
    <w:p>
      <w:pPr>
        <w:adjustRightInd w:val="0"/>
        <w:snapToGrid w:val="0"/>
        <w:spacing w:line="276" w:lineRule="auto"/>
        <w:ind w:firstLine="420"/>
        <w:rPr>
          <w:rFonts w:asciiTheme="minorEastAsia" w:hAnsiTheme="minorEastAsia" w:eastAsiaTheme="minorEastAsia"/>
          <w:sz w:val="24"/>
        </w:rPr>
      </w:pPr>
      <w:r>
        <w:rPr>
          <w:rFonts w:asciiTheme="minorEastAsia" w:hAnsiTheme="minorEastAsia" w:eastAsiaTheme="minorEastAsia"/>
          <w:sz w:val="24"/>
        </w:rPr>
        <w:t>据此函，我方兹宣布同意如下：</w:t>
      </w:r>
    </w:p>
    <w:p>
      <w:pPr>
        <w:adjustRightInd w:val="0"/>
        <w:snapToGrid w:val="0"/>
        <w:spacing w:line="276" w:lineRule="auto"/>
        <w:ind w:firstLine="720" w:firstLineChars="300"/>
        <w:rPr>
          <w:rFonts w:asciiTheme="minorEastAsia" w:hAnsiTheme="minorEastAsia" w:eastAsiaTheme="minorEastAsia"/>
          <w:sz w:val="24"/>
        </w:rPr>
      </w:pPr>
      <w:r>
        <w:rPr>
          <w:rFonts w:asciiTheme="minorEastAsia" w:hAnsiTheme="minorEastAsia" w:eastAsiaTheme="minorEastAsia"/>
          <w:sz w:val="24"/>
        </w:rPr>
        <w:t>1.我方已详细审核并确认全部招标文件，包括</w:t>
      </w:r>
      <w:r>
        <w:rPr>
          <w:rFonts w:hint="eastAsia" w:asciiTheme="minorEastAsia" w:hAnsiTheme="minorEastAsia" w:eastAsiaTheme="minorEastAsia"/>
          <w:sz w:val="24"/>
        </w:rPr>
        <w:t>其补充</w:t>
      </w:r>
      <w:r>
        <w:rPr>
          <w:rFonts w:asciiTheme="minorEastAsia" w:hAnsiTheme="minorEastAsia" w:eastAsiaTheme="minorEastAsia"/>
          <w:sz w:val="24"/>
        </w:rPr>
        <w:t>文件（如有时）及有关附件。</w:t>
      </w:r>
    </w:p>
    <w:p>
      <w:pPr>
        <w:adjustRightInd w:val="0"/>
        <w:snapToGrid w:val="0"/>
        <w:spacing w:line="276" w:lineRule="auto"/>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2.一旦我方中标，我方将按照投标文件中的承诺组建项目</w:t>
      </w:r>
      <w:r>
        <w:rPr>
          <w:rFonts w:hint="eastAsia" w:asciiTheme="minorEastAsia" w:hAnsiTheme="minorEastAsia" w:eastAsiaTheme="minorEastAsia"/>
          <w:spacing w:val="-4"/>
          <w:sz w:val="24"/>
        </w:rPr>
        <w:t>管理机构</w:t>
      </w:r>
      <w:r>
        <w:rPr>
          <w:rFonts w:asciiTheme="minorEastAsia" w:hAnsiTheme="minorEastAsia" w:eastAsiaTheme="minorEastAsia"/>
          <w:spacing w:val="-4"/>
          <w:sz w:val="24"/>
        </w:rPr>
        <w:t>，由投标文件所承诺的</w:t>
      </w:r>
      <w:r>
        <w:rPr>
          <w:rFonts w:hint="eastAsia" w:asciiTheme="minorEastAsia" w:hAnsiTheme="minorEastAsia" w:eastAsiaTheme="minorEastAsia"/>
          <w:sz w:val="24"/>
        </w:rPr>
        <w:t>监理</w:t>
      </w:r>
      <w:r>
        <w:rPr>
          <w:rFonts w:asciiTheme="minorEastAsia" w:hAnsiTheme="minorEastAsia" w:eastAsiaTheme="minorEastAsia"/>
          <w:spacing w:val="-4"/>
          <w:sz w:val="24"/>
        </w:rPr>
        <w:t>人员完成本项目的全部</w:t>
      </w:r>
      <w:r>
        <w:rPr>
          <w:rFonts w:hint="eastAsia" w:asciiTheme="minorEastAsia" w:hAnsiTheme="minorEastAsia" w:eastAsiaTheme="minorEastAsia"/>
          <w:sz w:val="24"/>
        </w:rPr>
        <w:t>监理</w:t>
      </w:r>
      <w:r>
        <w:rPr>
          <w:rFonts w:asciiTheme="minorEastAsia" w:hAnsiTheme="minorEastAsia" w:eastAsiaTheme="minorEastAsia"/>
          <w:spacing w:val="-4"/>
          <w:sz w:val="24"/>
        </w:rPr>
        <w:t>工作</w:t>
      </w:r>
      <w:r>
        <w:rPr>
          <w:rFonts w:hint="eastAsia" w:asciiTheme="minorEastAsia" w:hAnsiTheme="minorEastAsia" w:eastAsiaTheme="minorEastAsia"/>
          <w:spacing w:val="-4"/>
          <w:sz w:val="24"/>
        </w:rPr>
        <w:t>。</w:t>
      </w:r>
      <w:r>
        <w:rPr>
          <w:rFonts w:asciiTheme="minorEastAsia" w:hAnsiTheme="minorEastAsia" w:eastAsiaTheme="minorEastAsia"/>
          <w:spacing w:val="-4"/>
          <w:sz w:val="24"/>
        </w:rPr>
        <w:t>在该</w:t>
      </w:r>
      <w:r>
        <w:rPr>
          <w:rFonts w:hint="eastAsia" w:asciiTheme="minorEastAsia" w:hAnsiTheme="minorEastAsia" w:eastAsiaTheme="minorEastAsia"/>
          <w:spacing w:val="-4"/>
          <w:sz w:val="24"/>
        </w:rPr>
        <w:t>项目</w:t>
      </w:r>
      <w:r>
        <w:rPr>
          <w:rFonts w:asciiTheme="minorEastAsia" w:hAnsiTheme="minorEastAsia" w:eastAsiaTheme="minorEastAsia"/>
          <w:spacing w:val="-4"/>
          <w:sz w:val="24"/>
        </w:rPr>
        <w:t>的实施过程中，全面履行招标文件中规定的</w:t>
      </w:r>
      <w:r>
        <w:rPr>
          <w:rFonts w:hint="eastAsia" w:asciiTheme="minorEastAsia" w:hAnsiTheme="minorEastAsia" w:eastAsiaTheme="minorEastAsia"/>
          <w:spacing w:val="-4"/>
          <w:sz w:val="24"/>
        </w:rPr>
        <w:t>监理人</w:t>
      </w:r>
      <w:r>
        <w:rPr>
          <w:rFonts w:asciiTheme="minorEastAsia" w:hAnsiTheme="minorEastAsia" w:eastAsiaTheme="minorEastAsia"/>
          <w:spacing w:val="-4"/>
          <w:sz w:val="24"/>
        </w:rPr>
        <w:t>的职责和义务，保证实现</w:t>
      </w:r>
      <w:r>
        <w:rPr>
          <w:rFonts w:hint="eastAsia" w:asciiTheme="minorEastAsia" w:hAnsiTheme="minorEastAsia" w:eastAsiaTheme="minorEastAsia"/>
          <w:spacing w:val="-4"/>
          <w:sz w:val="24"/>
        </w:rPr>
        <w:t>投标函附录中承诺的服务周期</w:t>
      </w:r>
      <w:r>
        <w:rPr>
          <w:rFonts w:asciiTheme="minorEastAsia" w:hAnsiTheme="minorEastAsia" w:eastAsiaTheme="minorEastAsia"/>
          <w:spacing w:val="-4"/>
          <w:sz w:val="24"/>
        </w:rPr>
        <w:t>、</w:t>
      </w:r>
      <w:r>
        <w:rPr>
          <w:rFonts w:hint="eastAsia" w:asciiTheme="minorEastAsia" w:hAnsiTheme="minorEastAsia" w:eastAsiaTheme="minorEastAsia"/>
          <w:spacing w:val="-4"/>
          <w:sz w:val="24"/>
        </w:rPr>
        <w:t>服务</w:t>
      </w:r>
      <w:r>
        <w:rPr>
          <w:rFonts w:asciiTheme="minorEastAsia" w:hAnsiTheme="minorEastAsia" w:eastAsiaTheme="minorEastAsia"/>
          <w:spacing w:val="-4"/>
          <w:sz w:val="24"/>
        </w:rPr>
        <w:t>质量目标要求。如违反以上承诺，我方接受合同</w:t>
      </w:r>
      <w:r>
        <w:rPr>
          <w:rFonts w:hint="eastAsia" w:asciiTheme="minorEastAsia" w:hAnsiTheme="minorEastAsia" w:eastAsiaTheme="minorEastAsia"/>
          <w:spacing w:val="-4"/>
          <w:sz w:val="24"/>
        </w:rPr>
        <w:t>条款</w:t>
      </w:r>
      <w:r>
        <w:rPr>
          <w:rFonts w:asciiTheme="minorEastAsia" w:hAnsiTheme="minorEastAsia" w:eastAsiaTheme="minorEastAsia"/>
          <w:spacing w:val="-4"/>
          <w:sz w:val="24"/>
        </w:rPr>
        <w:t>中关于</w:t>
      </w:r>
      <w:r>
        <w:rPr>
          <w:rFonts w:hint="eastAsia" w:asciiTheme="minorEastAsia" w:hAnsiTheme="minorEastAsia" w:eastAsiaTheme="minorEastAsia"/>
          <w:sz w:val="24"/>
        </w:rPr>
        <w:t>监理</w:t>
      </w:r>
      <w:r>
        <w:rPr>
          <w:rFonts w:asciiTheme="minorEastAsia" w:hAnsiTheme="minorEastAsia" w:eastAsiaTheme="minorEastAsia"/>
          <w:spacing w:val="-4"/>
          <w:sz w:val="24"/>
        </w:rPr>
        <w:t>人员管理的相关规定进行处理。</w:t>
      </w:r>
    </w:p>
    <w:p>
      <w:pPr>
        <w:adjustRightInd w:val="0"/>
        <w:snapToGrid w:val="0"/>
        <w:spacing w:line="276" w:lineRule="auto"/>
        <w:ind w:firstLine="696" w:firstLineChars="300"/>
        <w:rPr>
          <w:rFonts w:asciiTheme="minorEastAsia" w:hAnsiTheme="minorEastAsia" w:eastAsiaTheme="minorEastAsia"/>
          <w:spacing w:val="-4"/>
          <w:sz w:val="24"/>
        </w:rPr>
      </w:pPr>
      <w:r>
        <w:rPr>
          <w:rFonts w:hint="eastAsia" w:asciiTheme="minorEastAsia" w:hAnsiTheme="minorEastAsia" w:eastAsiaTheme="minorEastAsia"/>
          <w:spacing w:val="-4"/>
          <w:sz w:val="24"/>
        </w:rPr>
        <w:t>3</w:t>
      </w:r>
      <w:r>
        <w:rPr>
          <w:rFonts w:asciiTheme="minorEastAsia" w:hAnsiTheme="minorEastAsia" w:eastAsiaTheme="minorEastAsia"/>
          <w:spacing w:val="-4"/>
          <w:sz w:val="24"/>
        </w:rPr>
        <w:t>.我方了解：无论</w:t>
      </w:r>
      <w:r>
        <w:rPr>
          <w:rFonts w:hint="eastAsia" w:asciiTheme="minorEastAsia" w:hAnsiTheme="minorEastAsia" w:eastAsiaTheme="minorEastAsia"/>
          <w:spacing w:val="-4"/>
          <w:sz w:val="24"/>
        </w:rPr>
        <w:t>是否中标，</w:t>
      </w:r>
      <w:r>
        <w:rPr>
          <w:rFonts w:asciiTheme="minorEastAsia" w:hAnsiTheme="minorEastAsia" w:eastAsiaTheme="minorEastAsia"/>
          <w:spacing w:val="-4"/>
          <w:sz w:val="24"/>
        </w:rPr>
        <w:t>我方将自行承担</w:t>
      </w:r>
      <w:r>
        <w:rPr>
          <w:rFonts w:hint="eastAsia" w:asciiTheme="minorEastAsia" w:hAnsiTheme="minorEastAsia" w:eastAsiaTheme="minorEastAsia"/>
          <w:spacing w:val="-4"/>
          <w:sz w:val="24"/>
        </w:rPr>
        <w:t>投标</w:t>
      </w:r>
      <w:r>
        <w:rPr>
          <w:rFonts w:asciiTheme="minorEastAsia" w:hAnsiTheme="minorEastAsia" w:eastAsiaTheme="minorEastAsia"/>
          <w:spacing w:val="-4"/>
          <w:sz w:val="24"/>
        </w:rPr>
        <w:t>活动所需的一切费用。</w:t>
      </w:r>
    </w:p>
    <w:p>
      <w:pPr>
        <w:adjustRightInd w:val="0"/>
        <w:snapToGrid w:val="0"/>
        <w:spacing w:line="276" w:lineRule="auto"/>
        <w:ind w:firstLine="696" w:firstLineChars="300"/>
        <w:rPr>
          <w:rFonts w:asciiTheme="minorEastAsia" w:hAnsiTheme="minorEastAsia" w:eastAsiaTheme="minorEastAsia"/>
          <w:spacing w:val="-4"/>
          <w:sz w:val="24"/>
        </w:rPr>
      </w:pPr>
      <w:r>
        <w:rPr>
          <w:rFonts w:hint="eastAsia" w:asciiTheme="minorEastAsia" w:hAnsiTheme="minorEastAsia" w:eastAsiaTheme="minorEastAsia"/>
          <w:spacing w:val="-4"/>
          <w:sz w:val="24"/>
        </w:rPr>
        <w:t>4</w:t>
      </w:r>
      <w:r>
        <w:rPr>
          <w:rFonts w:asciiTheme="minorEastAsia" w:hAnsiTheme="minorEastAsia" w:eastAsiaTheme="minorEastAsia"/>
          <w:spacing w:val="-4"/>
          <w:sz w:val="24"/>
        </w:rPr>
        <w:t>.一旦我方中标，我方保证按投标函附录中写明的金额提交履约担保</w:t>
      </w:r>
      <w:r>
        <w:rPr>
          <w:rFonts w:hint="eastAsia" w:asciiTheme="minorEastAsia" w:hAnsiTheme="minorEastAsia" w:eastAsiaTheme="minorEastAsia"/>
          <w:spacing w:val="-4"/>
          <w:sz w:val="24"/>
        </w:rPr>
        <w:t>。</w:t>
      </w:r>
    </w:p>
    <w:p>
      <w:pPr>
        <w:adjustRightInd w:val="0"/>
        <w:snapToGrid w:val="0"/>
        <w:spacing w:line="276" w:lineRule="auto"/>
        <w:ind w:firstLine="696" w:firstLineChars="300"/>
        <w:rPr>
          <w:rFonts w:asciiTheme="minorEastAsia" w:hAnsiTheme="minorEastAsia" w:eastAsiaTheme="minorEastAsia"/>
          <w:spacing w:val="-4"/>
          <w:sz w:val="24"/>
        </w:rPr>
      </w:pPr>
      <w:r>
        <w:rPr>
          <w:rFonts w:hint="eastAsia" w:asciiTheme="minorEastAsia" w:hAnsiTheme="minorEastAsia" w:eastAsiaTheme="minorEastAsia"/>
          <w:spacing w:val="-4"/>
          <w:sz w:val="24"/>
        </w:rPr>
        <w:t>5</w:t>
      </w:r>
      <w:r>
        <w:rPr>
          <w:rFonts w:asciiTheme="minorEastAsia" w:hAnsiTheme="minorEastAsia" w:eastAsiaTheme="minorEastAsia"/>
          <w:spacing w:val="-4"/>
          <w:sz w:val="24"/>
        </w:rPr>
        <w:t xml:space="preserve">. </w:t>
      </w:r>
      <w:r>
        <w:rPr>
          <w:rFonts w:asciiTheme="minorEastAsia" w:hAnsiTheme="minorEastAsia" w:eastAsiaTheme="minorEastAsia"/>
          <w:sz w:val="24"/>
        </w:rPr>
        <w:t>我方同意所提交的投标文件在招标文件的投标人须知中第</w:t>
      </w:r>
      <w:r>
        <w:rPr>
          <w:rFonts w:asciiTheme="minorEastAsia" w:hAnsiTheme="minorEastAsia" w:eastAsiaTheme="minorEastAsia"/>
          <w:sz w:val="24"/>
          <w:u w:val="single"/>
        </w:rPr>
        <w:t>3.3</w:t>
      </w:r>
      <w:r>
        <w:rPr>
          <w:rFonts w:hint="eastAsia" w:asciiTheme="minorEastAsia" w:hAnsiTheme="minorEastAsia" w:eastAsiaTheme="minorEastAsia"/>
          <w:sz w:val="24"/>
        </w:rPr>
        <w:t>款</w:t>
      </w:r>
      <w:r>
        <w:rPr>
          <w:rFonts w:asciiTheme="minorEastAsia" w:hAnsiTheme="minorEastAsia" w:eastAsiaTheme="minorEastAsia"/>
          <w:sz w:val="24"/>
        </w:rPr>
        <w:t>规定的投标有效期限内有效，在此期间内如果中标，我方将受此约束。</w:t>
      </w:r>
    </w:p>
    <w:p>
      <w:pPr>
        <w:adjustRightInd w:val="0"/>
        <w:snapToGrid w:val="0"/>
        <w:spacing w:line="276"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 随同本投标函提交投标保证金一份</w:t>
      </w:r>
      <w:r>
        <w:rPr>
          <w:rFonts w:hint="eastAsia" w:asciiTheme="minorEastAsia" w:hAnsiTheme="minorEastAsia" w:eastAsiaTheme="minorEastAsia"/>
          <w:sz w:val="24"/>
        </w:rPr>
        <w:t>，我方承诺以我公司银行基本账户递交和接收退还本项目的投标保证金。此银行基本账户为我公司此次投标指定的唯一合法账户。</w:t>
      </w:r>
    </w:p>
    <w:p>
      <w:pPr>
        <w:adjustRightInd w:val="0"/>
        <w:snapToGrid w:val="0"/>
        <w:spacing w:line="276"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 xml:space="preserve"> 除非另外达成协议并生效，贵方的中标通知书和本投标文件将成为约束双方的合同文件的组成部分。</w:t>
      </w:r>
    </w:p>
    <w:p>
      <w:pPr>
        <w:adjustRightInd w:val="0"/>
        <w:snapToGrid w:val="0"/>
        <w:spacing w:line="276"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.我方在此声明，所递交的投标文件及有关资料内容完整、真实和准确，且不存在第二章</w:t>
      </w:r>
      <w:r>
        <w:rPr>
          <w:rFonts w:hint="eastAsia" w:asciiTheme="minorEastAsia" w:hAnsiTheme="minorEastAsia" w:eastAsiaTheme="minorEastAsia"/>
          <w:sz w:val="24"/>
        </w:rPr>
        <w:t>“</w:t>
      </w:r>
      <w:r>
        <w:rPr>
          <w:rFonts w:asciiTheme="minorEastAsia" w:hAnsiTheme="minorEastAsia" w:eastAsiaTheme="minorEastAsia"/>
          <w:sz w:val="24"/>
        </w:rPr>
        <w:t>投标人须知</w:t>
      </w:r>
      <w:r>
        <w:rPr>
          <w:rFonts w:hint="eastAsia" w:asciiTheme="minorEastAsia" w:hAnsiTheme="minorEastAsia" w:eastAsiaTheme="minorEastAsia"/>
          <w:sz w:val="24"/>
        </w:rPr>
        <w:t>”</w:t>
      </w:r>
      <w:r>
        <w:rPr>
          <w:rFonts w:asciiTheme="minorEastAsia" w:hAnsiTheme="minorEastAsia" w:eastAsiaTheme="minorEastAsia"/>
          <w:sz w:val="24"/>
        </w:rPr>
        <w:t>第1.4.3项规定的任何一种情形。</w:t>
      </w:r>
    </w:p>
    <w:p>
      <w:pPr>
        <w:adjustRightInd w:val="0"/>
        <w:snapToGrid w:val="0"/>
        <w:spacing w:line="276"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9. 如果我方同时在所投的多个标段评审中综合评分均排名第一时，我方自愿遵守招标人“本招标项目一至三标段中，投标人可报名任意标段，但最多允许中标1个标段”的规定，并按照下述顺序仅选择一个标段作为该标段的第一中标候选人，自愿放弃其他标段的中标候选人资格，我方选择顺序依次为：标段、标段、标段。</w:t>
      </w:r>
    </w:p>
    <w:p/>
    <w:p>
      <w:pPr>
        <w:spacing w:line="400" w:lineRule="exact"/>
        <w:ind w:firstLine="3684" w:firstLineChars="1535"/>
        <w:rPr>
          <w:sz w:val="24"/>
          <w:szCs w:val="21"/>
        </w:rPr>
      </w:pPr>
      <w:r>
        <w:rPr>
          <w:rFonts w:hint="eastAsia"/>
          <w:sz w:val="24"/>
          <w:szCs w:val="21"/>
        </w:rPr>
        <w:t>投标人：（盖单位公章）</w:t>
      </w:r>
    </w:p>
    <w:p>
      <w:pPr>
        <w:spacing w:line="400" w:lineRule="exact"/>
        <w:ind w:firstLine="3684" w:firstLineChars="1535"/>
      </w:pPr>
      <w:r>
        <w:rPr>
          <w:rFonts w:hint="eastAsia"/>
          <w:sz w:val="24"/>
          <w:szCs w:val="21"/>
        </w:rPr>
        <w:t>法定代表人或其委托代理人：（签字）</w:t>
      </w:r>
    </w:p>
    <w:p>
      <w:pPr>
        <w:spacing w:line="400" w:lineRule="exact"/>
        <w:ind w:firstLine="3684" w:firstLineChars="1535"/>
        <w:jc w:val="left"/>
        <w:rPr>
          <w:sz w:val="24"/>
          <w:szCs w:val="21"/>
        </w:rPr>
      </w:pPr>
      <w:r>
        <w:rPr>
          <w:rFonts w:hint="eastAsia"/>
          <w:sz w:val="24"/>
          <w:szCs w:val="21"/>
        </w:rPr>
        <w:t>日期：  年  月  日</w:t>
      </w:r>
    </w:p>
    <w:p>
      <w:bookmarkStart w:id="1382" w:name="_Toc152042579"/>
      <w:bookmarkStart w:id="1383" w:name="_Toc144974859"/>
      <w:bookmarkStart w:id="1384" w:name="_Toc11950"/>
      <w:bookmarkStart w:id="1385" w:name="_Toc295398986"/>
      <w:bookmarkStart w:id="1386" w:name="_Toc152045790"/>
    </w:p>
    <w:p/>
    <w:p/>
    <w:p>
      <w:pPr>
        <w:spacing w:line="276" w:lineRule="auto"/>
        <w:jc w:val="center"/>
        <w:rPr>
          <w:rFonts w:hAnsi="宋体"/>
          <w:b/>
          <w:sz w:val="24"/>
        </w:rPr>
      </w:pPr>
      <w:r>
        <w:rPr>
          <w:rFonts w:hint="eastAsia" w:hAnsi="宋体"/>
          <w:b/>
          <w:sz w:val="24"/>
        </w:rPr>
        <w:br w:type="column"/>
      </w:r>
      <w:r>
        <w:rPr>
          <w:rFonts w:hint="eastAsia" w:hAnsi="宋体"/>
          <w:b/>
          <w:sz w:val="24"/>
        </w:rPr>
        <w:t>（二）</w:t>
      </w:r>
      <w:r>
        <w:rPr>
          <w:rFonts w:hAnsi="宋体"/>
          <w:b/>
          <w:sz w:val="24"/>
        </w:rPr>
        <w:t>投标函附录</w:t>
      </w:r>
      <w:bookmarkEnd w:id="1382"/>
      <w:bookmarkEnd w:id="1383"/>
      <w:bookmarkEnd w:id="1384"/>
      <w:bookmarkEnd w:id="1385"/>
      <w:bookmarkEnd w:id="1386"/>
    </w:p>
    <w:tbl>
      <w:tblPr>
        <w:tblStyle w:val="28"/>
        <w:tblW w:w="837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985"/>
        <w:gridCol w:w="850"/>
        <w:gridCol w:w="1804"/>
        <w:gridCol w:w="1276"/>
        <w:gridCol w:w="17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94" w:type="dxa"/>
            <w:gridSpan w:val="2"/>
            <w:vAlign w:val="center"/>
          </w:tcPr>
          <w:p>
            <w:pPr>
              <w:jc w:val="center"/>
              <w:rPr>
                <w:szCs w:val="21"/>
              </w:rPr>
            </w:pPr>
            <w:r>
              <w:rPr>
                <w:rFonts w:hAnsi="宋体"/>
                <w:szCs w:val="21"/>
              </w:rPr>
              <w:t>项目名称</w:t>
            </w:r>
          </w:p>
        </w:tc>
        <w:tc>
          <w:tcPr>
            <w:tcW w:w="5676" w:type="dxa"/>
            <w:gridSpan w:val="4"/>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94" w:type="dxa"/>
            <w:gridSpan w:val="2"/>
            <w:vAlign w:val="center"/>
          </w:tcPr>
          <w:p>
            <w:pPr>
              <w:jc w:val="center"/>
              <w:rPr>
                <w:rFonts w:hAnsi="宋体"/>
                <w:szCs w:val="21"/>
              </w:rPr>
            </w:pPr>
            <w:r>
              <w:rPr>
                <w:rFonts w:hint="eastAsia" w:hAnsi="宋体"/>
                <w:szCs w:val="21"/>
              </w:rPr>
              <w:t>所投标段</w:t>
            </w:r>
          </w:p>
        </w:tc>
        <w:tc>
          <w:tcPr>
            <w:tcW w:w="5676" w:type="dxa"/>
            <w:gridSpan w:val="4"/>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94" w:type="dxa"/>
            <w:gridSpan w:val="2"/>
            <w:vAlign w:val="center"/>
          </w:tcPr>
          <w:p>
            <w:pPr>
              <w:jc w:val="center"/>
              <w:rPr>
                <w:szCs w:val="21"/>
              </w:rPr>
            </w:pPr>
            <w:r>
              <w:rPr>
                <w:rFonts w:hAnsi="宋体"/>
                <w:szCs w:val="21"/>
              </w:rPr>
              <w:t>投标范围</w:t>
            </w:r>
          </w:p>
        </w:tc>
        <w:tc>
          <w:tcPr>
            <w:tcW w:w="5676" w:type="dxa"/>
            <w:gridSpan w:val="4"/>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jc w:val="center"/>
              <w:rPr>
                <w:szCs w:val="21"/>
              </w:rPr>
            </w:pPr>
            <w:r>
              <w:rPr>
                <w:szCs w:val="21"/>
              </w:rPr>
              <w:t>序号</w:t>
            </w:r>
          </w:p>
        </w:tc>
        <w:tc>
          <w:tcPr>
            <w:tcW w:w="1985" w:type="dxa"/>
            <w:vAlign w:val="center"/>
          </w:tcPr>
          <w:p>
            <w:pPr>
              <w:jc w:val="center"/>
              <w:rPr>
                <w:szCs w:val="21"/>
              </w:rPr>
            </w:pPr>
            <w:r>
              <w:rPr>
                <w:szCs w:val="21"/>
              </w:rPr>
              <w:t>条款内容</w:t>
            </w:r>
          </w:p>
        </w:tc>
        <w:tc>
          <w:tcPr>
            <w:tcW w:w="5676" w:type="dxa"/>
            <w:gridSpan w:val="4"/>
            <w:vAlign w:val="center"/>
          </w:tcPr>
          <w:p>
            <w:pPr>
              <w:jc w:val="center"/>
              <w:rPr>
                <w:szCs w:val="21"/>
              </w:rPr>
            </w:pPr>
            <w:r>
              <w:rPr>
                <w:szCs w:val="21"/>
              </w:rPr>
              <w:t>承诺或约定内容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jc w:val="center"/>
              <w:rPr>
                <w:szCs w:val="21"/>
              </w:rPr>
            </w:pPr>
            <w:r>
              <w:rPr>
                <w:rFonts w:hint="eastAsia"/>
                <w:szCs w:val="21"/>
              </w:rPr>
              <w:t>1</w:t>
            </w:r>
          </w:p>
        </w:tc>
        <w:tc>
          <w:tcPr>
            <w:tcW w:w="1985" w:type="dxa"/>
            <w:vAlign w:val="center"/>
          </w:tcPr>
          <w:p>
            <w:pPr>
              <w:jc w:val="center"/>
              <w:rPr>
                <w:szCs w:val="21"/>
              </w:rPr>
            </w:pPr>
            <w:r>
              <w:rPr>
                <w:rFonts w:hint="eastAsia"/>
                <w:szCs w:val="21"/>
              </w:rPr>
              <w:t>投标费率</w:t>
            </w:r>
          </w:p>
        </w:tc>
        <w:tc>
          <w:tcPr>
            <w:tcW w:w="5676" w:type="dxa"/>
            <w:gridSpan w:val="4"/>
            <w:vAlign w:val="center"/>
          </w:tcPr>
          <w:p>
            <w:pPr>
              <w:rPr>
                <w:szCs w:val="21"/>
                <w:u w:val="single"/>
              </w:rPr>
            </w:pPr>
            <w:r>
              <w:rPr>
                <w:rFonts w:hint="eastAsia"/>
                <w:szCs w:val="21"/>
              </w:rPr>
              <w:t>（大写）：</w:t>
            </w:r>
          </w:p>
          <w:p>
            <w:pPr>
              <w:rPr>
                <w:szCs w:val="21"/>
              </w:rPr>
            </w:pPr>
            <w:r>
              <w:rPr>
                <w:rFonts w:hint="eastAsia"/>
                <w:szCs w:val="21"/>
              </w:rPr>
              <w:t>（小写）：%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jc w:val="center"/>
              <w:rPr>
                <w:szCs w:val="21"/>
              </w:rPr>
            </w:pPr>
            <w:r>
              <w:rPr>
                <w:rFonts w:hint="eastAsia"/>
                <w:szCs w:val="21"/>
              </w:rPr>
              <w:t>2</w:t>
            </w:r>
          </w:p>
        </w:tc>
        <w:tc>
          <w:tcPr>
            <w:tcW w:w="1985" w:type="dxa"/>
            <w:vAlign w:val="center"/>
          </w:tcPr>
          <w:p>
            <w:pPr>
              <w:jc w:val="center"/>
              <w:rPr>
                <w:szCs w:val="21"/>
              </w:rPr>
            </w:pPr>
            <w:r>
              <w:rPr>
                <w:rFonts w:hint="eastAsia" w:hAnsi="宋体"/>
                <w:szCs w:val="21"/>
              </w:rPr>
              <w:t>总监理工程师</w:t>
            </w:r>
          </w:p>
        </w:tc>
        <w:tc>
          <w:tcPr>
            <w:tcW w:w="850" w:type="dxa"/>
            <w:vAlign w:val="center"/>
          </w:tcPr>
          <w:p>
            <w:pPr>
              <w:jc w:val="center"/>
              <w:rPr>
                <w:szCs w:val="21"/>
              </w:rPr>
            </w:pPr>
            <w:r>
              <w:rPr>
                <w:rFonts w:hAnsi="宋体"/>
                <w:szCs w:val="21"/>
              </w:rPr>
              <w:t>姓名</w:t>
            </w:r>
          </w:p>
        </w:tc>
        <w:tc>
          <w:tcPr>
            <w:tcW w:w="1804" w:type="dxa"/>
            <w:vAlign w:val="center"/>
          </w:tcPr>
          <w:p>
            <w:pPr>
              <w:jc w:val="center"/>
              <w:rPr>
                <w:szCs w:val="21"/>
              </w:rPr>
            </w:pPr>
          </w:p>
        </w:tc>
        <w:tc>
          <w:tcPr>
            <w:tcW w:w="1276" w:type="dxa"/>
            <w:vAlign w:val="center"/>
          </w:tcPr>
          <w:p>
            <w:pPr>
              <w:jc w:val="center"/>
              <w:rPr>
                <w:szCs w:val="21"/>
              </w:rPr>
            </w:pPr>
            <w:r>
              <w:rPr>
                <w:rFonts w:hAnsi="宋体"/>
                <w:szCs w:val="21"/>
              </w:rPr>
              <w:t>执业资格及证书编号</w:t>
            </w:r>
          </w:p>
        </w:tc>
        <w:tc>
          <w:tcPr>
            <w:tcW w:w="1746"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709" w:type="dxa"/>
            <w:vAlign w:val="center"/>
          </w:tcPr>
          <w:p>
            <w:pPr>
              <w:jc w:val="center"/>
              <w:rPr>
                <w:szCs w:val="21"/>
              </w:rPr>
            </w:pPr>
            <w:r>
              <w:rPr>
                <w:rFonts w:hint="eastAsia"/>
                <w:szCs w:val="21"/>
              </w:rPr>
              <w:t>3</w:t>
            </w:r>
          </w:p>
        </w:tc>
        <w:tc>
          <w:tcPr>
            <w:tcW w:w="1985" w:type="dxa"/>
            <w:vAlign w:val="center"/>
          </w:tcPr>
          <w:p>
            <w:pPr>
              <w:jc w:val="center"/>
              <w:rPr>
                <w:szCs w:val="21"/>
              </w:rPr>
            </w:pPr>
            <w:r>
              <w:rPr>
                <w:szCs w:val="21"/>
              </w:rPr>
              <w:t>监理</w:t>
            </w:r>
            <w:r>
              <w:rPr>
                <w:rFonts w:hint="eastAsia"/>
                <w:szCs w:val="21"/>
              </w:rPr>
              <w:t>服务期限</w:t>
            </w:r>
          </w:p>
        </w:tc>
        <w:tc>
          <w:tcPr>
            <w:tcW w:w="5676" w:type="dxa"/>
            <w:gridSpan w:val="4"/>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2" w:hRule="atLeast"/>
          <w:jc w:val="center"/>
        </w:trPr>
        <w:tc>
          <w:tcPr>
            <w:tcW w:w="709" w:type="dxa"/>
            <w:vAlign w:val="center"/>
          </w:tcPr>
          <w:p>
            <w:pPr>
              <w:jc w:val="center"/>
              <w:rPr>
                <w:szCs w:val="21"/>
              </w:rPr>
            </w:pPr>
            <w:r>
              <w:rPr>
                <w:rFonts w:hint="eastAsia"/>
                <w:szCs w:val="21"/>
              </w:rPr>
              <w:t>4</w:t>
            </w:r>
          </w:p>
        </w:tc>
        <w:tc>
          <w:tcPr>
            <w:tcW w:w="1985" w:type="dxa"/>
            <w:vAlign w:val="center"/>
          </w:tcPr>
          <w:p>
            <w:pPr>
              <w:jc w:val="center"/>
              <w:rPr>
                <w:szCs w:val="21"/>
              </w:rPr>
            </w:pPr>
            <w:r>
              <w:rPr>
                <w:szCs w:val="21"/>
              </w:rPr>
              <w:t>监理</w:t>
            </w:r>
            <w:r>
              <w:rPr>
                <w:rFonts w:hAnsi="宋体"/>
                <w:szCs w:val="21"/>
              </w:rPr>
              <w:t>质量目标</w:t>
            </w:r>
          </w:p>
        </w:tc>
        <w:tc>
          <w:tcPr>
            <w:tcW w:w="5676" w:type="dxa"/>
            <w:gridSpan w:val="4"/>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jc w:val="center"/>
              <w:rPr>
                <w:szCs w:val="21"/>
              </w:rPr>
            </w:pPr>
            <w:r>
              <w:rPr>
                <w:rFonts w:hint="eastAsia"/>
                <w:szCs w:val="21"/>
              </w:rPr>
              <w:t>5</w:t>
            </w:r>
          </w:p>
        </w:tc>
        <w:tc>
          <w:tcPr>
            <w:tcW w:w="1985" w:type="dxa"/>
            <w:vAlign w:val="center"/>
          </w:tcPr>
          <w:p>
            <w:pPr>
              <w:jc w:val="center"/>
              <w:rPr>
                <w:szCs w:val="21"/>
              </w:rPr>
            </w:pPr>
            <w:r>
              <w:rPr>
                <w:szCs w:val="21"/>
              </w:rPr>
              <w:t>履约担保额度</w:t>
            </w:r>
          </w:p>
        </w:tc>
        <w:tc>
          <w:tcPr>
            <w:tcW w:w="5676" w:type="dxa"/>
            <w:gridSpan w:val="4"/>
            <w:vAlign w:val="center"/>
          </w:tcPr>
          <w:p>
            <w:pPr>
              <w:jc w:val="center"/>
              <w:rPr>
                <w:szCs w:val="21"/>
              </w:rPr>
            </w:pPr>
            <w:r>
              <w:rPr>
                <w:rFonts w:hint="eastAsia"/>
                <w:szCs w:val="21"/>
              </w:rPr>
              <w:t>合同价的5%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jc w:val="center"/>
              <w:rPr>
                <w:szCs w:val="21"/>
              </w:rPr>
            </w:pPr>
            <w:r>
              <w:rPr>
                <w:rFonts w:hint="eastAsia"/>
                <w:szCs w:val="21"/>
              </w:rPr>
              <w:t>6</w:t>
            </w:r>
          </w:p>
        </w:tc>
        <w:tc>
          <w:tcPr>
            <w:tcW w:w="1985" w:type="dxa"/>
            <w:vAlign w:val="center"/>
          </w:tcPr>
          <w:p>
            <w:pPr>
              <w:jc w:val="center"/>
              <w:rPr>
                <w:szCs w:val="21"/>
              </w:rPr>
            </w:pPr>
            <w:r>
              <w:rPr>
                <w:szCs w:val="21"/>
              </w:rPr>
              <w:t>权利义务</w:t>
            </w:r>
          </w:p>
        </w:tc>
        <w:tc>
          <w:tcPr>
            <w:tcW w:w="5676" w:type="dxa"/>
            <w:gridSpan w:val="4"/>
          </w:tcPr>
          <w:p>
            <w:pPr>
              <w:jc w:val="center"/>
              <w:rPr>
                <w:bCs/>
                <w:szCs w:val="21"/>
              </w:rPr>
            </w:pPr>
            <w:r>
              <w:rPr>
                <w:rFonts w:hint="eastAsia"/>
                <w:bCs/>
                <w:szCs w:val="21"/>
              </w:rPr>
              <w:t>完全响应招标文件第四章“合同条款及格式”的相关规定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jc w:val="center"/>
              <w:rPr>
                <w:szCs w:val="21"/>
              </w:rPr>
            </w:pPr>
            <w:r>
              <w:rPr>
                <w:rFonts w:hint="eastAsia"/>
                <w:szCs w:val="21"/>
              </w:rPr>
              <w:t>7</w:t>
            </w:r>
          </w:p>
        </w:tc>
        <w:tc>
          <w:tcPr>
            <w:tcW w:w="1985" w:type="dxa"/>
            <w:vAlign w:val="center"/>
          </w:tcPr>
          <w:p>
            <w:pPr>
              <w:jc w:val="center"/>
              <w:rPr>
                <w:szCs w:val="21"/>
              </w:rPr>
            </w:pPr>
            <w:r>
              <w:rPr>
                <w:szCs w:val="21"/>
              </w:rPr>
              <w:t>技术标准与要求</w:t>
            </w:r>
          </w:p>
        </w:tc>
        <w:tc>
          <w:tcPr>
            <w:tcW w:w="5676" w:type="dxa"/>
            <w:gridSpan w:val="4"/>
          </w:tcPr>
          <w:p>
            <w:pPr>
              <w:jc w:val="center"/>
              <w:rPr>
                <w:bCs/>
                <w:szCs w:val="21"/>
              </w:rPr>
            </w:pPr>
            <w:r>
              <w:rPr>
                <w:rFonts w:hint="eastAsia"/>
                <w:bCs/>
                <w:szCs w:val="21"/>
              </w:rPr>
              <w:t>完全响应招标文件第五章“监理服务内容、技术标准与要求”的规定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rPr>
                <w:szCs w:val="21"/>
              </w:rPr>
            </w:pPr>
            <w:r>
              <w:rPr>
                <w:szCs w:val="21"/>
              </w:rPr>
              <w:t>……</w:t>
            </w:r>
          </w:p>
        </w:tc>
        <w:tc>
          <w:tcPr>
            <w:tcW w:w="1985" w:type="dxa"/>
            <w:vAlign w:val="center"/>
          </w:tcPr>
          <w:p>
            <w:pPr>
              <w:rPr>
                <w:szCs w:val="21"/>
              </w:rPr>
            </w:pPr>
            <w:r>
              <w:rPr>
                <w:szCs w:val="21"/>
              </w:rPr>
              <w:t>……</w:t>
            </w:r>
          </w:p>
        </w:tc>
        <w:tc>
          <w:tcPr>
            <w:tcW w:w="5676" w:type="dxa"/>
            <w:gridSpan w:val="4"/>
            <w:vAlign w:val="center"/>
          </w:tcPr>
          <w:p>
            <w:pPr>
              <w:rPr>
                <w:szCs w:val="21"/>
              </w:rPr>
            </w:pPr>
            <w:r>
              <w:rPr>
                <w:szCs w:val="21"/>
              </w:rPr>
              <w:t>……</w:t>
            </w:r>
          </w:p>
        </w:tc>
      </w:tr>
    </w:tbl>
    <w:p>
      <w:pPr>
        <w:spacing w:line="400" w:lineRule="exact"/>
        <w:ind w:firstLine="210" w:firstLineChars="100"/>
        <w:jc w:val="left"/>
        <w:rPr>
          <w:rFonts w:ascii="宋体" w:hAnsi="宋体"/>
          <w:bCs/>
          <w:szCs w:val="21"/>
        </w:rPr>
      </w:pPr>
      <w:r>
        <w:rPr>
          <w:rFonts w:hint="eastAsia" w:ascii="宋体" w:hAnsi="宋体"/>
          <w:bCs/>
          <w:szCs w:val="21"/>
        </w:rPr>
        <w:t>备注：投标人在响应招标文件中规定的实质性要求和条件的基础上，可做出其他有利于招标人的承诺。此类承诺可在本表中予以补充填写。</w:t>
      </w: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ind w:firstLine="3684" w:firstLineChars="1535"/>
        <w:rPr>
          <w:sz w:val="24"/>
          <w:szCs w:val="21"/>
        </w:rPr>
      </w:pPr>
      <w:r>
        <w:rPr>
          <w:rFonts w:hint="eastAsia"/>
          <w:sz w:val="24"/>
          <w:szCs w:val="21"/>
        </w:rPr>
        <w:t>投标人：（盖单位公章）</w:t>
      </w:r>
    </w:p>
    <w:p>
      <w:pPr>
        <w:spacing w:line="400" w:lineRule="exact"/>
        <w:ind w:firstLine="3684" w:firstLineChars="1535"/>
      </w:pPr>
      <w:r>
        <w:rPr>
          <w:rFonts w:hint="eastAsia"/>
          <w:sz w:val="24"/>
          <w:szCs w:val="21"/>
        </w:rPr>
        <w:t>法定代表人或其委托代理人：（签字）</w:t>
      </w:r>
    </w:p>
    <w:p>
      <w:pPr>
        <w:spacing w:line="400" w:lineRule="exact"/>
        <w:ind w:firstLine="3684" w:firstLineChars="1535"/>
        <w:jc w:val="left"/>
        <w:rPr>
          <w:sz w:val="24"/>
          <w:szCs w:val="21"/>
        </w:rPr>
      </w:pPr>
      <w:r>
        <w:rPr>
          <w:rFonts w:hint="eastAsia"/>
          <w:sz w:val="24"/>
          <w:szCs w:val="21"/>
        </w:rPr>
        <w:t>日期：  年  月  日</w:t>
      </w:r>
    </w:p>
    <w:p>
      <w:pPr>
        <w:spacing w:line="276" w:lineRule="auto"/>
        <w:ind w:right="420" w:firstLine="420"/>
        <w:jc w:val="center"/>
      </w:pPr>
    </w:p>
    <w:p/>
    <w:p/>
    <w:p/>
    <w:p/>
    <w:p/>
    <w:p/>
    <w:p/>
    <w:p>
      <w:pPr>
        <w:pStyle w:val="2"/>
      </w:pPr>
      <w:bookmarkStart w:id="1387" w:name="_Toc496098811"/>
      <w:bookmarkStart w:id="1388" w:name="_Toc4052"/>
      <w:bookmarkStart w:id="1389" w:name="_Toc32351"/>
      <w:bookmarkStart w:id="1390" w:name="_Toc152045791"/>
      <w:bookmarkStart w:id="1391" w:name="_Toc144974860"/>
      <w:bookmarkStart w:id="1392" w:name="_Toc152042580"/>
      <w:bookmarkStart w:id="1393" w:name="_Toc295398987"/>
      <w:r>
        <w:rPr>
          <w:rFonts w:hint="eastAsia"/>
        </w:rPr>
        <w:t>二、法定代表人身份证明及授权委托书</w:t>
      </w:r>
      <w:bookmarkEnd w:id="1387"/>
      <w:bookmarkEnd w:id="1388"/>
      <w:bookmarkEnd w:id="1389"/>
    </w:p>
    <w:p>
      <w:pPr>
        <w:spacing w:beforeLines="100" w:afterLines="100" w:line="276" w:lineRule="auto"/>
        <w:ind w:firstLine="482"/>
        <w:jc w:val="center"/>
        <w:rPr>
          <w:sz w:val="22"/>
          <w:szCs w:val="20"/>
        </w:rPr>
      </w:pPr>
      <w:bookmarkStart w:id="1394" w:name="_Toc32154"/>
      <w:r>
        <w:rPr>
          <w:rFonts w:hint="eastAsia" w:hAnsi="宋体"/>
          <w:b/>
          <w:sz w:val="24"/>
        </w:rPr>
        <w:t>（一）法定代表人身份证明</w:t>
      </w:r>
      <w:bookmarkEnd w:id="1390"/>
      <w:bookmarkEnd w:id="1391"/>
      <w:bookmarkEnd w:id="1392"/>
      <w:bookmarkEnd w:id="1393"/>
      <w:bookmarkEnd w:id="1394"/>
    </w:p>
    <w:p>
      <w:pPr>
        <w:spacing w:line="360" w:lineRule="auto"/>
        <w:ind w:firstLine="420" w:firstLineChars="200"/>
        <w:rPr>
          <w:szCs w:val="21"/>
        </w:rPr>
      </w:pPr>
      <w:r>
        <w:rPr>
          <w:szCs w:val="21"/>
        </w:rPr>
        <w:t>投标人名称：</w:t>
      </w:r>
    </w:p>
    <w:p>
      <w:pPr>
        <w:spacing w:line="360" w:lineRule="auto"/>
        <w:ind w:firstLine="420" w:firstLineChars="200"/>
        <w:rPr>
          <w:szCs w:val="21"/>
          <w:u w:val="single"/>
        </w:rPr>
      </w:pPr>
      <w:r>
        <w:rPr>
          <w:szCs w:val="21"/>
        </w:rPr>
        <w:t>单位性质：</w:t>
      </w:r>
    </w:p>
    <w:p>
      <w:pPr>
        <w:spacing w:line="360" w:lineRule="auto"/>
        <w:ind w:firstLine="420" w:firstLineChars="200"/>
        <w:rPr>
          <w:szCs w:val="21"/>
          <w:u w:val="single"/>
        </w:rPr>
      </w:pPr>
      <w:r>
        <w:rPr>
          <w:szCs w:val="21"/>
        </w:rPr>
        <w:t>地址：</w:t>
      </w:r>
    </w:p>
    <w:p>
      <w:pPr>
        <w:spacing w:line="360" w:lineRule="auto"/>
        <w:ind w:firstLine="420" w:firstLineChars="200"/>
        <w:rPr>
          <w:szCs w:val="21"/>
        </w:rPr>
      </w:pPr>
      <w:r>
        <w:rPr>
          <w:szCs w:val="21"/>
        </w:rPr>
        <w:t>成立时间：年月日</w:t>
      </w:r>
    </w:p>
    <w:p>
      <w:pPr>
        <w:spacing w:line="360" w:lineRule="auto"/>
        <w:ind w:firstLine="420" w:firstLineChars="200"/>
        <w:rPr>
          <w:szCs w:val="21"/>
        </w:rPr>
      </w:pPr>
      <w:r>
        <w:rPr>
          <w:szCs w:val="21"/>
        </w:rPr>
        <w:t>经营期限：</w:t>
      </w:r>
    </w:p>
    <w:p>
      <w:pPr>
        <w:spacing w:line="360" w:lineRule="auto"/>
        <w:ind w:firstLine="420" w:firstLineChars="200"/>
        <w:rPr>
          <w:szCs w:val="21"/>
          <w:u w:val="single"/>
        </w:rPr>
      </w:pPr>
      <w:r>
        <w:rPr>
          <w:szCs w:val="21"/>
        </w:rPr>
        <w:t>姓名：性别：年龄：职务：</w:t>
      </w:r>
    </w:p>
    <w:p>
      <w:pPr>
        <w:spacing w:line="360" w:lineRule="auto"/>
        <w:ind w:firstLine="420" w:firstLineChars="200"/>
        <w:rPr>
          <w:szCs w:val="21"/>
        </w:rPr>
      </w:pPr>
      <w:r>
        <w:rPr>
          <w:szCs w:val="21"/>
        </w:rPr>
        <w:t>系</w:t>
      </w:r>
      <w:r>
        <w:rPr>
          <w:rFonts w:hint="eastAsia"/>
          <w:szCs w:val="21"/>
          <w:u w:val="single"/>
        </w:rPr>
        <w:t xml:space="preserve">     （</w:t>
      </w:r>
      <w:r>
        <w:rPr>
          <w:szCs w:val="21"/>
          <w:u w:val="single"/>
        </w:rPr>
        <w:t>投标人名称</w:t>
      </w:r>
      <w:r>
        <w:rPr>
          <w:rFonts w:hint="eastAsia"/>
          <w:szCs w:val="21"/>
          <w:u w:val="single"/>
        </w:rPr>
        <w:t xml:space="preserve">）      </w:t>
      </w:r>
      <w:r>
        <w:rPr>
          <w:szCs w:val="21"/>
        </w:rPr>
        <w:t>的法定代表人。</w:t>
      </w:r>
    </w:p>
    <w:p>
      <w:pPr>
        <w:spacing w:line="360" w:lineRule="auto"/>
        <w:ind w:firstLine="420" w:firstLineChars="200"/>
        <w:rPr>
          <w:szCs w:val="21"/>
        </w:rPr>
      </w:pPr>
      <w:r>
        <w:rPr>
          <w:szCs w:val="21"/>
        </w:rPr>
        <w:t>特此证明。</w:t>
      </w: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jc w:val="right"/>
        <w:rPr>
          <w:szCs w:val="21"/>
        </w:rPr>
      </w:pPr>
      <w:r>
        <w:rPr>
          <w:szCs w:val="21"/>
        </w:rPr>
        <w:t>投标人（盖单位公章）</w:t>
      </w:r>
    </w:p>
    <w:p>
      <w:pPr>
        <w:spacing w:line="360" w:lineRule="auto"/>
        <w:ind w:firstLine="420" w:firstLineChars="200"/>
        <w:jc w:val="right"/>
        <w:rPr>
          <w:szCs w:val="21"/>
        </w:rPr>
      </w:pPr>
      <w:r>
        <w:rPr>
          <w:rFonts w:hint="eastAsia"/>
          <w:szCs w:val="21"/>
        </w:rPr>
        <w:t xml:space="preserve">日期：  </w:t>
      </w:r>
      <w:r>
        <w:rPr>
          <w:szCs w:val="21"/>
        </w:rPr>
        <w:t>年月日</w:t>
      </w:r>
    </w:p>
    <w:p>
      <w:pPr>
        <w:spacing w:line="276" w:lineRule="auto"/>
        <w:ind w:firstLine="420"/>
        <w:rPr>
          <w:sz w:val="24"/>
          <w:szCs w:val="21"/>
        </w:rPr>
      </w:pPr>
    </w:p>
    <w:tbl>
      <w:tblPr>
        <w:tblStyle w:val="28"/>
        <w:tblW w:w="8528"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29" w:hRule="atLeast"/>
        </w:trPr>
        <w:tc>
          <w:tcPr>
            <w:tcW w:w="8528" w:type="dxa"/>
            <w:vAlign w:val="center"/>
          </w:tcPr>
          <w:p>
            <w:pPr>
              <w:ind w:firstLine="422"/>
              <w:jc w:val="center"/>
              <w:rPr>
                <w:rFonts w:ascii="宋体" w:hAnsi="宋体"/>
                <w:b/>
                <w:szCs w:val="21"/>
              </w:rPr>
            </w:pPr>
            <w:r>
              <w:rPr>
                <w:rFonts w:hint="eastAsia" w:ascii="宋体" w:hAnsi="宋体"/>
                <w:b/>
                <w:szCs w:val="21"/>
              </w:rPr>
              <w:t>法定代表人身份证扫描件</w:t>
            </w:r>
          </w:p>
          <w:p>
            <w:pPr>
              <w:ind w:firstLine="420"/>
              <w:jc w:val="center"/>
              <w:rPr>
                <w:szCs w:val="21"/>
              </w:rPr>
            </w:pPr>
            <w:r>
              <w:rPr>
                <w:rFonts w:hint="eastAsia" w:ascii="宋体" w:hAnsi="宋体"/>
                <w:szCs w:val="21"/>
              </w:rPr>
              <w:t>（本处应为直接打印的证件扫描件（正、反面），不允许另行粘贴）</w:t>
            </w:r>
          </w:p>
        </w:tc>
      </w:tr>
    </w:tbl>
    <w:p>
      <w:pPr>
        <w:spacing w:line="440" w:lineRule="exact"/>
        <w:rPr>
          <w:szCs w:val="21"/>
        </w:rPr>
      </w:pPr>
    </w:p>
    <w:p>
      <w:pPr>
        <w:spacing w:line="440" w:lineRule="exact"/>
        <w:rPr>
          <w:szCs w:val="21"/>
        </w:rPr>
      </w:pPr>
    </w:p>
    <w:p/>
    <w:p/>
    <w:p>
      <w:pPr>
        <w:spacing w:beforeLines="100" w:afterLines="100" w:line="276" w:lineRule="auto"/>
        <w:jc w:val="center"/>
        <w:rPr>
          <w:rFonts w:hAnsi="宋体"/>
          <w:b/>
          <w:sz w:val="24"/>
        </w:rPr>
      </w:pPr>
      <w:bookmarkStart w:id="1395" w:name="_Toc23768"/>
      <w:bookmarkStart w:id="1396" w:name="_Toc295398988"/>
      <w:bookmarkStart w:id="1397" w:name="_Toc152042581"/>
      <w:bookmarkStart w:id="1398" w:name="_Toc152045792"/>
      <w:bookmarkStart w:id="1399" w:name="_Toc144974861"/>
      <w:r>
        <w:rPr>
          <w:rFonts w:hint="eastAsia" w:hAnsi="宋体"/>
          <w:b/>
          <w:sz w:val="24"/>
        </w:rPr>
        <w:t>（二）授权委托书</w:t>
      </w:r>
      <w:bookmarkEnd w:id="1395"/>
      <w:bookmarkEnd w:id="1396"/>
      <w:bookmarkEnd w:id="1397"/>
      <w:bookmarkEnd w:id="1398"/>
      <w:bookmarkEnd w:id="1399"/>
    </w:p>
    <w:p>
      <w:pPr>
        <w:topLinePunct/>
        <w:spacing w:line="360" w:lineRule="auto"/>
        <w:ind w:firstLine="420" w:firstLineChars="200"/>
        <w:rPr>
          <w:rFonts w:ascii="宋体" w:hAnsi="宋体"/>
          <w:szCs w:val="21"/>
        </w:rPr>
      </w:pPr>
      <w:r>
        <w:rPr>
          <w:rFonts w:ascii="宋体" w:hAnsi="宋体"/>
          <w:szCs w:val="21"/>
        </w:rPr>
        <w:t>本人</w:t>
      </w:r>
      <w:r>
        <w:rPr>
          <w:rFonts w:ascii="宋体" w:hAnsi="宋体"/>
          <w:szCs w:val="21"/>
          <w:u w:val="single"/>
        </w:rPr>
        <w:t>（姓名）</w:t>
      </w:r>
      <w:r>
        <w:rPr>
          <w:rFonts w:ascii="宋体" w:hAnsi="宋体"/>
          <w:szCs w:val="21"/>
        </w:rPr>
        <w:t>系</w:t>
      </w:r>
      <w:r>
        <w:rPr>
          <w:rFonts w:ascii="宋体" w:hAnsi="宋体"/>
          <w:szCs w:val="21"/>
          <w:u w:val="single"/>
        </w:rPr>
        <w:t>（投标人名称）</w:t>
      </w:r>
      <w:r>
        <w:rPr>
          <w:rFonts w:ascii="宋体" w:hAnsi="宋体"/>
          <w:szCs w:val="21"/>
        </w:rPr>
        <w:t>的法定代表人，现委托</w:t>
      </w:r>
      <w:r>
        <w:rPr>
          <w:rFonts w:ascii="宋体" w:hAnsi="宋体"/>
          <w:szCs w:val="21"/>
          <w:u w:val="single"/>
        </w:rPr>
        <w:t>（姓名）</w:t>
      </w:r>
      <w:r>
        <w:rPr>
          <w:rFonts w:ascii="宋体" w:hAnsi="宋体"/>
          <w:szCs w:val="21"/>
        </w:rPr>
        <w:t>为我方代理人。代理人根据授权，以我方名义签署、澄清、说明、补正、递交、撤回、修改</w:t>
      </w:r>
      <w:r>
        <w:rPr>
          <w:rFonts w:ascii="宋体" w:hAnsi="宋体"/>
          <w:szCs w:val="21"/>
          <w:u w:val="single"/>
        </w:rPr>
        <w:t>（项目名称）</w:t>
      </w:r>
      <w:r>
        <w:rPr>
          <w:rFonts w:hint="eastAsia" w:ascii="宋体" w:hAnsi="宋体"/>
          <w:szCs w:val="21"/>
        </w:rPr>
        <w:t>标段</w:t>
      </w:r>
      <w:r>
        <w:rPr>
          <w:rFonts w:ascii="宋体" w:hAnsi="宋体"/>
          <w:szCs w:val="21"/>
        </w:rPr>
        <w:t>投标文件、签订合同和处理有关事宜，其法律后果由我方承担。</w:t>
      </w:r>
    </w:p>
    <w:p>
      <w:pPr>
        <w:spacing w:line="360" w:lineRule="auto"/>
        <w:ind w:firstLine="420" w:firstLineChars="200"/>
        <w:rPr>
          <w:rFonts w:ascii="宋体" w:hAnsi="宋体"/>
          <w:szCs w:val="21"/>
        </w:rPr>
      </w:pPr>
      <w:r>
        <w:rPr>
          <w:rFonts w:ascii="宋体" w:hAnsi="宋体"/>
          <w:szCs w:val="21"/>
        </w:rPr>
        <w:t>委托期限：。</w:t>
      </w:r>
    </w:p>
    <w:p>
      <w:pPr>
        <w:spacing w:line="360" w:lineRule="auto"/>
        <w:ind w:firstLine="420" w:firstLineChars="200"/>
        <w:rPr>
          <w:rFonts w:ascii="宋体" w:hAnsi="宋体"/>
          <w:szCs w:val="21"/>
        </w:rPr>
      </w:pPr>
      <w:r>
        <w:rPr>
          <w:rFonts w:ascii="宋体" w:hAnsi="宋体"/>
          <w:szCs w:val="21"/>
        </w:rPr>
        <w:t>代理人无转委托权。</w:t>
      </w:r>
    </w:p>
    <w:p>
      <w:pPr>
        <w:spacing w:line="360" w:lineRule="auto"/>
        <w:ind w:firstLine="420" w:firstLineChars="200"/>
        <w:rPr>
          <w:rFonts w:ascii="宋体" w:hAnsi="宋体"/>
          <w:szCs w:val="21"/>
        </w:rPr>
      </w:pPr>
      <w:r>
        <w:rPr>
          <w:rFonts w:ascii="宋体" w:hAnsi="宋体"/>
          <w:szCs w:val="21"/>
        </w:rPr>
        <w:t>附：法定代表人身份证明</w:t>
      </w:r>
    </w:p>
    <w:p/>
    <w:p/>
    <w:p/>
    <w:p>
      <w:pPr>
        <w:spacing w:line="360" w:lineRule="auto"/>
        <w:ind w:firstLine="420" w:firstLineChars="200"/>
        <w:rPr>
          <w:rFonts w:ascii="宋体" w:hAnsi="宋体"/>
          <w:szCs w:val="21"/>
        </w:rPr>
      </w:pPr>
    </w:p>
    <w:p>
      <w:pPr>
        <w:spacing w:line="360" w:lineRule="auto"/>
        <w:ind w:firstLine="2975" w:firstLineChars="1417"/>
        <w:jc w:val="left"/>
        <w:rPr>
          <w:rFonts w:ascii="宋体" w:hAnsi="宋体"/>
          <w:szCs w:val="21"/>
        </w:rPr>
      </w:pPr>
      <w:r>
        <w:rPr>
          <w:rFonts w:ascii="宋体" w:hAnsi="宋体"/>
          <w:szCs w:val="21"/>
        </w:rPr>
        <w:t>投标人：（盖单位公章）</w:t>
      </w:r>
    </w:p>
    <w:p>
      <w:pPr>
        <w:spacing w:line="360" w:lineRule="auto"/>
        <w:ind w:firstLine="2975" w:firstLineChars="1417"/>
        <w:jc w:val="left"/>
        <w:rPr>
          <w:rFonts w:ascii="宋体" w:hAnsi="宋体"/>
          <w:szCs w:val="21"/>
        </w:rPr>
      </w:pPr>
      <w:r>
        <w:rPr>
          <w:rFonts w:ascii="宋体" w:hAnsi="宋体"/>
          <w:szCs w:val="21"/>
        </w:rPr>
        <w:t>法定代表人：（签字</w:t>
      </w:r>
      <w:r>
        <w:rPr>
          <w:rFonts w:hint="eastAsia" w:ascii="宋体" w:hAnsi="宋体"/>
          <w:szCs w:val="21"/>
        </w:rPr>
        <w:t>或盖章</w:t>
      </w:r>
      <w:r>
        <w:rPr>
          <w:rFonts w:ascii="宋体" w:hAnsi="宋体"/>
          <w:szCs w:val="21"/>
        </w:rPr>
        <w:t>）</w:t>
      </w:r>
    </w:p>
    <w:p>
      <w:pPr>
        <w:spacing w:line="360" w:lineRule="auto"/>
        <w:ind w:firstLine="2975" w:firstLineChars="1417"/>
        <w:jc w:val="left"/>
        <w:rPr>
          <w:rFonts w:ascii="宋体" w:hAnsi="宋体"/>
          <w:szCs w:val="21"/>
        </w:rPr>
      </w:pPr>
      <w:r>
        <w:rPr>
          <w:rFonts w:ascii="宋体" w:hAnsi="宋体"/>
          <w:szCs w:val="21"/>
        </w:rPr>
        <w:t>身份证号码：</w:t>
      </w:r>
    </w:p>
    <w:p>
      <w:pPr>
        <w:spacing w:line="360" w:lineRule="auto"/>
        <w:ind w:firstLine="2975" w:firstLineChars="1417"/>
        <w:jc w:val="left"/>
        <w:rPr>
          <w:rFonts w:ascii="宋体" w:hAnsi="宋体"/>
          <w:szCs w:val="21"/>
        </w:rPr>
      </w:pPr>
      <w:r>
        <w:rPr>
          <w:rFonts w:ascii="宋体" w:hAnsi="宋体"/>
          <w:szCs w:val="21"/>
        </w:rPr>
        <w:t>委托代理人：（签字</w:t>
      </w:r>
      <w:r>
        <w:rPr>
          <w:rFonts w:hint="eastAsia" w:ascii="宋体" w:hAnsi="宋体"/>
          <w:szCs w:val="21"/>
        </w:rPr>
        <w:t>或盖章</w:t>
      </w:r>
      <w:r>
        <w:rPr>
          <w:rFonts w:ascii="宋体" w:hAnsi="宋体"/>
          <w:szCs w:val="21"/>
        </w:rPr>
        <w:t>）</w:t>
      </w:r>
    </w:p>
    <w:p>
      <w:pPr>
        <w:spacing w:line="360" w:lineRule="auto"/>
        <w:ind w:firstLine="2975" w:firstLineChars="1417"/>
        <w:rPr>
          <w:rFonts w:ascii="宋体" w:hAnsi="宋体"/>
          <w:szCs w:val="21"/>
        </w:rPr>
      </w:pPr>
      <w:r>
        <w:rPr>
          <w:rFonts w:ascii="宋体" w:hAnsi="宋体"/>
          <w:szCs w:val="21"/>
        </w:rPr>
        <w:t>身份证号码：</w:t>
      </w:r>
    </w:p>
    <w:p>
      <w:pPr>
        <w:spacing w:line="360" w:lineRule="auto"/>
        <w:ind w:firstLine="2975" w:firstLineChars="1417"/>
        <w:jc w:val="left"/>
        <w:rPr>
          <w:rFonts w:ascii="宋体" w:hAnsi="宋体"/>
          <w:szCs w:val="21"/>
        </w:rPr>
      </w:pPr>
      <w:r>
        <w:rPr>
          <w:rFonts w:hint="eastAsia" w:ascii="宋体" w:hAnsi="宋体"/>
          <w:szCs w:val="21"/>
        </w:rPr>
        <w:t xml:space="preserve">日期：   </w:t>
      </w:r>
      <w:r>
        <w:rPr>
          <w:rFonts w:ascii="宋体" w:hAnsi="宋体"/>
          <w:szCs w:val="21"/>
        </w:rPr>
        <w:t>年月日</w:t>
      </w:r>
    </w:p>
    <w:p>
      <w:pPr>
        <w:ind w:firstLine="420"/>
        <w:rPr>
          <w:rFonts w:ascii="宋体" w:hAnsi="宋体"/>
          <w:szCs w:val="21"/>
        </w:rPr>
      </w:pPr>
    </w:p>
    <w:tbl>
      <w:tblPr>
        <w:tblStyle w:val="2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5" w:hRule="atLeast"/>
        </w:trPr>
        <w:tc>
          <w:tcPr>
            <w:tcW w:w="8364" w:type="dxa"/>
            <w:vAlign w:val="center"/>
          </w:tcPr>
          <w:p>
            <w:pPr>
              <w:ind w:firstLine="420"/>
              <w:jc w:val="center"/>
              <w:rPr>
                <w:rFonts w:ascii="宋体" w:hAnsi="宋体"/>
                <w:szCs w:val="21"/>
              </w:rPr>
            </w:pPr>
            <w:r>
              <w:rPr>
                <w:rFonts w:ascii="宋体" w:hAnsi="宋体"/>
                <w:szCs w:val="21"/>
              </w:rPr>
              <w:t>委托代理人身份证扫描件</w:t>
            </w:r>
          </w:p>
          <w:p>
            <w:pPr>
              <w:ind w:firstLine="420"/>
              <w:jc w:val="center"/>
              <w:rPr>
                <w:rFonts w:ascii="宋体" w:hAnsi="宋体"/>
                <w:szCs w:val="21"/>
              </w:rPr>
            </w:pPr>
            <w:r>
              <w:rPr>
                <w:rFonts w:ascii="宋体" w:hAnsi="宋体"/>
                <w:szCs w:val="21"/>
              </w:rPr>
              <w:t>（本证件需直接扫描（正、反面），不允许粘贴）</w:t>
            </w:r>
          </w:p>
          <w:p>
            <w:pPr>
              <w:pStyle w:val="2"/>
            </w:pPr>
          </w:p>
          <w:p/>
          <w:p>
            <w:pPr>
              <w:pStyle w:val="2"/>
            </w:pPr>
          </w:p>
          <w:p/>
          <w:p>
            <w:pPr>
              <w:pStyle w:val="2"/>
            </w:pPr>
          </w:p>
          <w:p/>
          <w:p>
            <w:pPr>
              <w:pStyle w:val="2"/>
            </w:pPr>
          </w:p>
          <w:p/>
          <w:p>
            <w:pPr>
              <w:pStyle w:val="2"/>
            </w:pPr>
          </w:p>
        </w:tc>
      </w:tr>
    </w:tbl>
    <w:p>
      <w:pPr>
        <w:spacing w:line="440" w:lineRule="exact"/>
        <w:rPr>
          <w:szCs w:val="21"/>
        </w:rPr>
      </w:pPr>
    </w:p>
    <w:p/>
    <w:p/>
    <w:p/>
    <w:p>
      <w:pPr>
        <w:pStyle w:val="2"/>
      </w:pPr>
      <w:bookmarkStart w:id="1400" w:name="_Toc3967"/>
      <w:bookmarkStart w:id="1401" w:name="_Toc19938"/>
      <w:bookmarkStart w:id="1402" w:name="_Toc496098812"/>
      <w:r>
        <w:rPr>
          <w:rFonts w:hint="eastAsia"/>
        </w:rPr>
        <w:t>三、投标保证金</w:t>
      </w:r>
      <w:bookmarkEnd w:id="1400"/>
      <w:bookmarkEnd w:id="1401"/>
      <w:bookmarkEnd w:id="1402"/>
    </w:p>
    <w:p>
      <w:pPr>
        <w:numPr>
          <w:ilvl w:val="0"/>
          <w:numId w:val="2"/>
        </w:numPr>
        <w:spacing w:before="120" w:after="120"/>
        <w:ind w:firstLine="420"/>
        <w:rPr>
          <w:sz w:val="24"/>
          <w:szCs w:val="21"/>
        </w:rPr>
      </w:pPr>
      <w:r>
        <w:rPr>
          <w:rFonts w:hint="eastAsia"/>
          <w:sz w:val="24"/>
          <w:szCs w:val="21"/>
        </w:rPr>
        <w:t>投标保证金转账凭证</w:t>
      </w:r>
    </w:p>
    <w:p>
      <w:pPr>
        <w:ind w:firstLine="420"/>
        <w:rPr>
          <w:sz w:val="24"/>
          <w:szCs w:val="21"/>
        </w:rPr>
      </w:pPr>
    </w:p>
    <w:p>
      <w:pPr>
        <w:ind w:firstLine="420"/>
        <w:rPr>
          <w:sz w:val="24"/>
          <w:szCs w:val="21"/>
        </w:rPr>
      </w:pPr>
    </w:p>
    <w:p>
      <w:pPr>
        <w:ind w:firstLine="420"/>
        <w:rPr>
          <w:sz w:val="24"/>
          <w:szCs w:val="21"/>
        </w:rPr>
      </w:pPr>
    </w:p>
    <w:p>
      <w:pPr>
        <w:ind w:firstLine="420"/>
        <w:rPr>
          <w:sz w:val="24"/>
          <w:szCs w:val="21"/>
        </w:rPr>
      </w:pPr>
    </w:p>
    <w:p>
      <w:pPr>
        <w:ind w:firstLine="420"/>
        <w:rPr>
          <w:sz w:val="24"/>
          <w:szCs w:val="21"/>
        </w:rPr>
      </w:pPr>
    </w:p>
    <w:p>
      <w:pPr>
        <w:ind w:firstLine="420"/>
        <w:rPr>
          <w:sz w:val="24"/>
          <w:szCs w:val="21"/>
        </w:rPr>
      </w:pPr>
    </w:p>
    <w:p>
      <w:pPr>
        <w:numPr>
          <w:ilvl w:val="0"/>
          <w:numId w:val="2"/>
        </w:numPr>
        <w:spacing w:before="120" w:after="120"/>
        <w:ind w:firstLine="420"/>
        <w:rPr>
          <w:sz w:val="24"/>
          <w:szCs w:val="21"/>
        </w:rPr>
      </w:pPr>
      <w:r>
        <w:rPr>
          <w:rFonts w:hint="eastAsia"/>
          <w:sz w:val="24"/>
          <w:szCs w:val="21"/>
        </w:rPr>
        <w:t>投标人基本账户银行开户许可证扫描件</w:t>
      </w:r>
    </w:p>
    <w:p>
      <w:pPr>
        <w:spacing w:line="440" w:lineRule="exact"/>
        <w:ind w:firstLine="420"/>
        <w:jc w:val="left"/>
        <w:rPr>
          <w:rFonts w:ascii="宋体" w:hAnsi="宋体"/>
          <w:sz w:val="24"/>
          <w:szCs w:val="21"/>
        </w:rPr>
      </w:pPr>
      <w:r>
        <w:rPr>
          <w:rFonts w:hint="eastAsia" w:ascii="宋体" w:hAnsi="宋体"/>
          <w:sz w:val="24"/>
          <w:szCs w:val="21"/>
        </w:rPr>
        <w:t>基本账户账号：</w:t>
      </w:r>
    </w:p>
    <w:p>
      <w:pPr>
        <w:spacing w:line="440" w:lineRule="exact"/>
        <w:ind w:firstLine="420"/>
        <w:jc w:val="left"/>
        <w:rPr>
          <w:rFonts w:ascii="宋体" w:hAnsi="宋体"/>
          <w:sz w:val="24"/>
          <w:szCs w:val="21"/>
        </w:rPr>
      </w:pPr>
      <w:r>
        <w:rPr>
          <w:rFonts w:hint="eastAsia" w:ascii="宋体" w:hAnsi="宋体"/>
          <w:sz w:val="24"/>
          <w:szCs w:val="21"/>
        </w:rPr>
        <w:t>开户银行：</w:t>
      </w:r>
      <w:bookmarkStart w:id="1403" w:name="_Toc496098813"/>
      <w:bookmarkStart w:id="1404" w:name="_Toc3413"/>
      <w:bookmarkStart w:id="1405" w:name="_Toc273359052"/>
      <w:bookmarkStart w:id="1406" w:name="_Toc281225380"/>
      <w:bookmarkStart w:id="1407" w:name="_Toc226780950"/>
      <w:bookmarkStart w:id="1408" w:name="_Toc269324880"/>
      <w:bookmarkStart w:id="1409" w:name="_Toc266393424"/>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pStyle w:val="2"/>
      </w:pPr>
      <w:bookmarkStart w:id="1410" w:name="_Toc29619"/>
      <w:r>
        <w:rPr>
          <w:rFonts w:hint="eastAsia"/>
          <w:sz w:val="21"/>
          <w:szCs w:val="21"/>
        </w:rPr>
        <w:t>四</w:t>
      </w:r>
      <w:r>
        <w:rPr>
          <w:rFonts w:hint="eastAsia"/>
        </w:rPr>
        <w:t>、项目管理机构</w:t>
      </w:r>
      <w:bookmarkEnd w:id="1403"/>
      <w:bookmarkEnd w:id="1404"/>
      <w:bookmarkEnd w:id="1410"/>
    </w:p>
    <w:p>
      <w:pPr>
        <w:pStyle w:val="4"/>
        <w:rPr>
          <w:rFonts w:hAnsi="Times New Roman"/>
        </w:rPr>
      </w:pPr>
      <w:bookmarkStart w:id="1411" w:name="_Toc499311246"/>
      <w:bookmarkStart w:id="1412" w:name="_Toc152045804"/>
      <w:bookmarkStart w:id="1413" w:name="_Toc297800229"/>
      <w:bookmarkStart w:id="1414" w:name="_Toc12997"/>
      <w:bookmarkStart w:id="1415" w:name="_Toc16140"/>
      <w:bookmarkStart w:id="1416" w:name="_Toc496098814"/>
      <w:bookmarkStart w:id="1417" w:name="_Toc152042593"/>
      <w:bookmarkStart w:id="1418" w:name="_Toc290475713"/>
      <w:bookmarkStart w:id="1419" w:name="_Toc144974872"/>
      <w:bookmarkStart w:id="1420" w:name="_Toc499205031"/>
      <w:bookmarkStart w:id="1421" w:name="_Toc2831"/>
      <w:r>
        <w:rPr>
          <w:rFonts w:hint="eastAsia" w:hAnsi="Times New Roman"/>
        </w:rPr>
        <w:t>4</w:t>
      </w:r>
      <w:r>
        <w:rPr>
          <w:rFonts w:hAnsi="Times New Roman"/>
        </w:rPr>
        <w:t xml:space="preserve">.1 </w:t>
      </w:r>
      <w:r>
        <w:t>项目管理机构组成表</w:t>
      </w:r>
      <w:bookmarkEnd w:id="1411"/>
      <w:bookmarkEnd w:id="1412"/>
      <w:bookmarkEnd w:id="1413"/>
      <w:bookmarkEnd w:id="1414"/>
      <w:bookmarkEnd w:id="1415"/>
      <w:bookmarkEnd w:id="1416"/>
      <w:bookmarkEnd w:id="1417"/>
      <w:bookmarkEnd w:id="1418"/>
      <w:bookmarkEnd w:id="1419"/>
      <w:bookmarkEnd w:id="1420"/>
      <w:bookmarkEnd w:id="1421"/>
    </w:p>
    <w:p>
      <w:pPr>
        <w:jc w:val="center"/>
        <w:rPr>
          <w:b/>
          <w:sz w:val="24"/>
        </w:rPr>
      </w:pPr>
      <w:r>
        <w:rPr>
          <w:rFonts w:ascii="宋体" w:hAnsi="宋体"/>
          <w:b/>
          <w:sz w:val="24"/>
        </w:rPr>
        <w:t>项目管理机构组成表</w:t>
      </w:r>
    </w:p>
    <w:tbl>
      <w:tblPr>
        <w:tblStyle w:val="28"/>
        <w:tblW w:w="881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276"/>
        <w:gridCol w:w="709"/>
        <w:gridCol w:w="1134"/>
        <w:gridCol w:w="709"/>
        <w:gridCol w:w="850"/>
        <w:gridCol w:w="709"/>
        <w:gridCol w:w="850"/>
        <w:gridCol w:w="1134"/>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8" w:type="dxa"/>
            <w:vMerge w:val="restart"/>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276" w:type="dxa"/>
            <w:vMerge w:val="restart"/>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拟在本项目承担的职务</w:t>
            </w:r>
          </w:p>
        </w:tc>
        <w:tc>
          <w:tcPr>
            <w:tcW w:w="709" w:type="dxa"/>
            <w:vMerge w:val="restart"/>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职称</w:t>
            </w:r>
          </w:p>
        </w:tc>
        <w:tc>
          <w:tcPr>
            <w:tcW w:w="3402" w:type="dxa"/>
            <w:gridSpan w:val="4"/>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执业或职业资格证明</w:t>
            </w:r>
          </w:p>
        </w:tc>
        <w:tc>
          <w:tcPr>
            <w:tcW w:w="850" w:type="dxa"/>
            <w:vMerge w:val="restart"/>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服务</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阶段</w:t>
            </w:r>
          </w:p>
        </w:tc>
        <w:tc>
          <w:tcPr>
            <w:tcW w:w="1134" w:type="dxa"/>
            <w:vMerge w:val="restart"/>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服务阶段</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是否常驻</w:t>
            </w:r>
          </w:p>
        </w:tc>
        <w:tc>
          <w:tcPr>
            <w:tcW w:w="709" w:type="dxa"/>
            <w:vMerge w:val="restart"/>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jc w:val="center"/>
        </w:trPr>
        <w:tc>
          <w:tcPr>
            <w:tcW w:w="738" w:type="dxa"/>
            <w:vMerge w:val="continue"/>
            <w:vAlign w:val="center"/>
          </w:tcPr>
          <w:p>
            <w:pPr>
              <w:rPr>
                <w:rFonts w:asciiTheme="minorEastAsia" w:hAnsiTheme="minorEastAsia" w:eastAsiaTheme="minorEastAsia"/>
                <w:szCs w:val="21"/>
              </w:rPr>
            </w:pPr>
          </w:p>
        </w:tc>
        <w:tc>
          <w:tcPr>
            <w:tcW w:w="1276" w:type="dxa"/>
            <w:vMerge w:val="continue"/>
            <w:vAlign w:val="center"/>
          </w:tcPr>
          <w:p>
            <w:pPr>
              <w:rPr>
                <w:rFonts w:asciiTheme="minorEastAsia" w:hAnsiTheme="minorEastAsia" w:eastAsiaTheme="minorEastAsia"/>
                <w:szCs w:val="21"/>
              </w:rPr>
            </w:pPr>
          </w:p>
        </w:tc>
        <w:tc>
          <w:tcPr>
            <w:tcW w:w="709" w:type="dxa"/>
            <w:vMerge w:val="continue"/>
            <w:vAlign w:val="center"/>
          </w:tcPr>
          <w:p>
            <w:pPr>
              <w:rPr>
                <w:rFonts w:asciiTheme="minorEastAsia" w:hAnsiTheme="minorEastAsia" w:eastAsiaTheme="minorEastAsia"/>
                <w:szCs w:val="21"/>
              </w:rPr>
            </w:pPr>
          </w:p>
        </w:tc>
        <w:tc>
          <w:tcPr>
            <w:tcW w:w="113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证书名称</w:t>
            </w:r>
          </w:p>
        </w:tc>
        <w:tc>
          <w:tcPr>
            <w:tcW w:w="709"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级别</w:t>
            </w:r>
          </w:p>
        </w:tc>
        <w:tc>
          <w:tcPr>
            <w:tcW w:w="850"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证号</w:t>
            </w:r>
          </w:p>
        </w:tc>
        <w:tc>
          <w:tcPr>
            <w:tcW w:w="709"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专业</w:t>
            </w:r>
          </w:p>
        </w:tc>
        <w:tc>
          <w:tcPr>
            <w:tcW w:w="850" w:type="dxa"/>
            <w:vMerge w:val="continue"/>
            <w:vAlign w:val="center"/>
          </w:tcPr>
          <w:p>
            <w:pPr>
              <w:rPr>
                <w:rFonts w:asciiTheme="minorEastAsia" w:hAnsiTheme="minorEastAsia" w:eastAsiaTheme="minorEastAsia"/>
                <w:szCs w:val="21"/>
              </w:rPr>
            </w:pPr>
          </w:p>
        </w:tc>
        <w:tc>
          <w:tcPr>
            <w:tcW w:w="1134" w:type="dxa"/>
            <w:vMerge w:val="continue"/>
          </w:tcPr>
          <w:p>
            <w:pPr>
              <w:rPr>
                <w:rFonts w:asciiTheme="minorEastAsia" w:hAnsiTheme="minorEastAsia" w:eastAsiaTheme="minorEastAsia"/>
                <w:szCs w:val="21"/>
              </w:rPr>
            </w:pPr>
          </w:p>
        </w:tc>
        <w:tc>
          <w:tcPr>
            <w:tcW w:w="709" w:type="dxa"/>
            <w:vMerge w:val="continue"/>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738" w:type="dxa"/>
            <w:vAlign w:val="center"/>
          </w:tcPr>
          <w:p>
            <w:pPr>
              <w:rPr>
                <w:rFonts w:asciiTheme="minorEastAsia" w:hAnsiTheme="minorEastAsia" w:eastAsiaTheme="minorEastAsia"/>
                <w:szCs w:val="21"/>
              </w:rPr>
            </w:pPr>
          </w:p>
        </w:tc>
        <w:tc>
          <w:tcPr>
            <w:tcW w:w="1276"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1134"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1134" w:type="dxa"/>
          </w:tcPr>
          <w:p>
            <w:pPr>
              <w:rPr>
                <w:rFonts w:asciiTheme="minorEastAsia" w:hAnsiTheme="minorEastAsia" w:eastAsiaTheme="minorEastAsia"/>
                <w:szCs w:val="21"/>
              </w:rPr>
            </w:pPr>
          </w:p>
        </w:tc>
        <w:tc>
          <w:tcPr>
            <w:tcW w:w="709" w:type="dxa"/>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738" w:type="dxa"/>
            <w:vAlign w:val="center"/>
          </w:tcPr>
          <w:p>
            <w:pPr>
              <w:rPr>
                <w:rFonts w:asciiTheme="minorEastAsia" w:hAnsiTheme="minorEastAsia" w:eastAsiaTheme="minorEastAsia"/>
                <w:szCs w:val="21"/>
              </w:rPr>
            </w:pPr>
          </w:p>
        </w:tc>
        <w:tc>
          <w:tcPr>
            <w:tcW w:w="1276"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1134"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1134" w:type="dxa"/>
          </w:tcPr>
          <w:p>
            <w:pPr>
              <w:rPr>
                <w:rFonts w:asciiTheme="minorEastAsia" w:hAnsiTheme="minorEastAsia" w:eastAsiaTheme="minorEastAsia"/>
                <w:szCs w:val="21"/>
              </w:rPr>
            </w:pPr>
          </w:p>
        </w:tc>
        <w:tc>
          <w:tcPr>
            <w:tcW w:w="709" w:type="dxa"/>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738" w:type="dxa"/>
            <w:vAlign w:val="center"/>
          </w:tcPr>
          <w:p>
            <w:pPr>
              <w:rPr>
                <w:rFonts w:asciiTheme="minorEastAsia" w:hAnsiTheme="minorEastAsia" w:eastAsiaTheme="minorEastAsia"/>
                <w:szCs w:val="21"/>
              </w:rPr>
            </w:pPr>
          </w:p>
        </w:tc>
        <w:tc>
          <w:tcPr>
            <w:tcW w:w="1276"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1134"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1134" w:type="dxa"/>
          </w:tcPr>
          <w:p>
            <w:pPr>
              <w:rPr>
                <w:rFonts w:asciiTheme="minorEastAsia" w:hAnsiTheme="minorEastAsia" w:eastAsiaTheme="minorEastAsia"/>
                <w:szCs w:val="21"/>
              </w:rPr>
            </w:pPr>
          </w:p>
        </w:tc>
        <w:tc>
          <w:tcPr>
            <w:tcW w:w="709" w:type="dxa"/>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738" w:type="dxa"/>
            <w:vAlign w:val="center"/>
          </w:tcPr>
          <w:p>
            <w:pPr>
              <w:rPr>
                <w:rFonts w:asciiTheme="minorEastAsia" w:hAnsiTheme="minorEastAsia" w:eastAsiaTheme="minorEastAsia"/>
                <w:szCs w:val="21"/>
              </w:rPr>
            </w:pPr>
          </w:p>
        </w:tc>
        <w:tc>
          <w:tcPr>
            <w:tcW w:w="1276"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1134"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1134" w:type="dxa"/>
          </w:tcPr>
          <w:p>
            <w:pPr>
              <w:rPr>
                <w:rFonts w:asciiTheme="minorEastAsia" w:hAnsiTheme="minorEastAsia" w:eastAsiaTheme="minorEastAsia"/>
                <w:szCs w:val="21"/>
              </w:rPr>
            </w:pPr>
          </w:p>
        </w:tc>
        <w:tc>
          <w:tcPr>
            <w:tcW w:w="709" w:type="dxa"/>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738" w:type="dxa"/>
            <w:vAlign w:val="center"/>
          </w:tcPr>
          <w:p>
            <w:pPr>
              <w:rPr>
                <w:rFonts w:asciiTheme="minorEastAsia" w:hAnsiTheme="minorEastAsia" w:eastAsiaTheme="minorEastAsia"/>
                <w:szCs w:val="21"/>
              </w:rPr>
            </w:pPr>
          </w:p>
        </w:tc>
        <w:tc>
          <w:tcPr>
            <w:tcW w:w="1276"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1134"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1134" w:type="dxa"/>
          </w:tcPr>
          <w:p>
            <w:pPr>
              <w:rPr>
                <w:rFonts w:asciiTheme="minorEastAsia" w:hAnsiTheme="minorEastAsia" w:eastAsiaTheme="minorEastAsia"/>
                <w:szCs w:val="21"/>
              </w:rPr>
            </w:pPr>
          </w:p>
        </w:tc>
        <w:tc>
          <w:tcPr>
            <w:tcW w:w="709" w:type="dxa"/>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738" w:type="dxa"/>
            <w:vAlign w:val="center"/>
          </w:tcPr>
          <w:p>
            <w:pPr>
              <w:rPr>
                <w:rFonts w:asciiTheme="minorEastAsia" w:hAnsiTheme="minorEastAsia" w:eastAsiaTheme="minorEastAsia"/>
                <w:szCs w:val="21"/>
              </w:rPr>
            </w:pPr>
          </w:p>
        </w:tc>
        <w:tc>
          <w:tcPr>
            <w:tcW w:w="1276"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1134"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1134" w:type="dxa"/>
          </w:tcPr>
          <w:p>
            <w:pPr>
              <w:rPr>
                <w:rFonts w:asciiTheme="minorEastAsia" w:hAnsiTheme="minorEastAsia" w:eastAsiaTheme="minorEastAsia"/>
                <w:szCs w:val="21"/>
              </w:rPr>
            </w:pPr>
          </w:p>
        </w:tc>
        <w:tc>
          <w:tcPr>
            <w:tcW w:w="709" w:type="dxa"/>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738" w:type="dxa"/>
            <w:vAlign w:val="center"/>
          </w:tcPr>
          <w:p>
            <w:pPr>
              <w:rPr>
                <w:rFonts w:asciiTheme="minorEastAsia" w:hAnsiTheme="minorEastAsia" w:eastAsiaTheme="minorEastAsia"/>
                <w:szCs w:val="21"/>
              </w:rPr>
            </w:pPr>
          </w:p>
        </w:tc>
        <w:tc>
          <w:tcPr>
            <w:tcW w:w="1276"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1134"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1134" w:type="dxa"/>
          </w:tcPr>
          <w:p>
            <w:pPr>
              <w:rPr>
                <w:rFonts w:asciiTheme="minorEastAsia" w:hAnsiTheme="minorEastAsia" w:eastAsiaTheme="minorEastAsia"/>
                <w:szCs w:val="21"/>
              </w:rPr>
            </w:pPr>
          </w:p>
        </w:tc>
        <w:tc>
          <w:tcPr>
            <w:tcW w:w="709" w:type="dxa"/>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738" w:type="dxa"/>
            <w:vAlign w:val="center"/>
          </w:tcPr>
          <w:p>
            <w:pPr>
              <w:rPr>
                <w:rFonts w:asciiTheme="minorEastAsia" w:hAnsiTheme="minorEastAsia" w:eastAsiaTheme="minorEastAsia"/>
                <w:szCs w:val="21"/>
              </w:rPr>
            </w:pPr>
          </w:p>
        </w:tc>
        <w:tc>
          <w:tcPr>
            <w:tcW w:w="1276"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1134"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1134" w:type="dxa"/>
          </w:tcPr>
          <w:p>
            <w:pPr>
              <w:rPr>
                <w:rFonts w:asciiTheme="minorEastAsia" w:hAnsiTheme="minorEastAsia" w:eastAsiaTheme="minorEastAsia"/>
                <w:szCs w:val="21"/>
              </w:rPr>
            </w:pPr>
          </w:p>
        </w:tc>
        <w:tc>
          <w:tcPr>
            <w:tcW w:w="709" w:type="dxa"/>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738" w:type="dxa"/>
            <w:vAlign w:val="center"/>
          </w:tcPr>
          <w:p>
            <w:pPr>
              <w:rPr>
                <w:rFonts w:asciiTheme="minorEastAsia" w:hAnsiTheme="minorEastAsia" w:eastAsiaTheme="minorEastAsia"/>
                <w:szCs w:val="21"/>
              </w:rPr>
            </w:pPr>
          </w:p>
        </w:tc>
        <w:tc>
          <w:tcPr>
            <w:tcW w:w="1276"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1134"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1134" w:type="dxa"/>
          </w:tcPr>
          <w:p>
            <w:pPr>
              <w:rPr>
                <w:rFonts w:asciiTheme="minorEastAsia" w:hAnsiTheme="minorEastAsia" w:eastAsiaTheme="minorEastAsia"/>
                <w:szCs w:val="21"/>
              </w:rPr>
            </w:pPr>
          </w:p>
        </w:tc>
        <w:tc>
          <w:tcPr>
            <w:tcW w:w="709" w:type="dxa"/>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738" w:type="dxa"/>
            <w:vAlign w:val="center"/>
          </w:tcPr>
          <w:p>
            <w:pPr>
              <w:rPr>
                <w:rFonts w:asciiTheme="minorEastAsia" w:hAnsiTheme="minorEastAsia" w:eastAsiaTheme="minorEastAsia"/>
                <w:szCs w:val="21"/>
              </w:rPr>
            </w:pPr>
          </w:p>
        </w:tc>
        <w:tc>
          <w:tcPr>
            <w:tcW w:w="1276"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1134"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1134" w:type="dxa"/>
          </w:tcPr>
          <w:p>
            <w:pPr>
              <w:rPr>
                <w:rFonts w:asciiTheme="minorEastAsia" w:hAnsiTheme="minorEastAsia" w:eastAsiaTheme="minorEastAsia"/>
                <w:szCs w:val="21"/>
              </w:rPr>
            </w:pPr>
          </w:p>
        </w:tc>
        <w:tc>
          <w:tcPr>
            <w:tcW w:w="709" w:type="dxa"/>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738" w:type="dxa"/>
            <w:vAlign w:val="center"/>
          </w:tcPr>
          <w:p>
            <w:pPr>
              <w:rPr>
                <w:rFonts w:asciiTheme="minorEastAsia" w:hAnsiTheme="minorEastAsia" w:eastAsiaTheme="minorEastAsia"/>
                <w:szCs w:val="21"/>
              </w:rPr>
            </w:pPr>
          </w:p>
        </w:tc>
        <w:tc>
          <w:tcPr>
            <w:tcW w:w="1276"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1134"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1134" w:type="dxa"/>
          </w:tcPr>
          <w:p>
            <w:pPr>
              <w:rPr>
                <w:rFonts w:asciiTheme="minorEastAsia" w:hAnsiTheme="minorEastAsia" w:eastAsiaTheme="minorEastAsia"/>
                <w:szCs w:val="21"/>
              </w:rPr>
            </w:pPr>
          </w:p>
        </w:tc>
        <w:tc>
          <w:tcPr>
            <w:tcW w:w="709" w:type="dxa"/>
          </w:tcPr>
          <w:p>
            <w:pPr>
              <w:rPr>
                <w:rFonts w:asciiTheme="minorEastAsia" w:hAnsiTheme="minorEastAsia" w:eastAsiaTheme="minorEastAsia"/>
                <w:szCs w:val="21"/>
              </w:rPr>
            </w:pPr>
          </w:p>
        </w:tc>
      </w:tr>
    </w:tbl>
    <w:p>
      <w:pPr>
        <w:spacing w:line="400" w:lineRule="exact"/>
        <w:rPr>
          <w:szCs w:val="21"/>
        </w:rPr>
      </w:pPr>
      <w:r>
        <w:rPr>
          <w:rFonts w:hint="eastAsia"/>
          <w:szCs w:val="21"/>
        </w:rPr>
        <w:t>注：</w:t>
      </w:r>
      <w:bookmarkStart w:id="1422" w:name="_Toc266202196"/>
      <w:r>
        <w:rPr>
          <w:rFonts w:hint="eastAsia"/>
          <w:szCs w:val="21"/>
        </w:rPr>
        <w:t>1.投标人根据本招标文件第三章评标办法附表2《拟投入监理人员配置一览表》中要求</w:t>
      </w:r>
      <w:r>
        <w:rPr>
          <w:szCs w:val="21"/>
        </w:rPr>
        <w:t>填写拟投入的</w:t>
      </w:r>
      <w:r>
        <w:rPr>
          <w:rFonts w:hint="eastAsia"/>
          <w:szCs w:val="21"/>
        </w:rPr>
        <w:t>总监理工程师、总监理工程师代表等专业监理工程师及人员。</w:t>
      </w:r>
    </w:p>
    <w:bookmarkEnd w:id="1422"/>
    <w:p>
      <w:pPr>
        <w:ind w:firstLine="420" w:firstLineChars="200"/>
        <w:jc w:val="left"/>
        <w:rPr>
          <w:szCs w:val="21"/>
        </w:rPr>
      </w:pPr>
      <w:r>
        <w:rPr>
          <w:szCs w:val="21"/>
        </w:rPr>
        <w:t>2</w:t>
      </w:r>
      <w:r>
        <w:rPr>
          <w:rFonts w:hint="eastAsia"/>
          <w:szCs w:val="21"/>
        </w:rPr>
        <w:t>.</w:t>
      </w:r>
      <w:r>
        <w:rPr>
          <w:szCs w:val="21"/>
        </w:rPr>
        <w:t>本页不够请续表</w:t>
      </w:r>
      <w:r>
        <w:rPr>
          <w:rFonts w:hint="eastAsia"/>
          <w:szCs w:val="21"/>
        </w:rPr>
        <w:t>。</w:t>
      </w:r>
    </w:p>
    <w:p>
      <w:pPr>
        <w:jc w:val="left"/>
        <w:rPr>
          <w:szCs w:val="21"/>
        </w:rPr>
      </w:pPr>
    </w:p>
    <w:p>
      <w:pPr>
        <w:jc w:val="left"/>
        <w:rPr>
          <w:szCs w:val="21"/>
        </w:rPr>
      </w:pPr>
    </w:p>
    <w:p>
      <w:pPr>
        <w:spacing w:line="400" w:lineRule="exact"/>
        <w:ind w:firstLine="3684" w:firstLineChars="1535"/>
        <w:rPr>
          <w:sz w:val="24"/>
          <w:szCs w:val="21"/>
        </w:rPr>
      </w:pPr>
      <w:r>
        <w:rPr>
          <w:rFonts w:hint="eastAsia"/>
          <w:sz w:val="24"/>
          <w:szCs w:val="21"/>
        </w:rPr>
        <w:t>投标人：（盖单位公章）</w:t>
      </w:r>
    </w:p>
    <w:p>
      <w:pPr>
        <w:spacing w:line="400" w:lineRule="exact"/>
        <w:ind w:firstLine="3684" w:firstLineChars="1535"/>
      </w:pPr>
      <w:r>
        <w:rPr>
          <w:rFonts w:hint="eastAsia"/>
          <w:sz w:val="24"/>
          <w:szCs w:val="21"/>
        </w:rPr>
        <w:t>法定代表人或其委托代理人：（签字）</w:t>
      </w:r>
    </w:p>
    <w:p>
      <w:pPr>
        <w:spacing w:line="400" w:lineRule="exact"/>
        <w:ind w:firstLine="3684" w:firstLineChars="1535"/>
        <w:jc w:val="left"/>
        <w:rPr>
          <w:sz w:val="24"/>
          <w:szCs w:val="21"/>
        </w:rPr>
      </w:pPr>
      <w:r>
        <w:rPr>
          <w:rFonts w:hint="eastAsia"/>
          <w:sz w:val="24"/>
          <w:szCs w:val="21"/>
        </w:rPr>
        <w:t>日期：  年  月  日</w:t>
      </w:r>
    </w:p>
    <w:p>
      <w:pPr>
        <w:ind w:right="68" w:firstLine="3968" w:firstLineChars="1890"/>
        <w:jc w:val="left"/>
        <w:rPr>
          <w:szCs w:val="21"/>
        </w:rPr>
      </w:pPr>
      <w:bookmarkStart w:id="1423" w:name="_Toc16636"/>
      <w:bookmarkStart w:id="1424" w:name="_Toc496098815"/>
      <w:bookmarkStart w:id="1425" w:name="_Toc297800230"/>
    </w:p>
    <w:p>
      <w:pPr>
        <w:ind w:right="68" w:firstLine="3968" w:firstLineChars="1890"/>
        <w:jc w:val="left"/>
        <w:rPr>
          <w:szCs w:val="21"/>
        </w:rPr>
      </w:pPr>
    </w:p>
    <w:p>
      <w:pPr>
        <w:ind w:right="68" w:firstLine="3968" w:firstLineChars="1890"/>
        <w:jc w:val="left"/>
        <w:rPr>
          <w:szCs w:val="21"/>
        </w:rPr>
      </w:pPr>
    </w:p>
    <w:p>
      <w:pPr>
        <w:ind w:right="68" w:firstLine="3968" w:firstLineChars="1890"/>
        <w:jc w:val="left"/>
        <w:rPr>
          <w:szCs w:val="21"/>
        </w:rPr>
      </w:pPr>
    </w:p>
    <w:p>
      <w:pPr>
        <w:ind w:right="68" w:firstLine="3968" w:firstLineChars="1890"/>
        <w:jc w:val="left"/>
        <w:rPr>
          <w:szCs w:val="21"/>
        </w:rPr>
      </w:pPr>
    </w:p>
    <w:p>
      <w:pPr>
        <w:ind w:right="68" w:firstLine="3968" w:firstLineChars="1890"/>
        <w:jc w:val="left"/>
        <w:rPr>
          <w:szCs w:val="21"/>
        </w:rPr>
      </w:pPr>
    </w:p>
    <w:p>
      <w:pPr>
        <w:ind w:right="68" w:firstLine="3968" w:firstLineChars="1890"/>
        <w:jc w:val="left"/>
        <w:rPr>
          <w:szCs w:val="21"/>
        </w:rPr>
      </w:pPr>
    </w:p>
    <w:p>
      <w:pPr>
        <w:pStyle w:val="4"/>
      </w:pPr>
      <w:bookmarkStart w:id="1426" w:name="_Toc499311247"/>
      <w:bookmarkStart w:id="1427" w:name="_Toc499205032"/>
      <w:bookmarkStart w:id="1428" w:name="_Toc12979"/>
      <w:bookmarkStart w:id="1429" w:name="_Toc19757"/>
      <w:r>
        <w:rPr>
          <w:rFonts w:hint="eastAsia"/>
        </w:rPr>
        <w:t>4.2 拟投入人员简历表</w:t>
      </w:r>
      <w:bookmarkEnd w:id="1423"/>
      <w:bookmarkEnd w:id="1424"/>
      <w:bookmarkEnd w:id="1425"/>
      <w:bookmarkEnd w:id="1426"/>
      <w:bookmarkEnd w:id="1427"/>
      <w:bookmarkEnd w:id="1428"/>
      <w:bookmarkEnd w:id="1429"/>
    </w:p>
    <w:p>
      <w:pPr>
        <w:jc w:val="center"/>
        <w:rPr>
          <w:b/>
          <w:sz w:val="24"/>
        </w:rPr>
      </w:pPr>
      <w:r>
        <w:rPr>
          <w:rFonts w:hint="eastAsia" w:ascii="宋体" w:hAnsi="宋体"/>
          <w:b/>
          <w:sz w:val="24"/>
        </w:rPr>
        <w:t>拟投入人员简历表</w:t>
      </w:r>
    </w:p>
    <w:p>
      <w:pPr>
        <w:adjustRightInd w:val="0"/>
        <w:snapToGrid w:val="0"/>
        <w:ind w:firstLine="201"/>
        <w:jc w:val="center"/>
        <w:rPr>
          <w:rFonts w:ascii="宋体" w:hAnsi="宋体"/>
          <w:b/>
          <w:sz w:val="10"/>
          <w:szCs w:val="10"/>
        </w:rPr>
      </w:pPr>
    </w:p>
    <w:tbl>
      <w:tblPr>
        <w:tblStyle w:val="28"/>
        <w:tblW w:w="832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73"/>
        <w:gridCol w:w="1146"/>
        <w:gridCol w:w="1037"/>
        <w:gridCol w:w="827"/>
        <w:gridCol w:w="667"/>
        <w:gridCol w:w="966"/>
        <w:gridCol w:w="18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jc w:val="center"/>
        </w:trPr>
        <w:tc>
          <w:tcPr>
            <w:tcW w:w="1873" w:type="dxa"/>
            <w:vAlign w:val="center"/>
          </w:tcPr>
          <w:p>
            <w:pPr>
              <w:rPr>
                <w:szCs w:val="21"/>
              </w:rPr>
            </w:pPr>
            <w:r>
              <w:rPr>
                <w:rFonts w:hint="eastAsia"/>
                <w:szCs w:val="21"/>
              </w:rPr>
              <w:t>姓名</w:t>
            </w:r>
          </w:p>
        </w:tc>
        <w:tc>
          <w:tcPr>
            <w:tcW w:w="1146" w:type="dxa"/>
            <w:vAlign w:val="center"/>
          </w:tcPr>
          <w:p>
            <w:pPr>
              <w:rPr>
                <w:szCs w:val="21"/>
              </w:rPr>
            </w:pPr>
          </w:p>
        </w:tc>
        <w:tc>
          <w:tcPr>
            <w:tcW w:w="1037" w:type="dxa"/>
            <w:vAlign w:val="center"/>
          </w:tcPr>
          <w:p>
            <w:pPr>
              <w:rPr>
                <w:szCs w:val="21"/>
              </w:rPr>
            </w:pPr>
            <w:r>
              <w:rPr>
                <w:rFonts w:hint="eastAsia"/>
                <w:szCs w:val="21"/>
              </w:rPr>
              <w:t>性别</w:t>
            </w:r>
          </w:p>
        </w:tc>
        <w:tc>
          <w:tcPr>
            <w:tcW w:w="827" w:type="dxa"/>
            <w:vAlign w:val="center"/>
          </w:tcPr>
          <w:p>
            <w:pPr>
              <w:rPr>
                <w:szCs w:val="21"/>
              </w:rPr>
            </w:pPr>
          </w:p>
        </w:tc>
        <w:tc>
          <w:tcPr>
            <w:tcW w:w="1633" w:type="dxa"/>
            <w:gridSpan w:val="2"/>
            <w:vAlign w:val="center"/>
          </w:tcPr>
          <w:p>
            <w:pPr>
              <w:rPr>
                <w:szCs w:val="21"/>
              </w:rPr>
            </w:pPr>
            <w:r>
              <w:rPr>
                <w:rFonts w:hint="eastAsia"/>
                <w:szCs w:val="21"/>
              </w:rPr>
              <w:t>出生日期</w:t>
            </w:r>
          </w:p>
        </w:tc>
        <w:tc>
          <w:tcPr>
            <w:tcW w:w="1811" w:type="dxa"/>
            <w:vAlign w:val="center"/>
          </w:tcPr>
          <w:p>
            <w:pPr>
              <w:rPr>
                <w:szCs w:val="21"/>
              </w:rPr>
            </w:pPr>
            <w:r>
              <w:rPr>
                <w:rFonts w:hint="eastAsia"/>
                <w:szCs w:val="21"/>
              </w:rPr>
              <w:t>年月日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jc w:val="center"/>
        </w:trPr>
        <w:tc>
          <w:tcPr>
            <w:tcW w:w="1873" w:type="dxa"/>
            <w:vAlign w:val="center"/>
          </w:tcPr>
          <w:p>
            <w:pPr>
              <w:rPr>
                <w:szCs w:val="21"/>
              </w:rPr>
            </w:pPr>
            <w:r>
              <w:rPr>
                <w:rFonts w:hint="eastAsia"/>
                <w:szCs w:val="21"/>
              </w:rPr>
              <w:t>毕业院校专业</w:t>
            </w:r>
          </w:p>
        </w:tc>
        <w:tc>
          <w:tcPr>
            <w:tcW w:w="3010" w:type="dxa"/>
            <w:gridSpan w:val="3"/>
            <w:vAlign w:val="center"/>
          </w:tcPr>
          <w:p>
            <w:pPr>
              <w:rPr>
                <w:szCs w:val="21"/>
              </w:rPr>
            </w:pPr>
          </w:p>
        </w:tc>
        <w:tc>
          <w:tcPr>
            <w:tcW w:w="1633" w:type="dxa"/>
            <w:gridSpan w:val="2"/>
            <w:vAlign w:val="center"/>
          </w:tcPr>
          <w:p>
            <w:pPr>
              <w:rPr>
                <w:szCs w:val="21"/>
              </w:rPr>
            </w:pPr>
            <w:r>
              <w:rPr>
                <w:rFonts w:hint="eastAsia"/>
                <w:szCs w:val="21"/>
              </w:rPr>
              <w:t>毕业时间</w:t>
            </w:r>
          </w:p>
        </w:tc>
        <w:tc>
          <w:tcPr>
            <w:tcW w:w="1811" w:type="dxa"/>
            <w:vAlign w:val="center"/>
          </w:tcPr>
          <w:p>
            <w:pPr>
              <w:rPr>
                <w:szCs w:val="21"/>
              </w:rPr>
            </w:pPr>
            <w:r>
              <w:rPr>
                <w:rFonts w:hint="eastAsia"/>
                <w:szCs w:val="21"/>
              </w:rPr>
              <w:t>年月日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jc w:val="center"/>
        </w:trPr>
        <w:tc>
          <w:tcPr>
            <w:tcW w:w="1873" w:type="dxa"/>
            <w:vAlign w:val="center"/>
          </w:tcPr>
          <w:p>
            <w:pPr>
              <w:rPr>
                <w:szCs w:val="21"/>
              </w:rPr>
            </w:pPr>
            <w:r>
              <w:rPr>
                <w:rFonts w:hint="eastAsia"/>
                <w:szCs w:val="21"/>
              </w:rPr>
              <w:t>参加工作时间</w:t>
            </w:r>
          </w:p>
        </w:tc>
        <w:tc>
          <w:tcPr>
            <w:tcW w:w="2183" w:type="dxa"/>
            <w:gridSpan w:val="2"/>
            <w:vAlign w:val="center"/>
          </w:tcPr>
          <w:p>
            <w:pPr>
              <w:rPr>
                <w:szCs w:val="21"/>
              </w:rPr>
            </w:pPr>
          </w:p>
        </w:tc>
        <w:tc>
          <w:tcPr>
            <w:tcW w:w="2460" w:type="dxa"/>
            <w:gridSpan w:val="3"/>
            <w:vAlign w:val="center"/>
          </w:tcPr>
          <w:p>
            <w:pPr>
              <w:rPr>
                <w:szCs w:val="21"/>
              </w:rPr>
            </w:pPr>
            <w:r>
              <w:rPr>
                <w:rFonts w:hint="eastAsia"/>
                <w:szCs w:val="21"/>
              </w:rPr>
              <w:t>从事本专业年限</w:t>
            </w:r>
          </w:p>
        </w:tc>
        <w:tc>
          <w:tcPr>
            <w:tcW w:w="1811"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jc w:val="center"/>
        </w:trPr>
        <w:tc>
          <w:tcPr>
            <w:tcW w:w="1873" w:type="dxa"/>
            <w:vAlign w:val="center"/>
          </w:tcPr>
          <w:p>
            <w:pPr>
              <w:rPr>
                <w:szCs w:val="21"/>
              </w:rPr>
            </w:pPr>
            <w:r>
              <w:rPr>
                <w:rFonts w:hint="eastAsia"/>
                <w:szCs w:val="21"/>
              </w:rPr>
              <w:t>注册执业资格证</w:t>
            </w:r>
          </w:p>
          <w:p>
            <w:pPr>
              <w:rPr>
                <w:szCs w:val="21"/>
              </w:rPr>
            </w:pPr>
            <w:r>
              <w:rPr>
                <w:rFonts w:hint="eastAsia"/>
                <w:szCs w:val="21"/>
              </w:rPr>
              <w:t>证书编号</w:t>
            </w:r>
          </w:p>
        </w:tc>
        <w:tc>
          <w:tcPr>
            <w:tcW w:w="2183" w:type="dxa"/>
            <w:gridSpan w:val="2"/>
            <w:vAlign w:val="center"/>
          </w:tcPr>
          <w:p>
            <w:pPr>
              <w:rPr>
                <w:szCs w:val="21"/>
              </w:rPr>
            </w:pPr>
          </w:p>
        </w:tc>
        <w:tc>
          <w:tcPr>
            <w:tcW w:w="2460" w:type="dxa"/>
            <w:gridSpan w:val="3"/>
            <w:vAlign w:val="center"/>
          </w:tcPr>
          <w:p>
            <w:pPr>
              <w:rPr>
                <w:szCs w:val="21"/>
              </w:rPr>
            </w:pPr>
            <w:r>
              <w:rPr>
                <w:rFonts w:hint="eastAsia"/>
                <w:szCs w:val="21"/>
              </w:rPr>
              <w:t>职称</w:t>
            </w:r>
          </w:p>
        </w:tc>
        <w:tc>
          <w:tcPr>
            <w:tcW w:w="1811"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jc w:val="center"/>
        </w:trPr>
        <w:tc>
          <w:tcPr>
            <w:tcW w:w="4056" w:type="dxa"/>
            <w:gridSpan w:val="3"/>
            <w:vAlign w:val="center"/>
          </w:tcPr>
          <w:p>
            <w:pPr>
              <w:rPr>
                <w:szCs w:val="21"/>
              </w:rPr>
            </w:pPr>
            <w:r>
              <w:rPr>
                <w:rFonts w:hint="eastAsia"/>
                <w:szCs w:val="21"/>
              </w:rPr>
              <w:t>拟在本项目任职</w:t>
            </w:r>
          </w:p>
        </w:tc>
        <w:tc>
          <w:tcPr>
            <w:tcW w:w="4271" w:type="dxa"/>
            <w:gridSpan w:val="4"/>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jc w:val="center"/>
        </w:trPr>
        <w:tc>
          <w:tcPr>
            <w:tcW w:w="8327" w:type="dxa"/>
            <w:gridSpan w:val="7"/>
            <w:vAlign w:val="center"/>
          </w:tcPr>
          <w:p>
            <w:pPr>
              <w:rPr>
                <w:szCs w:val="21"/>
              </w:rPr>
            </w:pPr>
            <w:r>
              <w:rPr>
                <w:rFonts w:hint="eastAsia"/>
                <w:szCs w:val="21"/>
              </w:rPr>
              <w:t>主要经历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jc w:val="center"/>
        </w:trPr>
        <w:tc>
          <w:tcPr>
            <w:tcW w:w="1873" w:type="dxa"/>
            <w:vAlign w:val="center"/>
          </w:tcPr>
          <w:p>
            <w:pPr>
              <w:rPr>
                <w:szCs w:val="21"/>
              </w:rPr>
            </w:pPr>
            <w:r>
              <w:rPr>
                <w:rFonts w:hint="eastAsia"/>
                <w:szCs w:val="21"/>
              </w:rPr>
              <w:t>时间</w:t>
            </w:r>
          </w:p>
        </w:tc>
        <w:tc>
          <w:tcPr>
            <w:tcW w:w="3677" w:type="dxa"/>
            <w:gridSpan w:val="4"/>
            <w:vAlign w:val="center"/>
          </w:tcPr>
          <w:p>
            <w:pPr>
              <w:rPr>
                <w:szCs w:val="21"/>
              </w:rPr>
            </w:pPr>
            <w:r>
              <w:rPr>
                <w:rFonts w:hint="eastAsia"/>
                <w:szCs w:val="21"/>
              </w:rPr>
              <w:t>参加过的类似项目业绩名称及规模</w:t>
            </w:r>
          </w:p>
        </w:tc>
        <w:tc>
          <w:tcPr>
            <w:tcW w:w="2777" w:type="dxa"/>
            <w:gridSpan w:val="2"/>
            <w:vAlign w:val="center"/>
          </w:tcPr>
          <w:p>
            <w:pPr>
              <w:rPr>
                <w:szCs w:val="21"/>
              </w:rPr>
            </w:pPr>
            <w:r>
              <w:rPr>
                <w:rFonts w:hint="eastAsia"/>
                <w:szCs w:val="21"/>
              </w:rPr>
              <w:t>该项目中任职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jc w:val="center"/>
        </w:trPr>
        <w:tc>
          <w:tcPr>
            <w:tcW w:w="1873" w:type="dxa"/>
            <w:vAlign w:val="center"/>
          </w:tcPr>
          <w:p>
            <w:pPr>
              <w:rPr>
                <w:szCs w:val="21"/>
              </w:rPr>
            </w:pPr>
          </w:p>
        </w:tc>
        <w:tc>
          <w:tcPr>
            <w:tcW w:w="3677" w:type="dxa"/>
            <w:gridSpan w:val="4"/>
            <w:vAlign w:val="center"/>
          </w:tcPr>
          <w:p>
            <w:pPr>
              <w:rPr>
                <w:szCs w:val="21"/>
              </w:rPr>
            </w:pPr>
          </w:p>
        </w:tc>
        <w:tc>
          <w:tcPr>
            <w:tcW w:w="2777" w:type="dxa"/>
            <w:gridSpan w:val="2"/>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jc w:val="center"/>
        </w:trPr>
        <w:tc>
          <w:tcPr>
            <w:tcW w:w="1873" w:type="dxa"/>
            <w:vAlign w:val="center"/>
          </w:tcPr>
          <w:p>
            <w:pPr>
              <w:rPr>
                <w:szCs w:val="21"/>
              </w:rPr>
            </w:pPr>
            <w:r>
              <w:rPr>
                <w:rFonts w:hint="eastAsia"/>
                <w:szCs w:val="21"/>
              </w:rPr>
              <w:t>……</w:t>
            </w:r>
          </w:p>
        </w:tc>
        <w:tc>
          <w:tcPr>
            <w:tcW w:w="3677" w:type="dxa"/>
            <w:gridSpan w:val="4"/>
            <w:vAlign w:val="center"/>
          </w:tcPr>
          <w:p>
            <w:pPr>
              <w:rPr>
                <w:szCs w:val="21"/>
              </w:rPr>
            </w:pPr>
          </w:p>
        </w:tc>
        <w:tc>
          <w:tcPr>
            <w:tcW w:w="2777" w:type="dxa"/>
            <w:gridSpan w:val="2"/>
            <w:vAlign w:val="center"/>
          </w:tcPr>
          <w:p>
            <w:pPr>
              <w:rPr>
                <w:szCs w:val="21"/>
              </w:rPr>
            </w:pPr>
          </w:p>
        </w:tc>
      </w:tr>
    </w:tbl>
    <w:p>
      <w:pPr>
        <w:rPr>
          <w:szCs w:val="21"/>
        </w:rPr>
      </w:pPr>
      <w:r>
        <w:rPr>
          <w:rFonts w:hint="eastAsia"/>
          <w:szCs w:val="21"/>
        </w:rPr>
        <w:t>注：</w:t>
      </w:r>
    </w:p>
    <w:p>
      <w:pPr>
        <w:rPr>
          <w:szCs w:val="21"/>
        </w:rPr>
      </w:pPr>
      <w:r>
        <w:rPr>
          <w:szCs w:val="21"/>
        </w:rPr>
        <w:t>1.本表按照</w:t>
      </w:r>
      <w:r>
        <w:rPr>
          <w:rFonts w:hint="eastAsia"/>
          <w:szCs w:val="21"/>
        </w:rPr>
        <w:t>表4</w:t>
      </w:r>
      <w:r>
        <w:rPr>
          <w:szCs w:val="21"/>
        </w:rPr>
        <w:t>.1</w:t>
      </w:r>
      <w:r>
        <w:rPr>
          <w:rFonts w:hint="eastAsia"/>
          <w:szCs w:val="21"/>
        </w:rPr>
        <w:t>填写的</w:t>
      </w:r>
      <w:r>
        <w:rPr>
          <w:szCs w:val="21"/>
        </w:rPr>
        <w:t>顺序</w:t>
      </w:r>
      <w:r>
        <w:rPr>
          <w:rFonts w:hint="eastAsia"/>
          <w:szCs w:val="21"/>
        </w:rPr>
        <w:t>及人员进行</w:t>
      </w:r>
      <w:r>
        <w:rPr>
          <w:szCs w:val="21"/>
        </w:rPr>
        <w:t>填写</w:t>
      </w:r>
      <w:r>
        <w:rPr>
          <w:rFonts w:hint="eastAsia"/>
          <w:szCs w:val="21"/>
        </w:rPr>
        <w:t>；</w:t>
      </w:r>
    </w:p>
    <w:p>
      <w:pPr>
        <w:rPr>
          <w:szCs w:val="21"/>
        </w:rPr>
      </w:pPr>
      <w:r>
        <w:rPr>
          <w:szCs w:val="21"/>
        </w:rPr>
        <w:t>2.</w:t>
      </w:r>
      <w:r>
        <w:rPr>
          <w:rFonts w:hint="eastAsia"/>
          <w:szCs w:val="21"/>
        </w:rPr>
        <w:t>应附其执业资格证书、注册证书、身份证、毕业证、职称证的扫描件并加盖公章；</w:t>
      </w:r>
    </w:p>
    <w:p>
      <w:pPr>
        <w:rPr>
          <w:szCs w:val="21"/>
        </w:rPr>
      </w:pPr>
      <w:r>
        <w:rPr>
          <w:szCs w:val="21"/>
        </w:rPr>
        <w:t>3.</w:t>
      </w:r>
      <w:r>
        <w:rPr>
          <w:rFonts w:hint="eastAsia"/>
          <w:szCs w:val="21"/>
        </w:rPr>
        <w:t>总监理工程师需提供其劳动合同、养老保险证明的扫描件并加盖公章及</w:t>
      </w:r>
      <w:r>
        <w:rPr>
          <w:rFonts w:hint="eastAsia"/>
          <w:b/>
          <w:szCs w:val="21"/>
        </w:rPr>
        <w:t>未</w:t>
      </w:r>
      <w:r>
        <w:rPr>
          <w:b/>
          <w:szCs w:val="21"/>
        </w:rPr>
        <w:t>担任其他</w:t>
      </w:r>
      <w:r>
        <w:rPr>
          <w:rFonts w:hint="eastAsia"/>
          <w:b/>
          <w:szCs w:val="21"/>
        </w:rPr>
        <w:t>在建</w:t>
      </w:r>
      <w:r>
        <w:rPr>
          <w:b/>
          <w:szCs w:val="21"/>
        </w:rPr>
        <w:t>建设工程项目总监理工程师</w:t>
      </w:r>
      <w:r>
        <w:rPr>
          <w:rFonts w:hint="eastAsia"/>
          <w:b/>
          <w:szCs w:val="21"/>
        </w:rPr>
        <w:t>的承诺书（详见附件）</w:t>
      </w:r>
      <w:r>
        <w:rPr>
          <w:rFonts w:hint="eastAsia"/>
          <w:szCs w:val="21"/>
        </w:rPr>
        <w:t>；</w:t>
      </w:r>
    </w:p>
    <w:p>
      <w:pPr>
        <w:rPr>
          <w:szCs w:val="21"/>
        </w:rPr>
      </w:pPr>
      <w:r>
        <w:rPr>
          <w:rFonts w:hint="eastAsia"/>
          <w:szCs w:val="21"/>
        </w:rPr>
        <w:t>4.总监理工程师需提供能反映其担任过的总监理工程师职务的业绩证明材料（中标通知书、合同协议书和工程接收证书（或工程竣工验收证书或业主开具的证明文件））</w:t>
      </w:r>
      <w:r>
        <w:rPr>
          <w:szCs w:val="21"/>
        </w:rPr>
        <w:t>的</w:t>
      </w:r>
      <w:r>
        <w:rPr>
          <w:rFonts w:hint="eastAsia"/>
          <w:szCs w:val="21"/>
        </w:rPr>
        <w:t>扫描</w:t>
      </w:r>
      <w:r>
        <w:rPr>
          <w:szCs w:val="21"/>
        </w:rPr>
        <w:t>件</w:t>
      </w:r>
      <w:r>
        <w:rPr>
          <w:rFonts w:hint="eastAsia"/>
          <w:szCs w:val="21"/>
        </w:rPr>
        <w:t>并加盖公章；</w:t>
      </w:r>
    </w:p>
    <w:p>
      <w:pPr>
        <w:rPr>
          <w:szCs w:val="21"/>
        </w:rPr>
      </w:pPr>
      <w:r>
        <w:rPr>
          <w:rFonts w:hint="eastAsia"/>
          <w:szCs w:val="21"/>
        </w:rPr>
        <w:t>5.总监理工程师代表需提供能反映其担任过的已完类似项目业绩的总监理工程师代表或总监理工程师职务的业绩证明材料（中标通知书、合同协议书和工程接收证书（或工程竣工验收证书或业主开具的证明文件））</w:t>
      </w:r>
      <w:r>
        <w:rPr>
          <w:szCs w:val="21"/>
        </w:rPr>
        <w:t>的</w:t>
      </w:r>
      <w:r>
        <w:rPr>
          <w:rFonts w:hint="eastAsia"/>
          <w:szCs w:val="21"/>
        </w:rPr>
        <w:t>扫描</w:t>
      </w:r>
      <w:r>
        <w:rPr>
          <w:szCs w:val="21"/>
        </w:rPr>
        <w:t>件</w:t>
      </w:r>
      <w:r>
        <w:rPr>
          <w:rFonts w:hint="eastAsia"/>
          <w:szCs w:val="21"/>
        </w:rPr>
        <w:t>并加盖公章；</w:t>
      </w:r>
    </w:p>
    <w:p>
      <w:pPr>
        <w:rPr>
          <w:szCs w:val="21"/>
        </w:rPr>
      </w:pPr>
      <w:r>
        <w:rPr>
          <w:rFonts w:hint="eastAsia"/>
          <w:szCs w:val="21"/>
        </w:rPr>
        <w:t>6.所提供的总监理工程师及总监理工程师代表业绩证明材料，缺少其中任何一项证明材料的，均视为无效业绩，且须至少有一项能体现其姓名</w:t>
      </w:r>
      <w:r>
        <w:rPr>
          <w:szCs w:val="21"/>
        </w:rPr>
        <w:t>及所担任的职务等信息</w:t>
      </w:r>
      <w:r>
        <w:rPr>
          <w:rFonts w:hint="eastAsia"/>
          <w:szCs w:val="21"/>
        </w:rPr>
        <w:t>（</w:t>
      </w:r>
      <w:r>
        <w:rPr>
          <w:rFonts w:hint="eastAsia"/>
          <w:b/>
          <w:szCs w:val="21"/>
        </w:rPr>
        <w:t>若以上多项证明材料体现的姓名及所担任的职务等信息不一致的，还须出具业主或行政监管部门开具的证明材料）</w:t>
      </w:r>
      <w:r>
        <w:rPr>
          <w:szCs w:val="21"/>
        </w:rPr>
        <w:t>。</w:t>
      </w:r>
    </w:p>
    <w:p>
      <w:pPr>
        <w:rPr>
          <w:szCs w:val="21"/>
        </w:rPr>
      </w:pPr>
      <w:r>
        <w:rPr>
          <w:rFonts w:hint="eastAsia" w:ascii="宋体" w:hAnsi="宋体"/>
          <w:szCs w:val="21"/>
        </w:rPr>
        <w:t>7.安全总监的业绩证明材料（业主开具的证明文件或业绩执行过程中的其他证明文件）的扫描件并加盖公章,</w:t>
      </w:r>
      <w:r>
        <w:rPr>
          <w:rFonts w:hint="eastAsia"/>
          <w:szCs w:val="21"/>
        </w:rPr>
        <w:t>且须能体现其姓名</w:t>
      </w:r>
      <w:r>
        <w:rPr>
          <w:szCs w:val="21"/>
        </w:rPr>
        <w:t>及所担任的职务等信息</w:t>
      </w:r>
      <w:r>
        <w:rPr>
          <w:rFonts w:hint="eastAsia" w:ascii="宋体" w:hAnsi="宋体"/>
          <w:szCs w:val="21"/>
        </w:rPr>
        <w:t>。</w:t>
      </w:r>
    </w:p>
    <w:p>
      <w:pPr>
        <w:spacing w:line="276" w:lineRule="auto"/>
        <w:rPr>
          <w:szCs w:val="21"/>
        </w:rPr>
      </w:pPr>
    </w:p>
    <w:p>
      <w:pPr>
        <w:spacing w:line="276" w:lineRule="auto"/>
        <w:rPr>
          <w:szCs w:val="21"/>
        </w:rPr>
      </w:pPr>
    </w:p>
    <w:p>
      <w:pPr>
        <w:spacing w:line="400" w:lineRule="exact"/>
        <w:ind w:firstLine="3684" w:firstLineChars="1535"/>
        <w:rPr>
          <w:sz w:val="24"/>
          <w:szCs w:val="21"/>
        </w:rPr>
      </w:pPr>
      <w:r>
        <w:rPr>
          <w:rFonts w:hint="eastAsia"/>
          <w:sz w:val="24"/>
          <w:szCs w:val="21"/>
        </w:rPr>
        <w:t>投标人：（盖单位公章）</w:t>
      </w:r>
    </w:p>
    <w:p>
      <w:pPr>
        <w:spacing w:line="400" w:lineRule="exact"/>
        <w:ind w:firstLine="3684" w:firstLineChars="1535"/>
      </w:pPr>
      <w:r>
        <w:rPr>
          <w:rFonts w:hint="eastAsia"/>
          <w:sz w:val="24"/>
          <w:szCs w:val="21"/>
        </w:rPr>
        <w:t>法定代表人或其委托代理人：（签字）</w:t>
      </w:r>
    </w:p>
    <w:p>
      <w:pPr>
        <w:spacing w:line="400" w:lineRule="exact"/>
        <w:ind w:firstLine="3684" w:firstLineChars="1535"/>
        <w:jc w:val="left"/>
        <w:rPr>
          <w:sz w:val="24"/>
          <w:szCs w:val="21"/>
        </w:rPr>
      </w:pPr>
      <w:r>
        <w:rPr>
          <w:rFonts w:hint="eastAsia"/>
          <w:sz w:val="24"/>
          <w:szCs w:val="21"/>
        </w:rPr>
        <w:t>日期：  年  月  日</w:t>
      </w:r>
    </w:p>
    <w:p>
      <w:pPr>
        <w:ind w:firstLine="420"/>
        <w:rPr>
          <w:b/>
          <w:szCs w:val="21"/>
        </w:rPr>
      </w:pPr>
    </w:p>
    <w:p>
      <w:pPr>
        <w:ind w:firstLine="420"/>
        <w:rPr>
          <w:b/>
          <w:szCs w:val="21"/>
        </w:rPr>
      </w:pPr>
    </w:p>
    <w:p>
      <w:pPr>
        <w:ind w:firstLine="420"/>
        <w:rPr>
          <w:b/>
          <w:szCs w:val="21"/>
        </w:rPr>
      </w:pPr>
    </w:p>
    <w:p>
      <w:pPr>
        <w:ind w:firstLine="420"/>
        <w:rPr>
          <w:b/>
          <w:szCs w:val="21"/>
        </w:rPr>
      </w:pPr>
    </w:p>
    <w:p>
      <w:pPr>
        <w:ind w:firstLine="420"/>
        <w:rPr>
          <w:b/>
          <w:szCs w:val="21"/>
        </w:rPr>
      </w:pPr>
    </w:p>
    <w:p>
      <w:pPr>
        <w:ind w:firstLine="420"/>
        <w:rPr>
          <w:b/>
          <w:szCs w:val="21"/>
        </w:rPr>
      </w:pPr>
    </w:p>
    <w:p>
      <w:pPr>
        <w:ind w:firstLine="420"/>
        <w:rPr>
          <w:b/>
          <w:szCs w:val="21"/>
        </w:rPr>
      </w:pPr>
    </w:p>
    <w:p>
      <w:pPr>
        <w:ind w:firstLine="420"/>
        <w:rPr>
          <w:b/>
          <w:szCs w:val="21"/>
        </w:rPr>
      </w:pPr>
    </w:p>
    <w:p/>
    <w:p>
      <w:pPr>
        <w:ind w:firstLine="420"/>
        <w:rPr>
          <w:b/>
          <w:szCs w:val="21"/>
        </w:rPr>
      </w:pPr>
    </w:p>
    <w:p>
      <w:pPr>
        <w:ind w:firstLine="420"/>
        <w:rPr>
          <w:b/>
          <w:szCs w:val="21"/>
        </w:rPr>
      </w:pPr>
      <w:r>
        <w:rPr>
          <w:rFonts w:hint="eastAsia"/>
          <w:b/>
          <w:szCs w:val="21"/>
        </w:rPr>
        <w:t>附件</w:t>
      </w:r>
    </w:p>
    <w:p>
      <w:pPr>
        <w:spacing w:line="276" w:lineRule="auto"/>
        <w:jc w:val="center"/>
        <w:rPr>
          <w:b/>
          <w:sz w:val="24"/>
          <w:szCs w:val="21"/>
        </w:rPr>
      </w:pPr>
      <w:r>
        <w:rPr>
          <w:rFonts w:hint="eastAsia"/>
          <w:b/>
          <w:sz w:val="24"/>
          <w:szCs w:val="21"/>
        </w:rPr>
        <w:t>总监理工程师承诺函</w:t>
      </w:r>
    </w:p>
    <w:p>
      <w:pPr>
        <w:spacing w:line="276" w:lineRule="auto"/>
        <w:ind w:firstLine="420"/>
        <w:rPr>
          <w:color w:val="000000"/>
          <w:sz w:val="24"/>
          <w:szCs w:val="21"/>
        </w:rPr>
      </w:pPr>
    </w:p>
    <w:p>
      <w:pPr>
        <w:spacing w:line="276" w:lineRule="auto"/>
        <w:ind w:firstLine="480" w:firstLineChars="200"/>
        <w:rPr>
          <w:sz w:val="24"/>
          <w:szCs w:val="21"/>
        </w:rPr>
      </w:pPr>
      <w:r>
        <w:rPr>
          <w:rFonts w:hint="eastAsia"/>
          <w:sz w:val="24"/>
          <w:szCs w:val="21"/>
        </w:rPr>
        <w:t>我方在此声明，我方拟派往</w:t>
      </w:r>
      <w:r>
        <w:rPr>
          <w:rFonts w:hint="eastAsia"/>
          <w:sz w:val="24"/>
          <w:szCs w:val="21"/>
          <w:u w:val="single"/>
        </w:rPr>
        <w:t xml:space="preserve">    （项目名称）  </w:t>
      </w:r>
      <w:r>
        <w:rPr>
          <w:rFonts w:hint="eastAsia"/>
          <w:sz w:val="24"/>
          <w:szCs w:val="21"/>
        </w:rPr>
        <w:t xml:space="preserve"> 第标段（以下简称“本工程”）的总监理工程师</w:t>
      </w:r>
      <w:r>
        <w:rPr>
          <w:rFonts w:hint="eastAsia"/>
          <w:sz w:val="24"/>
          <w:szCs w:val="21"/>
          <w:u w:val="single"/>
        </w:rPr>
        <w:t xml:space="preserve">   （总监理工程师姓名）    </w:t>
      </w:r>
      <w:r>
        <w:rPr>
          <w:rFonts w:hint="eastAsia"/>
          <w:sz w:val="24"/>
          <w:szCs w:val="21"/>
        </w:rPr>
        <w:t>现阶段没有担任任何在施建设工程项目的总监理工程师。</w:t>
      </w:r>
    </w:p>
    <w:p>
      <w:pPr>
        <w:spacing w:line="276" w:lineRule="auto"/>
        <w:ind w:firstLine="480" w:firstLineChars="200"/>
        <w:rPr>
          <w:color w:val="000000"/>
          <w:sz w:val="24"/>
          <w:szCs w:val="21"/>
        </w:rPr>
      </w:pPr>
      <w:r>
        <w:rPr>
          <w:rFonts w:hint="eastAsia"/>
          <w:sz w:val="24"/>
          <w:szCs w:val="21"/>
        </w:rPr>
        <w:t>我方保证上述信息的真实和准确，并愿意承担因我方就此弄虚作假所引起的一切法律后果。</w:t>
      </w:r>
    </w:p>
    <w:p>
      <w:pPr>
        <w:spacing w:line="276" w:lineRule="auto"/>
        <w:ind w:firstLine="420"/>
        <w:rPr>
          <w:color w:val="000000"/>
          <w:sz w:val="24"/>
          <w:szCs w:val="21"/>
        </w:rPr>
      </w:pPr>
    </w:p>
    <w:p>
      <w:pPr>
        <w:spacing w:line="400" w:lineRule="exact"/>
        <w:ind w:firstLine="3684" w:firstLineChars="1535"/>
        <w:rPr>
          <w:sz w:val="24"/>
          <w:szCs w:val="21"/>
        </w:rPr>
      </w:pPr>
      <w:r>
        <w:rPr>
          <w:rFonts w:hint="eastAsia"/>
          <w:sz w:val="24"/>
          <w:szCs w:val="21"/>
        </w:rPr>
        <w:t>投标人：（盖单位公章）</w:t>
      </w:r>
    </w:p>
    <w:p>
      <w:pPr>
        <w:spacing w:line="400" w:lineRule="exact"/>
        <w:ind w:firstLine="3684" w:firstLineChars="1535"/>
      </w:pPr>
      <w:r>
        <w:rPr>
          <w:rFonts w:hint="eastAsia"/>
          <w:sz w:val="24"/>
          <w:szCs w:val="21"/>
        </w:rPr>
        <w:t>法定代表人或其委托代理人：（签字）</w:t>
      </w:r>
    </w:p>
    <w:p>
      <w:pPr>
        <w:spacing w:line="400" w:lineRule="exact"/>
        <w:ind w:firstLine="3684" w:firstLineChars="1535"/>
        <w:jc w:val="left"/>
        <w:rPr>
          <w:sz w:val="24"/>
          <w:szCs w:val="21"/>
        </w:rPr>
      </w:pPr>
      <w:r>
        <w:rPr>
          <w:rFonts w:hint="eastAsia"/>
          <w:sz w:val="24"/>
          <w:szCs w:val="21"/>
        </w:rPr>
        <w:t>日期：  年  月  日</w:t>
      </w:r>
    </w:p>
    <w:p>
      <w:pPr>
        <w:spacing w:line="276" w:lineRule="auto"/>
        <w:ind w:right="960" w:firstLine="3570" w:firstLineChars="1700"/>
        <w:rPr>
          <w:szCs w:val="21"/>
        </w:rPr>
      </w:pPr>
      <w:r>
        <w:rPr>
          <w:szCs w:val="21"/>
        </w:rPr>
        <w:br w:type="page"/>
      </w:r>
    </w:p>
    <w:p>
      <w:pPr>
        <w:pStyle w:val="4"/>
      </w:pPr>
      <w:bookmarkStart w:id="1430" w:name="_Toc499205033"/>
      <w:bookmarkStart w:id="1431" w:name="_Toc20332"/>
      <w:bookmarkStart w:id="1432" w:name="_Toc496098816"/>
      <w:bookmarkStart w:id="1433" w:name="_Toc23275"/>
      <w:bookmarkStart w:id="1434" w:name="_Toc499311248"/>
      <w:r>
        <w:rPr>
          <w:rFonts w:hint="eastAsia"/>
        </w:rPr>
        <w:t>4.3其他专业监理工程师及人员配置表</w:t>
      </w:r>
      <w:bookmarkEnd w:id="1430"/>
      <w:bookmarkEnd w:id="1431"/>
      <w:bookmarkEnd w:id="1432"/>
      <w:bookmarkEnd w:id="1433"/>
      <w:bookmarkEnd w:id="1434"/>
    </w:p>
    <w:p>
      <w:pPr>
        <w:jc w:val="left"/>
        <w:rPr>
          <w:rFonts w:ascii="宋体" w:hAnsi="宋体" w:cs="宋体"/>
          <w:szCs w:val="21"/>
        </w:rPr>
      </w:pPr>
      <w:r>
        <w:rPr>
          <w:rFonts w:hint="eastAsia" w:ascii="宋体" w:hAnsi="宋体" w:cs="宋体"/>
          <w:szCs w:val="21"/>
        </w:rPr>
        <w:t>若我方中标，在合同签订前，我方根据招标文件《拟投入监理人员配置一览表》“四、其他专业监理工程师及人员”配置监理岗位如下表：</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5"/>
        <w:gridCol w:w="259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59" w:type="dxa"/>
            <w:vAlign w:val="center"/>
          </w:tcPr>
          <w:p>
            <w:pPr>
              <w:jc w:val="center"/>
              <w:rPr>
                <w:rFonts w:ascii="宋体" w:hAnsi="宋体" w:cs="宋体"/>
                <w:b/>
                <w:szCs w:val="21"/>
              </w:rPr>
            </w:pPr>
            <w:r>
              <w:rPr>
                <w:rFonts w:hint="eastAsia" w:ascii="宋体" w:hAnsi="宋体" w:cs="宋体"/>
                <w:b/>
                <w:szCs w:val="21"/>
              </w:rPr>
              <w:t>序号</w:t>
            </w:r>
          </w:p>
        </w:tc>
        <w:tc>
          <w:tcPr>
            <w:tcW w:w="2835" w:type="dxa"/>
            <w:vAlign w:val="center"/>
          </w:tcPr>
          <w:p>
            <w:pPr>
              <w:ind w:firstLine="422"/>
              <w:jc w:val="center"/>
              <w:rPr>
                <w:rFonts w:ascii="宋体" w:hAnsi="宋体" w:cs="宋体"/>
                <w:b/>
                <w:szCs w:val="21"/>
              </w:rPr>
            </w:pPr>
            <w:r>
              <w:rPr>
                <w:rFonts w:hint="eastAsia" w:ascii="宋体" w:hAnsi="宋体" w:cs="宋体"/>
                <w:b/>
                <w:szCs w:val="21"/>
              </w:rPr>
              <w:t>监理岗位</w:t>
            </w:r>
          </w:p>
        </w:tc>
        <w:tc>
          <w:tcPr>
            <w:tcW w:w="2597" w:type="dxa"/>
            <w:vAlign w:val="center"/>
          </w:tcPr>
          <w:p>
            <w:pPr>
              <w:ind w:firstLine="422"/>
              <w:jc w:val="center"/>
              <w:rPr>
                <w:rFonts w:ascii="宋体" w:hAnsi="宋体" w:cs="宋体"/>
                <w:b/>
                <w:szCs w:val="21"/>
              </w:rPr>
            </w:pPr>
            <w:r>
              <w:rPr>
                <w:rFonts w:hint="eastAsia" w:ascii="宋体" w:hAnsi="宋体" w:cs="宋体"/>
                <w:b/>
                <w:szCs w:val="21"/>
              </w:rPr>
              <w:t>职称</w:t>
            </w:r>
          </w:p>
        </w:tc>
        <w:tc>
          <w:tcPr>
            <w:tcW w:w="2131" w:type="dxa"/>
            <w:vAlign w:val="center"/>
          </w:tcPr>
          <w:p>
            <w:pPr>
              <w:ind w:firstLine="422"/>
              <w:jc w:val="center"/>
              <w:rPr>
                <w:rFonts w:ascii="宋体" w:hAnsi="宋体" w:cs="宋体"/>
                <w:b/>
                <w:szCs w:val="21"/>
              </w:rPr>
            </w:pPr>
            <w:r>
              <w:rPr>
                <w:rFonts w:hint="eastAsia" w:ascii="宋体" w:hAnsi="宋体" w:cs="宋体"/>
                <w:b/>
                <w:szCs w:val="21"/>
              </w:rPr>
              <w:t>岗位人数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959"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c>
          <w:tcPr>
            <w:tcW w:w="2597" w:type="dxa"/>
            <w:vAlign w:val="center"/>
          </w:tcPr>
          <w:p>
            <w:pPr>
              <w:jc w:val="center"/>
              <w:rPr>
                <w:rFonts w:ascii="宋体" w:hAnsi="宋体" w:cs="宋体"/>
                <w:szCs w:val="21"/>
              </w:rPr>
            </w:pPr>
          </w:p>
        </w:tc>
        <w:tc>
          <w:tcPr>
            <w:tcW w:w="213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c>
          <w:tcPr>
            <w:tcW w:w="2597" w:type="dxa"/>
            <w:vAlign w:val="center"/>
          </w:tcPr>
          <w:p>
            <w:pPr>
              <w:jc w:val="center"/>
              <w:rPr>
                <w:rFonts w:ascii="宋体" w:hAnsi="宋体" w:cs="宋体"/>
                <w:szCs w:val="21"/>
              </w:rPr>
            </w:pPr>
          </w:p>
        </w:tc>
        <w:tc>
          <w:tcPr>
            <w:tcW w:w="213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959"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c>
          <w:tcPr>
            <w:tcW w:w="2597" w:type="dxa"/>
            <w:vAlign w:val="center"/>
          </w:tcPr>
          <w:p>
            <w:pPr>
              <w:jc w:val="center"/>
              <w:rPr>
                <w:rFonts w:ascii="宋体" w:hAnsi="宋体" w:cs="宋体"/>
                <w:szCs w:val="21"/>
              </w:rPr>
            </w:pPr>
          </w:p>
        </w:tc>
        <w:tc>
          <w:tcPr>
            <w:tcW w:w="213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959"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c>
          <w:tcPr>
            <w:tcW w:w="2597" w:type="dxa"/>
            <w:vAlign w:val="center"/>
          </w:tcPr>
          <w:p>
            <w:pPr>
              <w:jc w:val="center"/>
              <w:rPr>
                <w:rFonts w:ascii="宋体" w:hAnsi="宋体" w:cs="宋体"/>
                <w:szCs w:val="21"/>
              </w:rPr>
            </w:pPr>
          </w:p>
        </w:tc>
        <w:tc>
          <w:tcPr>
            <w:tcW w:w="213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c>
          <w:tcPr>
            <w:tcW w:w="2597" w:type="dxa"/>
            <w:vAlign w:val="center"/>
          </w:tcPr>
          <w:p>
            <w:pPr>
              <w:jc w:val="center"/>
              <w:rPr>
                <w:rFonts w:ascii="宋体" w:hAnsi="宋体" w:cs="宋体"/>
                <w:szCs w:val="21"/>
              </w:rPr>
            </w:pPr>
          </w:p>
        </w:tc>
        <w:tc>
          <w:tcPr>
            <w:tcW w:w="213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959"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c>
          <w:tcPr>
            <w:tcW w:w="2597" w:type="dxa"/>
            <w:vAlign w:val="center"/>
          </w:tcPr>
          <w:p>
            <w:pPr>
              <w:jc w:val="center"/>
              <w:rPr>
                <w:rFonts w:ascii="宋体" w:hAnsi="宋体" w:cs="宋体"/>
                <w:szCs w:val="21"/>
              </w:rPr>
            </w:pPr>
          </w:p>
        </w:tc>
        <w:tc>
          <w:tcPr>
            <w:tcW w:w="213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59"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c>
          <w:tcPr>
            <w:tcW w:w="2597" w:type="dxa"/>
            <w:vAlign w:val="center"/>
          </w:tcPr>
          <w:p>
            <w:pPr>
              <w:jc w:val="center"/>
              <w:rPr>
                <w:rFonts w:ascii="宋体" w:hAnsi="宋体" w:cs="宋体"/>
                <w:szCs w:val="21"/>
              </w:rPr>
            </w:pPr>
          </w:p>
        </w:tc>
        <w:tc>
          <w:tcPr>
            <w:tcW w:w="2131" w:type="dxa"/>
            <w:vAlign w:val="center"/>
          </w:tcPr>
          <w:p>
            <w:pPr>
              <w:jc w:val="center"/>
              <w:rPr>
                <w:rFonts w:ascii="宋体" w:hAnsi="宋体" w:cs="宋体"/>
                <w:szCs w:val="21"/>
              </w:rPr>
            </w:pPr>
          </w:p>
        </w:tc>
      </w:tr>
    </w:tbl>
    <w:p/>
    <w:p>
      <w:pPr>
        <w:spacing w:line="400" w:lineRule="exact"/>
        <w:ind w:firstLine="3684" w:firstLineChars="1535"/>
        <w:rPr>
          <w:sz w:val="24"/>
          <w:szCs w:val="21"/>
        </w:rPr>
      </w:pPr>
      <w:r>
        <w:rPr>
          <w:rFonts w:hint="eastAsia"/>
          <w:sz w:val="24"/>
          <w:szCs w:val="21"/>
        </w:rPr>
        <w:t>投标人：（盖单位公章）</w:t>
      </w:r>
    </w:p>
    <w:p>
      <w:pPr>
        <w:spacing w:line="400" w:lineRule="exact"/>
        <w:ind w:firstLine="3684" w:firstLineChars="1535"/>
      </w:pPr>
      <w:r>
        <w:rPr>
          <w:rFonts w:hint="eastAsia"/>
          <w:sz w:val="24"/>
          <w:szCs w:val="21"/>
        </w:rPr>
        <w:t>法定代表人或其委托代理人：（签字）</w:t>
      </w:r>
    </w:p>
    <w:p>
      <w:pPr>
        <w:spacing w:line="400" w:lineRule="exact"/>
        <w:ind w:firstLine="3684" w:firstLineChars="1535"/>
        <w:jc w:val="left"/>
        <w:rPr>
          <w:sz w:val="24"/>
          <w:szCs w:val="21"/>
        </w:rPr>
      </w:pPr>
      <w:r>
        <w:rPr>
          <w:rFonts w:hint="eastAsia"/>
          <w:sz w:val="24"/>
          <w:szCs w:val="21"/>
        </w:rPr>
        <w:t>日期：   年  月  日</w:t>
      </w:r>
    </w:p>
    <w:p>
      <w:pPr>
        <w:spacing w:line="400" w:lineRule="exact"/>
        <w:jc w:val="left"/>
        <w:rPr>
          <w:rFonts w:ascii="黑体" w:eastAsia="黑体"/>
          <w:sz w:val="28"/>
          <w:szCs w:val="28"/>
        </w:rPr>
      </w:pPr>
      <w:r>
        <w:rPr>
          <w:szCs w:val="21"/>
        </w:rPr>
        <w:br w:type="page"/>
      </w:r>
    </w:p>
    <w:p>
      <w:pPr>
        <w:pStyle w:val="2"/>
      </w:pPr>
      <w:bookmarkStart w:id="1435" w:name="_Toc496098817"/>
      <w:bookmarkStart w:id="1436" w:name="_Toc19161"/>
      <w:bookmarkStart w:id="1437" w:name="_Toc26597"/>
      <w:r>
        <w:rPr>
          <w:rFonts w:hint="eastAsia"/>
        </w:rPr>
        <w:t>五、资格审查资料</w:t>
      </w:r>
      <w:bookmarkEnd w:id="1435"/>
      <w:bookmarkEnd w:id="1436"/>
      <w:bookmarkEnd w:id="1437"/>
    </w:p>
    <w:p>
      <w:pPr>
        <w:pStyle w:val="4"/>
      </w:pPr>
      <w:bookmarkStart w:id="1438" w:name="_Toc295399000"/>
      <w:bookmarkStart w:id="1439" w:name="_Toc17913"/>
      <w:bookmarkStart w:id="1440" w:name="_Toc144974876"/>
      <w:bookmarkStart w:id="1441" w:name="_Toc12741"/>
      <w:bookmarkStart w:id="1442" w:name="_Toc152042597"/>
      <w:bookmarkStart w:id="1443" w:name="_Toc496098818"/>
      <w:bookmarkStart w:id="1444" w:name="_Toc499205035"/>
      <w:bookmarkStart w:id="1445" w:name="_Toc499311250"/>
      <w:bookmarkStart w:id="1446" w:name="_Toc297800232"/>
      <w:bookmarkStart w:id="1447" w:name="_Toc16262"/>
      <w:bookmarkStart w:id="1448" w:name="_Toc152045808"/>
      <w:r>
        <w:rPr>
          <w:rFonts w:hint="eastAsia"/>
        </w:rPr>
        <w:t>5.1 投标人基本情况表</w:t>
      </w:r>
      <w:bookmarkEnd w:id="1438"/>
      <w:bookmarkEnd w:id="1439"/>
      <w:bookmarkEnd w:id="1440"/>
      <w:bookmarkEnd w:id="1441"/>
      <w:bookmarkEnd w:id="1442"/>
      <w:bookmarkEnd w:id="1443"/>
      <w:bookmarkEnd w:id="1444"/>
      <w:bookmarkEnd w:id="1445"/>
      <w:bookmarkEnd w:id="1446"/>
      <w:bookmarkEnd w:id="1447"/>
      <w:bookmarkEnd w:id="1448"/>
    </w:p>
    <w:p>
      <w:pPr>
        <w:jc w:val="center"/>
        <w:rPr>
          <w:rFonts w:ascii="宋体" w:hAnsi="宋体"/>
          <w:b/>
        </w:rPr>
      </w:pPr>
      <w:r>
        <w:rPr>
          <w:rFonts w:hint="eastAsia" w:ascii="宋体" w:hAnsi="宋体"/>
          <w:b/>
        </w:rPr>
        <w:t>投标人基本情况表</w:t>
      </w:r>
    </w:p>
    <w:tbl>
      <w:tblPr>
        <w:tblStyle w:val="28"/>
        <w:tblW w:w="851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76"/>
        <w:gridCol w:w="2711"/>
        <w:gridCol w:w="1093"/>
        <w:gridCol w:w="15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176" w:type="dxa"/>
            <w:vAlign w:val="center"/>
          </w:tcPr>
          <w:p>
            <w:pPr>
              <w:spacing w:line="276" w:lineRule="auto"/>
              <w:rPr>
                <w:szCs w:val="21"/>
              </w:rPr>
            </w:pPr>
            <w:r>
              <w:rPr>
                <w:rFonts w:hint="eastAsia"/>
                <w:szCs w:val="21"/>
              </w:rPr>
              <w:t>投标人</w:t>
            </w:r>
          </w:p>
        </w:tc>
        <w:tc>
          <w:tcPr>
            <w:tcW w:w="2711" w:type="dxa"/>
            <w:vAlign w:val="center"/>
          </w:tcPr>
          <w:p>
            <w:pPr>
              <w:spacing w:line="276" w:lineRule="auto"/>
              <w:rPr>
                <w:szCs w:val="21"/>
              </w:rPr>
            </w:pPr>
          </w:p>
        </w:tc>
        <w:tc>
          <w:tcPr>
            <w:tcW w:w="1093" w:type="dxa"/>
            <w:vAlign w:val="center"/>
          </w:tcPr>
          <w:p>
            <w:pPr>
              <w:spacing w:line="276" w:lineRule="auto"/>
              <w:rPr>
                <w:szCs w:val="21"/>
              </w:rPr>
            </w:pPr>
          </w:p>
        </w:tc>
        <w:tc>
          <w:tcPr>
            <w:tcW w:w="1530"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176" w:type="dxa"/>
            <w:vAlign w:val="center"/>
          </w:tcPr>
          <w:p>
            <w:pPr>
              <w:spacing w:line="276" w:lineRule="auto"/>
              <w:rPr>
                <w:szCs w:val="21"/>
              </w:rPr>
            </w:pPr>
            <w:r>
              <w:rPr>
                <w:rFonts w:hint="eastAsia"/>
                <w:szCs w:val="21"/>
              </w:rPr>
              <w:t>主要业务范围</w:t>
            </w:r>
          </w:p>
        </w:tc>
        <w:tc>
          <w:tcPr>
            <w:tcW w:w="2711" w:type="dxa"/>
            <w:vAlign w:val="center"/>
          </w:tcPr>
          <w:p>
            <w:pPr>
              <w:spacing w:line="276" w:lineRule="auto"/>
              <w:rPr>
                <w:szCs w:val="21"/>
              </w:rPr>
            </w:pPr>
          </w:p>
        </w:tc>
        <w:tc>
          <w:tcPr>
            <w:tcW w:w="1093" w:type="dxa"/>
            <w:vAlign w:val="center"/>
          </w:tcPr>
          <w:p>
            <w:pPr>
              <w:spacing w:line="276" w:lineRule="auto"/>
              <w:rPr>
                <w:szCs w:val="21"/>
              </w:rPr>
            </w:pPr>
          </w:p>
        </w:tc>
        <w:tc>
          <w:tcPr>
            <w:tcW w:w="1530"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176" w:type="dxa"/>
            <w:vAlign w:val="center"/>
          </w:tcPr>
          <w:p>
            <w:pPr>
              <w:spacing w:line="276" w:lineRule="auto"/>
              <w:rPr>
                <w:szCs w:val="21"/>
              </w:rPr>
            </w:pPr>
            <w:r>
              <w:rPr>
                <w:rFonts w:hint="eastAsia"/>
                <w:szCs w:val="21"/>
              </w:rPr>
              <w:t>法定代表人</w:t>
            </w:r>
          </w:p>
        </w:tc>
        <w:tc>
          <w:tcPr>
            <w:tcW w:w="2711" w:type="dxa"/>
            <w:vAlign w:val="center"/>
          </w:tcPr>
          <w:p>
            <w:pPr>
              <w:spacing w:line="276" w:lineRule="auto"/>
              <w:rPr>
                <w:szCs w:val="21"/>
              </w:rPr>
            </w:pPr>
          </w:p>
        </w:tc>
        <w:tc>
          <w:tcPr>
            <w:tcW w:w="1093" w:type="dxa"/>
            <w:vAlign w:val="center"/>
          </w:tcPr>
          <w:p>
            <w:pPr>
              <w:spacing w:line="276" w:lineRule="auto"/>
              <w:rPr>
                <w:szCs w:val="21"/>
              </w:rPr>
            </w:pPr>
            <w:r>
              <w:rPr>
                <w:rFonts w:hint="eastAsia"/>
                <w:szCs w:val="21"/>
              </w:rPr>
              <w:t>职务</w:t>
            </w:r>
          </w:p>
        </w:tc>
        <w:tc>
          <w:tcPr>
            <w:tcW w:w="1530"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176" w:type="dxa"/>
            <w:vAlign w:val="center"/>
          </w:tcPr>
          <w:p>
            <w:pPr>
              <w:spacing w:line="276" w:lineRule="auto"/>
              <w:rPr>
                <w:szCs w:val="21"/>
              </w:rPr>
            </w:pPr>
            <w:r>
              <w:rPr>
                <w:rFonts w:hint="eastAsia"/>
                <w:szCs w:val="21"/>
              </w:rPr>
              <w:t>投标人地址</w:t>
            </w:r>
          </w:p>
        </w:tc>
        <w:tc>
          <w:tcPr>
            <w:tcW w:w="2711" w:type="dxa"/>
            <w:vAlign w:val="center"/>
          </w:tcPr>
          <w:p>
            <w:pPr>
              <w:spacing w:line="276" w:lineRule="auto"/>
              <w:rPr>
                <w:szCs w:val="21"/>
              </w:rPr>
            </w:pPr>
          </w:p>
        </w:tc>
        <w:tc>
          <w:tcPr>
            <w:tcW w:w="1093" w:type="dxa"/>
            <w:vAlign w:val="center"/>
          </w:tcPr>
          <w:p>
            <w:pPr>
              <w:spacing w:line="276" w:lineRule="auto"/>
              <w:rPr>
                <w:szCs w:val="21"/>
              </w:rPr>
            </w:pPr>
            <w:r>
              <w:rPr>
                <w:rFonts w:hint="eastAsia"/>
                <w:szCs w:val="21"/>
              </w:rPr>
              <w:t>邮政编码</w:t>
            </w:r>
          </w:p>
        </w:tc>
        <w:tc>
          <w:tcPr>
            <w:tcW w:w="1530"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176" w:type="dxa"/>
            <w:vAlign w:val="center"/>
          </w:tcPr>
          <w:p>
            <w:pPr>
              <w:spacing w:line="276" w:lineRule="auto"/>
              <w:rPr>
                <w:szCs w:val="21"/>
              </w:rPr>
            </w:pPr>
            <w:r>
              <w:rPr>
                <w:rFonts w:hint="eastAsia"/>
                <w:szCs w:val="21"/>
              </w:rPr>
              <w:t>电话</w:t>
            </w:r>
          </w:p>
        </w:tc>
        <w:tc>
          <w:tcPr>
            <w:tcW w:w="2711" w:type="dxa"/>
            <w:vAlign w:val="center"/>
          </w:tcPr>
          <w:p>
            <w:pPr>
              <w:spacing w:line="276" w:lineRule="auto"/>
              <w:rPr>
                <w:szCs w:val="21"/>
              </w:rPr>
            </w:pPr>
          </w:p>
        </w:tc>
        <w:tc>
          <w:tcPr>
            <w:tcW w:w="1093" w:type="dxa"/>
            <w:vAlign w:val="center"/>
          </w:tcPr>
          <w:p>
            <w:pPr>
              <w:spacing w:line="276" w:lineRule="auto"/>
              <w:rPr>
                <w:szCs w:val="21"/>
              </w:rPr>
            </w:pPr>
            <w:r>
              <w:rPr>
                <w:rFonts w:hint="eastAsia"/>
                <w:szCs w:val="21"/>
              </w:rPr>
              <w:t>传真</w:t>
            </w:r>
          </w:p>
        </w:tc>
        <w:tc>
          <w:tcPr>
            <w:tcW w:w="1530"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176" w:type="dxa"/>
            <w:vAlign w:val="center"/>
          </w:tcPr>
          <w:p>
            <w:pPr>
              <w:spacing w:line="276" w:lineRule="auto"/>
              <w:rPr>
                <w:szCs w:val="21"/>
              </w:rPr>
            </w:pPr>
            <w:r>
              <w:rPr>
                <w:rFonts w:hint="eastAsia"/>
                <w:szCs w:val="21"/>
              </w:rPr>
              <w:t>成立日期</w:t>
            </w:r>
          </w:p>
        </w:tc>
        <w:tc>
          <w:tcPr>
            <w:tcW w:w="2711" w:type="dxa"/>
            <w:vAlign w:val="center"/>
          </w:tcPr>
          <w:p>
            <w:pPr>
              <w:spacing w:line="276" w:lineRule="auto"/>
              <w:rPr>
                <w:szCs w:val="21"/>
              </w:rPr>
            </w:pPr>
          </w:p>
        </w:tc>
        <w:tc>
          <w:tcPr>
            <w:tcW w:w="1093" w:type="dxa"/>
            <w:vAlign w:val="center"/>
          </w:tcPr>
          <w:p>
            <w:pPr>
              <w:spacing w:line="276" w:lineRule="auto"/>
              <w:rPr>
                <w:szCs w:val="21"/>
              </w:rPr>
            </w:pPr>
            <w:r>
              <w:rPr>
                <w:rFonts w:hint="eastAsia"/>
                <w:szCs w:val="21"/>
              </w:rPr>
              <w:t>现有职</w:t>
            </w:r>
          </w:p>
          <w:p>
            <w:pPr>
              <w:spacing w:line="276" w:lineRule="auto"/>
              <w:rPr>
                <w:szCs w:val="21"/>
              </w:rPr>
            </w:pPr>
            <w:r>
              <w:rPr>
                <w:rFonts w:hint="eastAsia"/>
                <w:szCs w:val="21"/>
              </w:rPr>
              <w:t>工人数</w:t>
            </w:r>
          </w:p>
        </w:tc>
        <w:tc>
          <w:tcPr>
            <w:tcW w:w="1530"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8" w:hRule="atLeast"/>
          <w:jc w:val="center"/>
        </w:trPr>
        <w:tc>
          <w:tcPr>
            <w:tcW w:w="3176" w:type="dxa"/>
            <w:vAlign w:val="center"/>
          </w:tcPr>
          <w:p>
            <w:pPr>
              <w:spacing w:line="276" w:lineRule="auto"/>
              <w:rPr>
                <w:szCs w:val="21"/>
              </w:rPr>
            </w:pPr>
            <w:r>
              <w:rPr>
                <w:rFonts w:hint="eastAsia"/>
                <w:szCs w:val="21"/>
              </w:rPr>
              <w:t>资质证书</w:t>
            </w:r>
          </w:p>
        </w:tc>
        <w:tc>
          <w:tcPr>
            <w:tcW w:w="5334" w:type="dxa"/>
            <w:gridSpan w:val="3"/>
            <w:vAlign w:val="center"/>
          </w:tcPr>
          <w:p>
            <w:pPr>
              <w:spacing w:line="276" w:lineRule="auto"/>
              <w:rPr>
                <w:szCs w:val="21"/>
              </w:rPr>
            </w:pPr>
            <w:r>
              <w:rPr>
                <w:rFonts w:hint="eastAsia"/>
                <w:szCs w:val="21"/>
              </w:rPr>
              <w:t>等级：证书号：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9" w:hRule="atLeast"/>
          <w:jc w:val="center"/>
        </w:trPr>
        <w:tc>
          <w:tcPr>
            <w:tcW w:w="8510" w:type="dxa"/>
            <w:gridSpan w:val="4"/>
          </w:tcPr>
          <w:p>
            <w:pPr>
              <w:spacing w:line="276" w:lineRule="auto"/>
              <w:rPr>
                <w:szCs w:val="21"/>
              </w:rPr>
            </w:pPr>
            <w:r>
              <w:rPr>
                <w:rFonts w:hint="eastAsia"/>
                <w:szCs w:val="21"/>
              </w:rPr>
              <w:t>组织机构简介：（部室划分、各部室人数、中高级职称、执业注册等人数）</w:t>
            </w:r>
          </w:p>
          <w:p>
            <w:pPr>
              <w:spacing w:line="276" w:lineRule="auto"/>
              <w:rPr>
                <w:szCs w:val="21"/>
              </w:rPr>
            </w:pPr>
            <w:r>
              <w:rPr>
                <w:rFonts w:hint="eastAsia"/>
                <w:szCs w:val="21"/>
              </w:rPr>
              <w:t>企业组织机构框图附后</w:t>
            </w:r>
          </w:p>
          <w:p>
            <w:pPr>
              <w:spacing w:line="276" w:lineRule="auto"/>
              <w:rPr>
                <w:szCs w:val="21"/>
              </w:rPr>
            </w:pPr>
            <w:r>
              <w:rPr>
                <w:rFonts w:hint="eastAsia"/>
                <w:szCs w:val="21"/>
              </w:rPr>
              <w:t>技术人员总数：人</w:t>
            </w:r>
          </w:p>
          <w:p>
            <w:pPr>
              <w:spacing w:line="276" w:lineRule="auto"/>
              <w:rPr>
                <w:szCs w:val="21"/>
              </w:rPr>
            </w:pPr>
            <w:r>
              <w:rPr>
                <w:rFonts w:hint="eastAsia"/>
                <w:szCs w:val="21"/>
              </w:rPr>
              <w:t>职业注册类别：人</w:t>
            </w:r>
          </w:p>
        </w:tc>
      </w:tr>
    </w:tbl>
    <w:p>
      <w:pPr>
        <w:spacing w:line="400" w:lineRule="exact"/>
        <w:rPr>
          <w:szCs w:val="21"/>
        </w:rPr>
      </w:pPr>
      <w:r>
        <w:rPr>
          <w:rFonts w:hAnsi="宋体"/>
          <w:szCs w:val="21"/>
        </w:rPr>
        <w:t>备注：本表后应附企业法人营业执照</w:t>
      </w:r>
      <w:r>
        <w:rPr>
          <w:rFonts w:hint="eastAsia" w:hAnsi="宋体"/>
          <w:szCs w:val="21"/>
        </w:rPr>
        <w:t>副本</w:t>
      </w:r>
      <w:r>
        <w:rPr>
          <w:rFonts w:hAnsi="宋体"/>
          <w:szCs w:val="21"/>
        </w:rPr>
        <w:t>、企业资质证书副本等材料</w:t>
      </w:r>
      <w:r>
        <w:rPr>
          <w:rFonts w:hint="eastAsia" w:hAnsi="宋体"/>
          <w:szCs w:val="21"/>
        </w:rPr>
        <w:t>的</w:t>
      </w:r>
      <w:r>
        <w:rPr>
          <w:szCs w:val="21"/>
        </w:rPr>
        <w:t>扫描件</w:t>
      </w:r>
      <w:r>
        <w:rPr>
          <w:rFonts w:hint="eastAsia"/>
          <w:szCs w:val="21"/>
        </w:rPr>
        <w:t>并</w:t>
      </w:r>
      <w:r>
        <w:rPr>
          <w:szCs w:val="21"/>
        </w:rPr>
        <w:t>加盖公章</w:t>
      </w:r>
      <w:r>
        <w:rPr>
          <w:rFonts w:hint="eastAsia"/>
          <w:szCs w:val="21"/>
        </w:rPr>
        <w:t>。</w:t>
      </w:r>
    </w:p>
    <w:p>
      <w:pPr>
        <w:spacing w:line="276" w:lineRule="auto"/>
        <w:ind w:firstLine="3684" w:firstLineChars="1535"/>
        <w:rPr>
          <w:sz w:val="24"/>
          <w:szCs w:val="21"/>
        </w:rPr>
      </w:pPr>
    </w:p>
    <w:p>
      <w:pPr>
        <w:spacing w:line="276" w:lineRule="auto"/>
        <w:ind w:firstLine="3684" w:firstLineChars="1535"/>
        <w:rPr>
          <w:sz w:val="24"/>
          <w:szCs w:val="21"/>
        </w:rPr>
      </w:pPr>
    </w:p>
    <w:p>
      <w:pPr>
        <w:spacing w:line="400" w:lineRule="exact"/>
        <w:ind w:firstLine="3684" w:firstLineChars="1535"/>
        <w:rPr>
          <w:sz w:val="24"/>
          <w:szCs w:val="21"/>
        </w:rPr>
      </w:pPr>
      <w:r>
        <w:rPr>
          <w:rFonts w:hint="eastAsia"/>
          <w:sz w:val="24"/>
          <w:szCs w:val="21"/>
        </w:rPr>
        <w:t>投标人：（盖单位公章）</w:t>
      </w:r>
    </w:p>
    <w:p>
      <w:pPr>
        <w:spacing w:line="400" w:lineRule="exact"/>
        <w:ind w:firstLine="3684" w:firstLineChars="1535"/>
      </w:pPr>
      <w:r>
        <w:rPr>
          <w:rFonts w:hint="eastAsia"/>
          <w:sz w:val="24"/>
          <w:szCs w:val="21"/>
        </w:rPr>
        <w:t>法定代表人或其委托代理人：（签字）</w:t>
      </w:r>
    </w:p>
    <w:p>
      <w:pPr>
        <w:spacing w:line="400" w:lineRule="exact"/>
        <w:ind w:firstLine="3684" w:firstLineChars="1535"/>
        <w:jc w:val="left"/>
        <w:rPr>
          <w:sz w:val="24"/>
          <w:szCs w:val="21"/>
        </w:rPr>
      </w:pPr>
      <w:r>
        <w:rPr>
          <w:rFonts w:hint="eastAsia"/>
          <w:sz w:val="24"/>
          <w:szCs w:val="21"/>
        </w:rPr>
        <w:t>日期：  年  月  日</w:t>
      </w:r>
    </w:p>
    <w:p>
      <w:pPr>
        <w:ind w:firstLine="3584" w:firstLineChars="1700"/>
        <w:rPr>
          <w:rFonts w:hAnsi="宋体"/>
          <w:szCs w:val="21"/>
        </w:rPr>
      </w:pPr>
      <w:r>
        <w:rPr>
          <w:rFonts w:hAnsi="宋体"/>
          <w:b/>
          <w:szCs w:val="21"/>
        </w:rPr>
        <w:br w:type="page"/>
      </w:r>
      <w:bookmarkEnd w:id="1405"/>
      <w:bookmarkEnd w:id="1406"/>
      <w:bookmarkEnd w:id="1407"/>
      <w:bookmarkEnd w:id="1408"/>
      <w:bookmarkEnd w:id="1409"/>
      <w:bookmarkStart w:id="1449" w:name="_Toc152045809"/>
      <w:bookmarkStart w:id="1450" w:name="_Toc290475720"/>
      <w:bookmarkStart w:id="1451" w:name="_Toc297800233"/>
      <w:bookmarkStart w:id="1452" w:name="_Toc152042598"/>
      <w:bookmarkStart w:id="1453" w:name="_Toc11041"/>
      <w:bookmarkStart w:id="1454" w:name="_Toc144974877"/>
      <w:bookmarkStart w:id="1455" w:name="_Toc226780951"/>
    </w:p>
    <w:p>
      <w:pPr>
        <w:pStyle w:val="4"/>
      </w:pPr>
      <w:bookmarkStart w:id="1456" w:name="_Toc499311251"/>
      <w:bookmarkStart w:id="1457" w:name="_Toc6900"/>
      <w:bookmarkStart w:id="1458" w:name="_Toc499205036"/>
      <w:bookmarkStart w:id="1459" w:name="_Toc24987"/>
      <w:bookmarkStart w:id="1460" w:name="_Toc496098819"/>
      <w:r>
        <w:rPr>
          <w:rFonts w:hint="eastAsia"/>
        </w:rPr>
        <w:t>5.2 近年财务状况表</w:t>
      </w:r>
      <w:bookmarkEnd w:id="1449"/>
      <w:bookmarkEnd w:id="1450"/>
      <w:bookmarkEnd w:id="1451"/>
      <w:bookmarkEnd w:id="1452"/>
      <w:bookmarkEnd w:id="1453"/>
      <w:bookmarkEnd w:id="1454"/>
      <w:bookmarkEnd w:id="1456"/>
      <w:bookmarkEnd w:id="1457"/>
      <w:bookmarkEnd w:id="1458"/>
      <w:bookmarkEnd w:id="1459"/>
      <w:bookmarkEnd w:id="1460"/>
    </w:p>
    <w:p>
      <w:pPr>
        <w:topLinePunct/>
        <w:spacing w:line="440" w:lineRule="exact"/>
        <w:rPr>
          <w:rFonts w:ascii="宋体" w:hAnsi="宋体" w:cs="宋体"/>
          <w:szCs w:val="21"/>
        </w:rPr>
      </w:pPr>
      <w:r>
        <w:rPr>
          <w:rFonts w:hint="eastAsia" w:ascii="宋体" w:hAnsi="宋体" w:cs="宋体"/>
          <w:szCs w:val="21"/>
        </w:rPr>
        <w:t>备注：近年财务状况表指经过会计师事务所或者审计机构的审计的审计报告，包括资产负债表、利润表、现金流量表和财务情况说明书的完整扫描件，具体年份要求见第二章“投标人须知前附表”第</w:t>
      </w:r>
      <w:r>
        <w:rPr>
          <w:szCs w:val="21"/>
        </w:rPr>
        <w:t>3.5.2</w:t>
      </w:r>
      <w:r>
        <w:rPr>
          <w:rFonts w:hint="eastAsia" w:ascii="宋体" w:hAnsi="宋体" w:cs="宋体"/>
          <w:szCs w:val="21"/>
        </w:rPr>
        <w:t>项的规定。</w:t>
      </w:r>
    </w:p>
    <w:p/>
    <w:p/>
    <w:p/>
    <w:p/>
    <w:p/>
    <w:p/>
    <w:p/>
    <w:p/>
    <w:p/>
    <w:p/>
    <w:p/>
    <w:p/>
    <w:p/>
    <w:p/>
    <w:p/>
    <w:p/>
    <w:p/>
    <w:p/>
    <w:p/>
    <w:p/>
    <w:p/>
    <w:p/>
    <w:p/>
    <w:p/>
    <w:p/>
    <w:p/>
    <w:p/>
    <w:p/>
    <w:p/>
    <w:p/>
    <w:p/>
    <w:p/>
    <w:p/>
    <w:p/>
    <w:p/>
    <w:p/>
    <w:p/>
    <w:p>
      <w:pPr>
        <w:pStyle w:val="4"/>
      </w:pPr>
      <w:bookmarkStart w:id="1461" w:name="_Toc23886"/>
      <w:bookmarkStart w:id="1462" w:name="_Toc18971"/>
      <w:bookmarkStart w:id="1463" w:name="_Toc499311252"/>
      <w:bookmarkStart w:id="1464" w:name="_Toc18975"/>
      <w:bookmarkStart w:id="1465" w:name="_Toc499205037"/>
      <w:bookmarkStart w:id="1466" w:name="_Toc496098820"/>
      <w:r>
        <w:rPr>
          <w:rFonts w:hint="eastAsia"/>
        </w:rPr>
        <w:t>5.3 近五年安全、质量情况说明表</w:t>
      </w:r>
      <w:bookmarkEnd w:id="1461"/>
      <w:bookmarkEnd w:id="1462"/>
      <w:bookmarkEnd w:id="1463"/>
      <w:bookmarkEnd w:id="1464"/>
      <w:bookmarkEnd w:id="1465"/>
      <w:bookmarkEnd w:id="1466"/>
    </w:p>
    <w:p>
      <w:pPr>
        <w:jc w:val="center"/>
        <w:rPr>
          <w:rFonts w:ascii="宋体" w:hAnsi="宋体"/>
          <w:b/>
          <w:sz w:val="24"/>
        </w:rPr>
      </w:pPr>
      <w:r>
        <w:rPr>
          <w:rFonts w:hint="eastAsia" w:ascii="宋体" w:hAnsi="宋体"/>
          <w:b/>
          <w:sz w:val="24"/>
        </w:rPr>
        <w:t>近五年安全、质量情况说明表</w:t>
      </w:r>
    </w:p>
    <w:tbl>
      <w:tblPr>
        <w:tblStyle w:val="28"/>
        <w:tblW w:w="853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650"/>
        <w:gridCol w:w="63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2170" w:type="dxa"/>
            <w:gridSpan w:val="2"/>
            <w:vAlign w:val="center"/>
          </w:tcPr>
          <w:p>
            <w:pPr>
              <w:ind w:firstLine="365" w:firstLineChars="174"/>
              <w:jc w:val="left"/>
              <w:rPr>
                <w:szCs w:val="21"/>
              </w:rPr>
            </w:pPr>
            <w:r>
              <w:rPr>
                <w:rFonts w:hint="eastAsia"/>
                <w:szCs w:val="21"/>
              </w:rPr>
              <w:t>时间</w:t>
            </w:r>
          </w:p>
        </w:tc>
        <w:tc>
          <w:tcPr>
            <w:tcW w:w="6364" w:type="dxa"/>
            <w:vAlign w:val="center"/>
          </w:tcPr>
          <w:p>
            <w:pPr>
              <w:ind w:firstLine="420"/>
              <w:jc w:val="center"/>
              <w:rPr>
                <w:szCs w:val="21"/>
              </w:rPr>
            </w:pPr>
            <w:r>
              <w:rPr>
                <w:szCs w:val="21"/>
              </w:rPr>
              <w:t>投标人近</w:t>
            </w:r>
            <w:r>
              <w:rPr>
                <w:rFonts w:hint="eastAsia"/>
                <w:szCs w:val="21"/>
              </w:rPr>
              <w:t>五</w:t>
            </w:r>
            <w:r>
              <w:rPr>
                <w:szCs w:val="21"/>
              </w:rPr>
              <w:t>年安全、质量情况说明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2170" w:type="dxa"/>
            <w:gridSpan w:val="2"/>
            <w:vAlign w:val="center"/>
          </w:tcPr>
          <w:p>
            <w:pPr>
              <w:rPr>
                <w:szCs w:val="21"/>
              </w:rPr>
            </w:pPr>
            <w:r>
              <w:rPr>
                <w:szCs w:val="21"/>
              </w:rPr>
              <w:t>20</w:t>
            </w:r>
            <w:r>
              <w:rPr>
                <w:rFonts w:hint="eastAsia"/>
                <w:szCs w:val="21"/>
              </w:rPr>
              <w:t>12</w:t>
            </w:r>
            <w:r>
              <w:rPr>
                <w:szCs w:val="21"/>
              </w:rPr>
              <w:t>.</w:t>
            </w:r>
            <w:r>
              <w:rPr>
                <w:rFonts w:hint="eastAsia"/>
                <w:szCs w:val="21"/>
              </w:rPr>
              <w:t>01</w:t>
            </w:r>
            <w:r>
              <w:rPr>
                <w:szCs w:val="21"/>
              </w:rPr>
              <w:t>至20</w:t>
            </w:r>
            <w:r>
              <w:rPr>
                <w:rFonts w:hint="eastAsia"/>
                <w:szCs w:val="21"/>
              </w:rPr>
              <w:t>12</w:t>
            </w:r>
            <w:r>
              <w:rPr>
                <w:szCs w:val="21"/>
              </w:rPr>
              <w:t>.</w:t>
            </w:r>
            <w:r>
              <w:rPr>
                <w:rFonts w:hint="eastAsia"/>
                <w:szCs w:val="21"/>
              </w:rPr>
              <w:t>12</w:t>
            </w: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2170" w:type="dxa"/>
            <w:gridSpan w:val="2"/>
            <w:vAlign w:val="center"/>
          </w:tcPr>
          <w:p>
            <w:pPr>
              <w:rPr>
                <w:szCs w:val="21"/>
              </w:rPr>
            </w:pPr>
            <w:r>
              <w:rPr>
                <w:szCs w:val="21"/>
              </w:rPr>
              <w:t>20</w:t>
            </w:r>
            <w:r>
              <w:rPr>
                <w:rFonts w:hint="eastAsia"/>
                <w:szCs w:val="21"/>
              </w:rPr>
              <w:t>13</w:t>
            </w:r>
            <w:r>
              <w:rPr>
                <w:szCs w:val="21"/>
              </w:rPr>
              <w:t>.</w:t>
            </w:r>
            <w:r>
              <w:rPr>
                <w:rFonts w:hint="eastAsia"/>
                <w:szCs w:val="21"/>
              </w:rPr>
              <w:t>01</w:t>
            </w:r>
            <w:r>
              <w:rPr>
                <w:szCs w:val="21"/>
              </w:rPr>
              <w:t>至20</w:t>
            </w:r>
            <w:r>
              <w:rPr>
                <w:rFonts w:hint="eastAsia"/>
                <w:szCs w:val="21"/>
              </w:rPr>
              <w:t>13</w:t>
            </w:r>
            <w:r>
              <w:rPr>
                <w:szCs w:val="21"/>
              </w:rPr>
              <w:t>.</w:t>
            </w:r>
            <w:r>
              <w:rPr>
                <w:rFonts w:hint="eastAsia"/>
                <w:szCs w:val="21"/>
              </w:rPr>
              <w:t>12</w:t>
            </w: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2170" w:type="dxa"/>
            <w:gridSpan w:val="2"/>
            <w:vAlign w:val="center"/>
          </w:tcPr>
          <w:p>
            <w:pPr>
              <w:rPr>
                <w:szCs w:val="21"/>
              </w:rPr>
            </w:pPr>
            <w:r>
              <w:rPr>
                <w:szCs w:val="21"/>
              </w:rPr>
              <w:t>20</w:t>
            </w:r>
            <w:r>
              <w:rPr>
                <w:rFonts w:hint="eastAsia"/>
                <w:szCs w:val="21"/>
              </w:rPr>
              <w:t>14</w:t>
            </w:r>
            <w:r>
              <w:rPr>
                <w:szCs w:val="21"/>
              </w:rPr>
              <w:t>.</w:t>
            </w:r>
            <w:r>
              <w:rPr>
                <w:rFonts w:hint="eastAsia"/>
                <w:szCs w:val="21"/>
              </w:rPr>
              <w:t>01</w:t>
            </w:r>
            <w:r>
              <w:rPr>
                <w:szCs w:val="21"/>
              </w:rPr>
              <w:t>至20</w:t>
            </w:r>
            <w:r>
              <w:rPr>
                <w:rFonts w:hint="eastAsia"/>
                <w:szCs w:val="21"/>
              </w:rPr>
              <w:t>14</w:t>
            </w:r>
            <w:r>
              <w:rPr>
                <w:szCs w:val="21"/>
              </w:rPr>
              <w:t>.</w:t>
            </w:r>
            <w:r>
              <w:rPr>
                <w:rFonts w:hint="eastAsia"/>
                <w:szCs w:val="21"/>
              </w:rPr>
              <w:t>12</w:t>
            </w: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2170" w:type="dxa"/>
            <w:gridSpan w:val="2"/>
            <w:vAlign w:val="center"/>
          </w:tcPr>
          <w:p>
            <w:pPr>
              <w:rPr>
                <w:szCs w:val="21"/>
              </w:rPr>
            </w:pPr>
            <w:r>
              <w:rPr>
                <w:szCs w:val="21"/>
              </w:rPr>
              <w:t>20</w:t>
            </w:r>
            <w:r>
              <w:rPr>
                <w:rFonts w:hint="eastAsia"/>
                <w:szCs w:val="21"/>
              </w:rPr>
              <w:t>15</w:t>
            </w:r>
            <w:r>
              <w:rPr>
                <w:szCs w:val="21"/>
              </w:rPr>
              <w:t>.</w:t>
            </w:r>
            <w:r>
              <w:rPr>
                <w:rFonts w:hint="eastAsia"/>
                <w:szCs w:val="21"/>
              </w:rPr>
              <w:t>01</w:t>
            </w:r>
            <w:r>
              <w:rPr>
                <w:szCs w:val="21"/>
              </w:rPr>
              <w:t>至20</w:t>
            </w:r>
            <w:r>
              <w:rPr>
                <w:rFonts w:hint="eastAsia"/>
                <w:szCs w:val="21"/>
              </w:rPr>
              <w:t>15</w:t>
            </w:r>
            <w:r>
              <w:rPr>
                <w:szCs w:val="21"/>
              </w:rPr>
              <w:t>.</w:t>
            </w:r>
            <w:r>
              <w:rPr>
                <w:rFonts w:hint="eastAsia"/>
                <w:szCs w:val="21"/>
              </w:rPr>
              <w:t>12</w:t>
            </w: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2170" w:type="dxa"/>
            <w:gridSpan w:val="2"/>
            <w:vAlign w:val="center"/>
          </w:tcPr>
          <w:p>
            <w:pPr>
              <w:rPr>
                <w:szCs w:val="21"/>
              </w:rPr>
            </w:pPr>
            <w:r>
              <w:rPr>
                <w:szCs w:val="21"/>
              </w:rPr>
              <w:t>20</w:t>
            </w:r>
            <w:r>
              <w:rPr>
                <w:rFonts w:hint="eastAsia"/>
                <w:szCs w:val="21"/>
              </w:rPr>
              <w:t>16</w:t>
            </w:r>
            <w:r>
              <w:rPr>
                <w:szCs w:val="21"/>
              </w:rPr>
              <w:t>.</w:t>
            </w:r>
            <w:r>
              <w:rPr>
                <w:rFonts w:hint="eastAsia"/>
                <w:szCs w:val="21"/>
              </w:rPr>
              <w:t>01</w:t>
            </w:r>
            <w:r>
              <w:rPr>
                <w:szCs w:val="21"/>
              </w:rPr>
              <w:t>至20</w:t>
            </w:r>
            <w:r>
              <w:rPr>
                <w:rFonts w:hint="eastAsia"/>
                <w:szCs w:val="21"/>
              </w:rPr>
              <w:t>16</w:t>
            </w:r>
            <w:r>
              <w:rPr>
                <w:szCs w:val="21"/>
              </w:rPr>
              <w:t>.</w:t>
            </w:r>
            <w:r>
              <w:rPr>
                <w:rFonts w:hint="eastAsia"/>
                <w:szCs w:val="21"/>
              </w:rPr>
              <w:t>12</w:t>
            </w: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2170" w:type="dxa"/>
            <w:gridSpan w:val="2"/>
            <w:vAlign w:val="center"/>
          </w:tcPr>
          <w:p>
            <w:pPr>
              <w:rPr>
                <w:szCs w:val="21"/>
              </w:rPr>
            </w:pPr>
            <w:r>
              <w:rPr>
                <w:rFonts w:hint="eastAsia"/>
                <w:szCs w:val="21"/>
              </w:rPr>
              <w:t>2017.01至今</w:t>
            </w: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520" w:type="dxa"/>
            <w:vMerge w:val="restart"/>
            <w:vAlign w:val="center"/>
          </w:tcPr>
          <w:p>
            <w:pPr>
              <w:rPr>
                <w:szCs w:val="21"/>
              </w:rPr>
            </w:pPr>
            <w:r>
              <w:rPr>
                <w:szCs w:val="21"/>
              </w:rPr>
              <w:t>安全</w:t>
            </w:r>
          </w:p>
          <w:p>
            <w:pPr>
              <w:rPr>
                <w:szCs w:val="21"/>
              </w:rPr>
            </w:pPr>
            <w:r>
              <w:rPr>
                <w:szCs w:val="21"/>
              </w:rPr>
              <w:t>质量事故</w:t>
            </w:r>
          </w:p>
        </w:tc>
        <w:tc>
          <w:tcPr>
            <w:tcW w:w="1650" w:type="dxa"/>
            <w:vAlign w:val="center"/>
          </w:tcPr>
          <w:p>
            <w:pPr>
              <w:rPr>
                <w:szCs w:val="21"/>
              </w:rPr>
            </w:pPr>
            <w:r>
              <w:rPr>
                <w:rFonts w:hint="eastAsia"/>
                <w:szCs w:val="21"/>
              </w:rPr>
              <w:t>项目</w:t>
            </w:r>
            <w:r>
              <w:rPr>
                <w:szCs w:val="21"/>
              </w:rPr>
              <w:t>名称</w:t>
            </w:r>
          </w:p>
        </w:tc>
        <w:tc>
          <w:tcPr>
            <w:tcW w:w="6364" w:type="dxa"/>
            <w:vAlign w:val="center"/>
          </w:tcPr>
          <w:p>
            <w:pPr>
              <w:ind w:firstLine="420"/>
              <w:jc w:val="center"/>
              <w:rPr>
                <w:szCs w:val="21"/>
              </w:rPr>
            </w:pPr>
            <w:r>
              <w:rPr>
                <w:szCs w:val="21"/>
              </w:rPr>
              <w:t>事故发生原因及责任简要说明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520" w:type="dxa"/>
            <w:vMerge w:val="continue"/>
            <w:vAlign w:val="center"/>
          </w:tcPr>
          <w:p>
            <w:pPr>
              <w:ind w:firstLine="420"/>
              <w:jc w:val="center"/>
              <w:rPr>
                <w:szCs w:val="21"/>
              </w:rPr>
            </w:pPr>
          </w:p>
        </w:tc>
        <w:tc>
          <w:tcPr>
            <w:tcW w:w="1650" w:type="dxa"/>
            <w:vAlign w:val="center"/>
          </w:tcPr>
          <w:p>
            <w:pPr>
              <w:ind w:firstLine="420"/>
              <w:jc w:val="center"/>
              <w:rPr>
                <w:szCs w:val="21"/>
              </w:rPr>
            </w:pP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520" w:type="dxa"/>
            <w:vMerge w:val="continue"/>
            <w:vAlign w:val="center"/>
          </w:tcPr>
          <w:p>
            <w:pPr>
              <w:ind w:firstLine="420"/>
              <w:jc w:val="center"/>
              <w:rPr>
                <w:szCs w:val="21"/>
              </w:rPr>
            </w:pPr>
          </w:p>
        </w:tc>
        <w:tc>
          <w:tcPr>
            <w:tcW w:w="1650" w:type="dxa"/>
            <w:vAlign w:val="center"/>
          </w:tcPr>
          <w:p>
            <w:pPr>
              <w:ind w:firstLine="420"/>
              <w:jc w:val="center"/>
              <w:rPr>
                <w:szCs w:val="21"/>
              </w:rPr>
            </w:pP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520" w:type="dxa"/>
            <w:vMerge w:val="continue"/>
            <w:vAlign w:val="center"/>
          </w:tcPr>
          <w:p>
            <w:pPr>
              <w:ind w:firstLine="420"/>
              <w:jc w:val="center"/>
              <w:rPr>
                <w:szCs w:val="21"/>
              </w:rPr>
            </w:pPr>
          </w:p>
        </w:tc>
        <w:tc>
          <w:tcPr>
            <w:tcW w:w="1650" w:type="dxa"/>
            <w:vAlign w:val="center"/>
          </w:tcPr>
          <w:p>
            <w:pPr>
              <w:ind w:firstLine="420"/>
              <w:jc w:val="center"/>
              <w:rPr>
                <w:szCs w:val="21"/>
              </w:rPr>
            </w:pP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520" w:type="dxa"/>
            <w:vMerge w:val="continue"/>
            <w:vAlign w:val="center"/>
          </w:tcPr>
          <w:p>
            <w:pPr>
              <w:ind w:firstLine="420"/>
              <w:jc w:val="center"/>
              <w:rPr>
                <w:szCs w:val="21"/>
              </w:rPr>
            </w:pPr>
          </w:p>
        </w:tc>
        <w:tc>
          <w:tcPr>
            <w:tcW w:w="1650" w:type="dxa"/>
            <w:vAlign w:val="center"/>
          </w:tcPr>
          <w:p>
            <w:pPr>
              <w:ind w:firstLine="420"/>
              <w:jc w:val="center"/>
              <w:rPr>
                <w:szCs w:val="21"/>
              </w:rPr>
            </w:pP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520" w:type="dxa"/>
            <w:vMerge w:val="continue"/>
            <w:vAlign w:val="center"/>
          </w:tcPr>
          <w:p>
            <w:pPr>
              <w:ind w:firstLine="420"/>
              <w:jc w:val="center"/>
              <w:rPr>
                <w:szCs w:val="21"/>
              </w:rPr>
            </w:pPr>
          </w:p>
        </w:tc>
        <w:tc>
          <w:tcPr>
            <w:tcW w:w="1650" w:type="dxa"/>
            <w:vAlign w:val="center"/>
          </w:tcPr>
          <w:p>
            <w:pPr>
              <w:ind w:firstLine="420"/>
              <w:jc w:val="center"/>
              <w:rPr>
                <w:szCs w:val="21"/>
              </w:rPr>
            </w:pP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520" w:type="dxa"/>
            <w:vMerge w:val="continue"/>
            <w:vAlign w:val="center"/>
          </w:tcPr>
          <w:p>
            <w:pPr>
              <w:ind w:firstLine="420"/>
              <w:jc w:val="center"/>
              <w:rPr>
                <w:szCs w:val="21"/>
              </w:rPr>
            </w:pPr>
          </w:p>
        </w:tc>
        <w:tc>
          <w:tcPr>
            <w:tcW w:w="1650" w:type="dxa"/>
            <w:vAlign w:val="center"/>
          </w:tcPr>
          <w:p>
            <w:pPr>
              <w:ind w:firstLine="420"/>
              <w:jc w:val="center"/>
              <w:rPr>
                <w:szCs w:val="21"/>
              </w:rPr>
            </w:pP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520" w:type="dxa"/>
            <w:vMerge w:val="continue"/>
            <w:vAlign w:val="center"/>
          </w:tcPr>
          <w:p>
            <w:pPr>
              <w:ind w:firstLine="420"/>
              <w:jc w:val="center"/>
              <w:rPr>
                <w:szCs w:val="21"/>
              </w:rPr>
            </w:pPr>
          </w:p>
        </w:tc>
        <w:tc>
          <w:tcPr>
            <w:tcW w:w="1650" w:type="dxa"/>
            <w:vAlign w:val="center"/>
          </w:tcPr>
          <w:p>
            <w:pPr>
              <w:ind w:firstLine="420"/>
              <w:jc w:val="center"/>
              <w:rPr>
                <w:szCs w:val="21"/>
              </w:rPr>
            </w:pP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520" w:type="dxa"/>
            <w:vMerge w:val="continue"/>
            <w:vAlign w:val="center"/>
          </w:tcPr>
          <w:p>
            <w:pPr>
              <w:ind w:firstLine="420"/>
              <w:jc w:val="center"/>
              <w:rPr>
                <w:szCs w:val="21"/>
              </w:rPr>
            </w:pPr>
          </w:p>
        </w:tc>
        <w:tc>
          <w:tcPr>
            <w:tcW w:w="1650" w:type="dxa"/>
            <w:vAlign w:val="center"/>
          </w:tcPr>
          <w:p>
            <w:pPr>
              <w:ind w:firstLine="420"/>
              <w:jc w:val="center"/>
              <w:rPr>
                <w:szCs w:val="21"/>
              </w:rPr>
            </w:pPr>
          </w:p>
        </w:tc>
        <w:tc>
          <w:tcPr>
            <w:tcW w:w="6364" w:type="dxa"/>
            <w:vAlign w:val="center"/>
          </w:tcPr>
          <w:p>
            <w:pPr>
              <w:ind w:firstLine="420"/>
              <w:jc w:val="center"/>
              <w:rPr>
                <w:szCs w:val="21"/>
              </w:rPr>
            </w:pPr>
          </w:p>
        </w:tc>
      </w:tr>
    </w:tbl>
    <w:p>
      <w:pPr>
        <w:spacing w:line="400" w:lineRule="exact"/>
        <w:rPr>
          <w:szCs w:val="21"/>
        </w:rPr>
      </w:pPr>
      <w:r>
        <w:rPr>
          <w:rFonts w:hint="eastAsia"/>
          <w:szCs w:val="21"/>
        </w:rPr>
        <w:t>备注：1.投标人承担的服务项目未发生过安全、质量事故，请在投标人近五年安全、质量情况说明栏中填写“无”。</w:t>
      </w:r>
    </w:p>
    <w:p>
      <w:pPr>
        <w:spacing w:line="400" w:lineRule="exact"/>
        <w:ind w:firstLine="420"/>
        <w:rPr>
          <w:szCs w:val="21"/>
        </w:rPr>
      </w:pPr>
      <w:r>
        <w:rPr>
          <w:rFonts w:hint="eastAsia"/>
          <w:szCs w:val="21"/>
        </w:rPr>
        <w:t>2.本页不够请附页。</w:t>
      </w:r>
    </w:p>
    <w:p>
      <w:pPr>
        <w:spacing w:line="400" w:lineRule="exact"/>
        <w:ind w:firstLine="3684" w:firstLineChars="1535"/>
        <w:rPr>
          <w:sz w:val="24"/>
          <w:szCs w:val="21"/>
        </w:rPr>
      </w:pPr>
      <w:bookmarkStart w:id="1467" w:name="_Toc297800234"/>
      <w:bookmarkStart w:id="1468" w:name="_Toc496098821"/>
      <w:bookmarkStart w:id="1469" w:name="_Toc19364"/>
      <w:bookmarkStart w:id="1470" w:name="_Toc290475721"/>
      <w:r>
        <w:rPr>
          <w:rFonts w:hint="eastAsia"/>
          <w:sz w:val="24"/>
          <w:szCs w:val="21"/>
        </w:rPr>
        <w:t>投标人：（盖单位公章）</w:t>
      </w:r>
    </w:p>
    <w:p>
      <w:pPr>
        <w:spacing w:line="400" w:lineRule="exact"/>
        <w:ind w:firstLine="3684" w:firstLineChars="1535"/>
      </w:pPr>
      <w:r>
        <w:rPr>
          <w:rFonts w:hint="eastAsia"/>
          <w:sz w:val="24"/>
          <w:szCs w:val="21"/>
        </w:rPr>
        <w:t>法定代表人或其委托代理人：（签字）</w:t>
      </w:r>
    </w:p>
    <w:p>
      <w:pPr>
        <w:spacing w:line="400" w:lineRule="exact"/>
        <w:ind w:firstLine="3684" w:firstLineChars="1535"/>
        <w:jc w:val="left"/>
        <w:rPr>
          <w:sz w:val="24"/>
          <w:szCs w:val="21"/>
        </w:rPr>
      </w:pPr>
      <w:r>
        <w:rPr>
          <w:rFonts w:hint="eastAsia"/>
          <w:sz w:val="24"/>
          <w:szCs w:val="21"/>
        </w:rPr>
        <w:t>日期：  年  月  日</w:t>
      </w:r>
    </w:p>
    <w:p/>
    <w:p/>
    <w:p/>
    <w:p>
      <w:pPr>
        <w:pStyle w:val="4"/>
      </w:pPr>
      <w:bookmarkStart w:id="1471" w:name="_Toc16451"/>
      <w:bookmarkStart w:id="1472" w:name="_Toc499205038"/>
      <w:bookmarkStart w:id="1473" w:name="_Toc25939"/>
      <w:bookmarkStart w:id="1474" w:name="_Toc499311253"/>
      <w:r>
        <w:rPr>
          <w:rFonts w:hint="eastAsia"/>
        </w:rPr>
        <w:t>5.4 近年承担类似项目业绩情况一览表</w:t>
      </w:r>
      <w:bookmarkEnd w:id="1467"/>
      <w:bookmarkEnd w:id="1468"/>
      <w:bookmarkEnd w:id="1469"/>
      <w:bookmarkEnd w:id="1470"/>
      <w:bookmarkEnd w:id="1471"/>
      <w:bookmarkEnd w:id="1472"/>
      <w:bookmarkEnd w:id="1473"/>
      <w:bookmarkEnd w:id="1474"/>
    </w:p>
    <w:p>
      <w:pPr>
        <w:jc w:val="center"/>
        <w:rPr>
          <w:rFonts w:ascii="宋体" w:hAnsi="宋体"/>
          <w:b/>
          <w:sz w:val="24"/>
        </w:rPr>
      </w:pPr>
      <w:r>
        <w:rPr>
          <w:rFonts w:hint="eastAsia" w:ascii="宋体" w:hAnsi="宋体"/>
          <w:b/>
          <w:sz w:val="24"/>
        </w:rPr>
        <w:t>近年承担类似项目业绩情况一览表</w:t>
      </w:r>
    </w:p>
    <w:tbl>
      <w:tblPr>
        <w:tblStyle w:val="28"/>
        <w:tblW w:w="866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74"/>
        <w:gridCol w:w="1121"/>
        <w:gridCol w:w="865"/>
        <w:gridCol w:w="709"/>
        <w:gridCol w:w="709"/>
        <w:gridCol w:w="1134"/>
        <w:gridCol w:w="1275"/>
        <w:gridCol w:w="1418"/>
        <w:gridCol w:w="76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74" w:type="dxa"/>
            <w:vAlign w:val="center"/>
          </w:tcPr>
          <w:p>
            <w:pPr>
              <w:spacing w:line="276" w:lineRule="auto"/>
              <w:rPr>
                <w:szCs w:val="21"/>
              </w:rPr>
            </w:pPr>
            <w:r>
              <w:rPr>
                <w:rFonts w:hint="eastAsia"/>
                <w:szCs w:val="21"/>
              </w:rPr>
              <w:t>序号</w:t>
            </w:r>
          </w:p>
        </w:tc>
        <w:tc>
          <w:tcPr>
            <w:tcW w:w="1121" w:type="dxa"/>
            <w:vAlign w:val="center"/>
          </w:tcPr>
          <w:p>
            <w:pPr>
              <w:spacing w:line="276" w:lineRule="auto"/>
              <w:rPr>
                <w:szCs w:val="21"/>
              </w:rPr>
            </w:pPr>
            <w:r>
              <w:rPr>
                <w:rFonts w:hint="eastAsia"/>
                <w:szCs w:val="21"/>
              </w:rPr>
              <w:t>建设单位（业主）</w:t>
            </w:r>
          </w:p>
        </w:tc>
        <w:tc>
          <w:tcPr>
            <w:tcW w:w="865" w:type="dxa"/>
            <w:vAlign w:val="center"/>
          </w:tcPr>
          <w:p>
            <w:pPr>
              <w:spacing w:line="276" w:lineRule="auto"/>
              <w:rPr>
                <w:szCs w:val="21"/>
              </w:rPr>
            </w:pPr>
            <w:r>
              <w:rPr>
                <w:rFonts w:hint="eastAsia"/>
                <w:szCs w:val="21"/>
              </w:rPr>
              <w:t>项目名称</w:t>
            </w:r>
          </w:p>
        </w:tc>
        <w:tc>
          <w:tcPr>
            <w:tcW w:w="709" w:type="dxa"/>
            <w:vAlign w:val="center"/>
          </w:tcPr>
          <w:p>
            <w:pPr>
              <w:spacing w:line="276" w:lineRule="auto"/>
              <w:rPr>
                <w:szCs w:val="21"/>
              </w:rPr>
            </w:pPr>
            <w:r>
              <w:rPr>
                <w:rFonts w:hint="eastAsia"/>
                <w:szCs w:val="21"/>
              </w:rPr>
              <w:t>建设规模</w:t>
            </w:r>
          </w:p>
        </w:tc>
        <w:tc>
          <w:tcPr>
            <w:tcW w:w="709" w:type="dxa"/>
            <w:vAlign w:val="center"/>
          </w:tcPr>
          <w:p>
            <w:pPr>
              <w:spacing w:line="276" w:lineRule="auto"/>
              <w:rPr>
                <w:szCs w:val="21"/>
              </w:rPr>
            </w:pPr>
            <w:r>
              <w:rPr>
                <w:rFonts w:hint="eastAsia"/>
                <w:szCs w:val="21"/>
              </w:rPr>
              <w:t>工作内容</w:t>
            </w:r>
          </w:p>
        </w:tc>
        <w:tc>
          <w:tcPr>
            <w:tcW w:w="1134" w:type="dxa"/>
            <w:vAlign w:val="center"/>
          </w:tcPr>
          <w:p>
            <w:pPr>
              <w:spacing w:line="276" w:lineRule="auto"/>
              <w:rPr>
                <w:szCs w:val="21"/>
              </w:rPr>
            </w:pPr>
            <w:r>
              <w:rPr>
                <w:rFonts w:hint="eastAsia"/>
                <w:szCs w:val="21"/>
              </w:rPr>
              <w:t>总监理工程师/总监理工程师代表</w:t>
            </w:r>
          </w:p>
        </w:tc>
        <w:tc>
          <w:tcPr>
            <w:tcW w:w="1275" w:type="dxa"/>
          </w:tcPr>
          <w:p>
            <w:pPr>
              <w:spacing w:line="276" w:lineRule="auto"/>
              <w:rPr>
                <w:szCs w:val="21"/>
              </w:rPr>
            </w:pPr>
            <w:r>
              <w:rPr>
                <w:rFonts w:hint="eastAsia"/>
                <w:szCs w:val="21"/>
              </w:rPr>
              <w:t>开始时间—完成时间（年/月/日）</w:t>
            </w:r>
          </w:p>
        </w:tc>
        <w:tc>
          <w:tcPr>
            <w:tcW w:w="1418" w:type="dxa"/>
            <w:vAlign w:val="center"/>
          </w:tcPr>
          <w:p>
            <w:pPr>
              <w:spacing w:line="276" w:lineRule="auto"/>
              <w:rPr>
                <w:szCs w:val="21"/>
              </w:rPr>
            </w:pPr>
            <w:r>
              <w:rPr>
                <w:rFonts w:hint="eastAsia"/>
                <w:szCs w:val="21"/>
              </w:rPr>
              <w:t>质量评定</w:t>
            </w:r>
          </w:p>
          <w:p>
            <w:pPr>
              <w:spacing w:line="276" w:lineRule="auto"/>
              <w:rPr>
                <w:szCs w:val="21"/>
              </w:rPr>
            </w:pPr>
            <w:r>
              <w:rPr>
                <w:rFonts w:hint="eastAsia"/>
                <w:szCs w:val="21"/>
              </w:rPr>
              <w:t>（是否获奖）</w:t>
            </w:r>
          </w:p>
        </w:tc>
        <w:tc>
          <w:tcPr>
            <w:tcW w:w="760" w:type="dxa"/>
            <w:vAlign w:val="center"/>
          </w:tcPr>
          <w:p>
            <w:pPr>
              <w:spacing w:line="276" w:lineRule="auto"/>
              <w:rPr>
                <w:szCs w:val="21"/>
              </w:rPr>
            </w:pPr>
            <w:r>
              <w:rPr>
                <w:rFonts w:hint="eastAsia"/>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r>
              <w:rPr>
                <w:rFonts w:hint="eastAsia"/>
                <w:szCs w:val="21"/>
              </w:rPr>
              <w:t>……</w:t>
            </w: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bl>
    <w:p>
      <w:pPr>
        <w:spacing w:line="400" w:lineRule="exact"/>
        <w:rPr>
          <w:szCs w:val="21"/>
        </w:rPr>
      </w:pPr>
      <w:r>
        <w:rPr>
          <w:rFonts w:hint="eastAsia"/>
          <w:szCs w:val="21"/>
        </w:rPr>
        <w:t>备注：</w:t>
      </w:r>
      <w:r>
        <w:rPr>
          <w:szCs w:val="21"/>
        </w:rPr>
        <w:t>1</w:t>
      </w:r>
      <w:r>
        <w:rPr>
          <w:rFonts w:hint="eastAsia"/>
          <w:szCs w:val="21"/>
        </w:rPr>
        <w:t>.本页不够请续表。</w:t>
      </w:r>
    </w:p>
    <w:p>
      <w:pPr>
        <w:spacing w:line="400" w:lineRule="exact"/>
        <w:ind w:firstLine="420"/>
        <w:rPr>
          <w:szCs w:val="21"/>
        </w:rPr>
      </w:pPr>
      <w:r>
        <w:rPr>
          <w:rFonts w:hint="eastAsia"/>
          <w:szCs w:val="21"/>
        </w:rPr>
        <w:t xml:space="preserve">  2.备注表格应填写已完或正在实施。</w:t>
      </w:r>
    </w:p>
    <w:p>
      <w:pPr>
        <w:spacing w:line="400" w:lineRule="exact"/>
        <w:ind w:firstLine="420"/>
        <w:rPr>
          <w:szCs w:val="21"/>
        </w:rPr>
      </w:pPr>
      <w:r>
        <w:rPr>
          <w:rFonts w:hint="eastAsia"/>
          <w:szCs w:val="21"/>
        </w:rPr>
        <w:t xml:space="preserve">  3.具体年份要求见第二章“投标人须知前附表”第3.5.4项的规定。</w:t>
      </w:r>
    </w:p>
    <w:p>
      <w:pPr>
        <w:spacing w:line="276" w:lineRule="auto"/>
        <w:ind w:firstLine="3684" w:firstLineChars="1535"/>
        <w:rPr>
          <w:sz w:val="24"/>
          <w:szCs w:val="21"/>
        </w:rPr>
      </w:pPr>
    </w:p>
    <w:p>
      <w:pPr>
        <w:spacing w:line="400" w:lineRule="exact"/>
        <w:ind w:firstLine="3684" w:firstLineChars="1535"/>
        <w:rPr>
          <w:sz w:val="24"/>
          <w:szCs w:val="21"/>
        </w:rPr>
      </w:pPr>
      <w:r>
        <w:rPr>
          <w:rFonts w:hint="eastAsia"/>
          <w:sz w:val="24"/>
          <w:szCs w:val="21"/>
        </w:rPr>
        <w:t>投标人：（盖单位公章）</w:t>
      </w:r>
    </w:p>
    <w:p>
      <w:pPr>
        <w:spacing w:line="400" w:lineRule="exact"/>
        <w:ind w:firstLine="3684" w:firstLineChars="1535"/>
      </w:pPr>
      <w:r>
        <w:rPr>
          <w:rFonts w:hint="eastAsia"/>
          <w:sz w:val="24"/>
          <w:szCs w:val="21"/>
        </w:rPr>
        <w:t>法定代表人或其委托代理人：（签字）</w:t>
      </w:r>
    </w:p>
    <w:p>
      <w:pPr>
        <w:spacing w:line="400" w:lineRule="exact"/>
        <w:ind w:firstLine="3684" w:firstLineChars="1535"/>
        <w:jc w:val="left"/>
        <w:rPr>
          <w:sz w:val="24"/>
          <w:szCs w:val="21"/>
        </w:rPr>
      </w:pPr>
      <w:r>
        <w:rPr>
          <w:rFonts w:hint="eastAsia"/>
          <w:sz w:val="24"/>
          <w:szCs w:val="21"/>
        </w:rPr>
        <w:t>日期：  年  月  日</w:t>
      </w:r>
    </w:p>
    <w:p>
      <w:pPr>
        <w:spacing w:line="440" w:lineRule="exact"/>
        <w:ind w:firstLine="3542" w:firstLineChars="1687"/>
        <w:rPr>
          <w:szCs w:val="21"/>
        </w:rPr>
      </w:pPr>
    </w:p>
    <w:p/>
    <w:p>
      <w:pPr>
        <w:pStyle w:val="4"/>
      </w:pPr>
      <w:bookmarkStart w:id="1475" w:name="_Toc18367"/>
      <w:bookmarkStart w:id="1476" w:name="_Toc24519"/>
      <w:bookmarkStart w:id="1477" w:name="_Toc297800235"/>
      <w:bookmarkStart w:id="1478" w:name="_Toc18730"/>
      <w:bookmarkStart w:id="1479" w:name="_Toc499311254"/>
      <w:bookmarkStart w:id="1480" w:name="_Toc496098822"/>
      <w:bookmarkStart w:id="1481" w:name="_Toc499205039"/>
      <w:r>
        <w:rPr>
          <w:rFonts w:hint="eastAsia"/>
        </w:rPr>
        <w:t>5.5近年承担类似项目业绩情况表</w:t>
      </w:r>
      <w:bookmarkEnd w:id="1475"/>
      <w:bookmarkEnd w:id="1476"/>
      <w:bookmarkEnd w:id="1477"/>
      <w:bookmarkEnd w:id="1478"/>
      <w:bookmarkEnd w:id="1479"/>
      <w:bookmarkEnd w:id="1480"/>
      <w:bookmarkEnd w:id="1481"/>
    </w:p>
    <w:p>
      <w:pPr>
        <w:jc w:val="center"/>
        <w:rPr>
          <w:rFonts w:ascii="宋体" w:hAnsi="宋体"/>
          <w:b/>
          <w:sz w:val="24"/>
        </w:rPr>
      </w:pPr>
      <w:r>
        <w:rPr>
          <w:rFonts w:hint="eastAsia" w:ascii="宋体" w:hAnsi="宋体"/>
          <w:b/>
          <w:sz w:val="24"/>
        </w:rPr>
        <w:t>近年承担类似项目业绩情况表</w:t>
      </w:r>
    </w:p>
    <w:tbl>
      <w:tblPr>
        <w:tblStyle w:val="28"/>
        <w:tblW w:w="87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32"/>
        <w:gridCol w:w="64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7" w:hRule="atLeast"/>
          <w:jc w:val="center"/>
        </w:trPr>
        <w:tc>
          <w:tcPr>
            <w:tcW w:w="2332" w:type="dxa"/>
            <w:vAlign w:val="center"/>
          </w:tcPr>
          <w:p>
            <w:pPr>
              <w:adjustRightInd w:val="0"/>
              <w:snapToGrid w:val="0"/>
              <w:spacing w:line="276" w:lineRule="auto"/>
              <w:jc w:val="center"/>
              <w:rPr>
                <w:rFonts w:ascii="宋体" w:hAnsi="宋体"/>
                <w:szCs w:val="21"/>
              </w:rPr>
            </w:pPr>
            <w:r>
              <w:rPr>
                <w:rFonts w:hint="eastAsia" w:ascii="宋体" w:hAnsi="宋体"/>
                <w:szCs w:val="21"/>
              </w:rPr>
              <w:t>建设单位</w:t>
            </w:r>
          </w:p>
          <w:p>
            <w:pPr>
              <w:adjustRightInd w:val="0"/>
              <w:snapToGrid w:val="0"/>
              <w:spacing w:line="276" w:lineRule="auto"/>
              <w:jc w:val="center"/>
              <w:rPr>
                <w:rFonts w:ascii="宋体" w:hAnsi="宋体"/>
                <w:szCs w:val="21"/>
              </w:rPr>
            </w:pPr>
            <w:r>
              <w:rPr>
                <w:rFonts w:hint="eastAsia" w:ascii="宋体" w:hAnsi="宋体"/>
                <w:szCs w:val="21"/>
              </w:rPr>
              <w:t>（业主）</w:t>
            </w:r>
          </w:p>
        </w:tc>
        <w:tc>
          <w:tcPr>
            <w:tcW w:w="6428" w:type="dxa"/>
            <w:vAlign w:val="center"/>
          </w:tcPr>
          <w:p>
            <w:pPr>
              <w:adjustRightInd w:val="0"/>
              <w:snapToGrid w:val="0"/>
              <w:spacing w:line="276" w:lineRule="auto"/>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jc w:val="center"/>
        </w:trPr>
        <w:tc>
          <w:tcPr>
            <w:tcW w:w="2332" w:type="dxa"/>
            <w:vAlign w:val="center"/>
          </w:tcPr>
          <w:p>
            <w:pPr>
              <w:adjustRightInd w:val="0"/>
              <w:snapToGrid w:val="0"/>
              <w:spacing w:line="276" w:lineRule="auto"/>
              <w:jc w:val="center"/>
              <w:rPr>
                <w:rFonts w:ascii="宋体" w:hAnsi="宋体"/>
                <w:szCs w:val="21"/>
              </w:rPr>
            </w:pPr>
            <w:r>
              <w:rPr>
                <w:rFonts w:hint="eastAsia" w:ascii="宋体" w:hAnsi="宋体"/>
                <w:szCs w:val="21"/>
              </w:rPr>
              <w:t>项 目 名称</w:t>
            </w:r>
          </w:p>
        </w:tc>
        <w:tc>
          <w:tcPr>
            <w:tcW w:w="6428" w:type="dxa"/>
            <w:vAlign w:val="center"/>
          </w:tcPr>
          <w:p>
            <w:pPr>
              <w:adjustRightInd w:val="0"/>
              <w:snapToGrid w:val="0"/>
              <w:spacing w:line="276" w:lineRule="auto"/>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9" w:hRule="atLeast"/>
          <w:jc w:val="center"/>
        </w:trPr>
        <w:tc>
          <w:tcPr>
            <w:tcW w:w="2332" w:type="dxa"/>
            <w:vAlign w:val="center"/>
          </w:tcPr>
          <w:p>
            <w:pPr>
              <w:adjustRightInd w:val="0"/>
              <w:snapToGrid w:val="0"/>
              <w:spacing w:line="276" w:lineRule="auto"/>
              <w:jc w:val="center"/>
              <w:rPr>
                <w:rFonts w:ascii="宋体" w:hAnsi="宋体"/>
                <w:szCs w:val="21"/>
              </w:rPr>
            </w:pPr>
            <w:r>
              <w:rPr>
                <w:rFonts w:hint="eastAsia" w:ascii="宋体" w:hAnsi="宋体"/>
                <w:szCs w:val="21"/>
              </w:rPr>
              <w:t>项目</w:t>
            </w:r>
            <w:r>
              <w:rPr>
                <w:rFonts w:ascii="宋体" w:hAnsi="宋体"/>
                <w:szCs w:val="21"/>
              </w:rPr>
              <w:t>所在地</w:t>
            </w:r>
          </w:p>
        </w:tc>
        <w:tc>
          <w:tcPr>
            <w:tcW w:w="6428" w:type="dxa"/>
            <w:vAlign w:val="center"/>
          </w:tcPr>
          <w:p>
            <w:pPr>
              <w:adjustRightInd w:val="0"/>
              <w:snapToGrid w:val="0"/>
              <w:spacing w:line="276" w:lineRule="auto"/>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2332" w:type="dxa"/>
            <w:vAlign w:val="center"/>
          </w:tcPr>
          <w:p>
            <w:pPr>
              <w:adjustRightInd w:val="0"/>
              <w:snapToGrid w:val="0"/>
              <w:spacing w:line="276" w:lineRule="auto"/>
              <w:jc w:val="center"/>
              <w:rPr>
                <w:rFonts w:ascii="宋体" w:hAnsi="宋体"/>
                <w:szCs w:val="21"/>
              </w:rPr>
            </w:pPr>
            <w:r>
              <w:rPr>
                <w:rFonts w:hint="eastAsia" w:ascii="宋体" w:hAnsi="宋体"/>
                <w:szCs w:val="21"/>
              </w:rPr>
              <w:t>建</w:t>
            </w:r>
            <w:r>
              <w:rPr>
                <w:rFonts w:ascii="宋体" w:hAnsi="宋体"/>
                <w:szCs w:val="21"/>
              </w:rPr>
              <w:t xml:space="preserve">  设  </w:t>
            </w:r>
            <w:r>
              <w:rPr>
                <w:rFonts w:hint="eastAsia" w:ascii="宋体" w:hAnsi="宋体"/>
                <w:szCs w:val="21"/>
              </w:rPr>
              <w:t>规</w:t>
            </w:r>
            <w:r>
              <w:rPr>
                <w:rFonts w:ascii="宋体" w:hAnsi="宋体"/>
                <w:szCs w:val="21"/>
              </w:rPr>
              <w:t xml:space="preserve">  模</w:t>
            </w:r>
          </w:p>
        </w:tc>
        <w:tc>
          <w:tcPr>
            <w:tcW w:w="6428" w:type="dxa"/>
            <w:vAlign w:val="center"/>
          </w:tcPr>
          <w:p>
            <w:pPr>
              <w:adjustRightInd w:val="0"/>
              <w:snapToGrid w:val="0"/>
              <w:spacing w:line="276" w:lineRule="auto"/>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2332" w:type="dxa"/>
            <w:vAlign w:val="center"/>
          </w:tcPr>
          <w:p>
            <w:pPr>
              <w:adjustRightInd w:val="0"/>
              <w:snapToGrid w:val="0"/>
              <w:spacing w:line="276" w:lineRule="auto"/>
              <w:jc w:val="center"/>
              <w:rPr>
                <w:rFonts w:ascii="宋体" w:hAnsi="宋体"/>
                <w:szCs w:val="21"/>
              </w:rPr>
            </w:pPr>
            <w:r>
              <w:rPr>
                <w:rFonts w:hint="eastAsia" w:ascii="宋体" w:hAnsi="宋体"/>
                <w:szCs w:val="21"/>
              </w:rPr>
              <w:t>工作内容</w:t>
            </w:r>
          </w:p>
        </w:tc>
        <w:tc>
          <w:tcPr>
            <w:tcW w:w="6428" w:type="dxa"/>
            <w:vAlign w:val="center"/>
          </w:tcPr>
          <w:p>
            <w:pPr>
              <w:adjustRightInd w:val="0"/>
              <w:snapToGrid w:val="0"/>
              <w:spacing w:line="276" w:lineRule="auto"/>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8" w:hRule="atLeast"/>
          <w:jc w:val="center"/>
        </w:trPr>
        <w:tc>
          <w:tcPr>
            <w:tcW w:w="2332" w:type="dxa"/>
            <w:vAlign w:val="center"/>
          </w:tcPr>
          <w:p>
            <w:pPr>
              <w:adjustRightInd w:val="0"/>
              <w:snapToGrid w:val="0"/>
              <w:spacing w:line="276" w:lineRule="auto"/>
              <w:jc w:val="center"/>
              <w:rPr>
                <w:rFonts w:ascii="宋体" w:hAnsi="宋体"/>
                <w:szCs w:val="21"/>
              </w:rPr>
            </w:pPr>
            <w:r>
              <w:rPr>
                <w:rFonts w:hint="eastAsia" w:ascii="宋体" w:hAnsi="宋体"/>
                <w:szCs w:val="21"/>
              </w:rPr>
              <w:t>完成日期</w:t>
            </w:r>
          </w:p>
          <w:p>
            <w:pPr>
              <w:adjustRightInd w:val="0"/>
              <w:snapToGrid w:val="0"/>
              <w:spacing w:line="276" w:lineRule="auto"/>
              <w:jc w:val="center"/>
              <w:rPr>
                <w:rFonts w:ascii="宋体" w:hAnsi="宋体"/>
                <w:szCs w:val="21"/>
              </w:rPr>
            </w:pPr>
            <w:r>
              <w:rPr>
                <w:rFonts w:hint="eastAsia" w:ascii="宋体" w:hAnsi="宋体"/>
                <w:szCs w:val="21"/>
              </w:rPr>
              <w:t>（年</w:t>
            </w:r>
            <w:r>
              <w:rPr>
                <w:rFonts w:ascii="宋体" w:hAnsi="宋体"/>
                <w:szCs w:val="21"/>
              </w:rPr>
              <w:t>/月/日）</w:t>
            </w:r>
          </w:p>
        </w:tc>
        <w:tc>
          <w:tcPr>
            <w:tcW w:w="6428" w:type="dxa"/>
            <w:vAlign w:val="center"/>
          </w:tcPr>
          <w:p>
            <w:pPr>
              <w:adjustRightInd w:val="0"/>
              <w:snapToGrid w:val="0"/>
              <w:spacing w:line="276" w:lineRule="auto"/>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6" w:hRule="atLeast"/>
          <w:jc w:val="center"/>
        </w:trPr>
        <w:tc>
          <w:tcPr>
            <w:tcW w:w="2332" w:type="dxa"/>
            <w:vAlign w:val="center"/>
          </w:tcPr>
          <w:p>
            <w:pPr>
              <w:adjustRightInd w:val="0"/>
              <w:snapToGrid w:val="0"/>
              <w:spacing w:line="276" w:lineRule="auto"/>
              <w:jc w:val="center"/>
              <w:rPr>
                <w:rFonts w:ascii="宋体" w:hAnsi="宋体"/>
                <w:szCs w:val="21"/>
              </w:rPr>
            </w:pPr>
            <w:r>
              <w:rPr>
                <w:rFonts w:hint="eastAsia" w:ascii="宋体" w:hAnsi="宋体"/>
                <w:szCs w:val="21"/>
              </w:rPr>
              <w:t>总监理工程师</w:t>
            </w:r>
          </w:p>
        </w:tc>
        <w:tc>
          <w:tcPr>
            <w:tcW w:w="6428" w:type="dxa"/>
            <w:vAlign w:val="center"/>
          </w:tcPr>
          <w:p>
            <w:pPr>
              <w:adjustRightInd w:val="0"/>
              <w:snapToGrid w:val="0"/>
              <w:spacing w:line="276" w:lineRule="auto"/>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1" w:hRule="atLeast"/>
          <w:jc w:val="center"/>
        </w:trPr>
        <w:tc>
          <w:tcPr>
            <w:tcW w:w="2332" w:type="dxa"/>
            <w:vAlign w:val="center"/>
          </w:tcPr>
          <w:p>
            <w:pPr>
              <w:adjustRightInd w:val="0"/>
              <w:snapToGrid w:val="0"/>
              <w:spacing w:line="276" w:lineRule="auto"/>
              <w:jc w:val="center"/>
              <w:rPr>
                <w:rFonts w:ascii="宋体" w:hAnsi="宋体"/>
                <w:szCs w:val="21"/>
              </w:rPr>
            </w:pPr>
            <w:r>
              <w:rPr>
                <w:rFonts w:hint="eastAsia" w:ascii="宋体" w:hAnsi="宋体"/>
                <w:szCs w:val="21"/>
              </w:rPr>
              <w:t>总监理工程师代表</w:t>
            </w:r>
          </w:p>
        </w:tc>
        <w:tc>
          <w:tcPr>
            <w:tcW w:w="6428" w:type="dxa"/>
            <w:vAlign w:val="center"/>
          </w:tcPr>
          <w:p>
            <w:pPr>
              <w:adjustRightInd w:val="0"/>
              <w:snapToGrid w:val="0"/>
              <w:spacing w:line="276" w:lineRule="auto"/>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2" w:hRule="atLeast"/>
          <w:jc w:val="center"/>
        </w:trPr>
        <w:tc>
          <w:tcPr>
            <w:tcW w:w="2332" w:type="dxa"/>
            <w:vAlign w:val="center"/>
          </w:tcPr>
          <w:p>
            <w:pPr>
              <w:adjustRightInd w:val="0"/>
              <w:snapToGrid w:val="0"/>
              <w:spacing w:line="276" w:lineRule="auto"/>
              <w:jc w:val="center"/>
              <w:rPr>
                <w:rFonts w:ascii="宋体" w:hAnsi="宋体"/>
                <w:szCs w:val="21"/>
              </w:rPr>
            </w:pPr>
            <w:r>
              <w:rPr>
                <w:rFonts w:hint="eastAsia" w:ascii="宋体" w:hAnsi="宋体"/>
                <w:szCs w:val="21"/>
              </w:rPr>
              <w:t>其他主要</w:t>
            </w:r>
          </w:p>
          <w:p>
            <w:pPr>
              <w:adjustRightInd w:val="0"/>
              <w:snapToGrid w:val="0"/>
              <w:spacing w:line="276" w:lineRule="auto"/>
              <w:jc w:val="center"/>
              <w:rPr>
                <w:rFonts w:ascii="宋体" w:hAnsi="宋体"/>
                <w:szCs w:val="21"/>
              </w:rPr>
            </w:pPr>
            <w:r>
              <w:rPr>
                <w:rFonts w:hint="eastAsia" w:ascii="宋体" w:hAnsi="宋体"/>
                <w:szCs w:val="21"/>
              </w:rPr>
              <w:t>人员情况</w:t>
            </w:r>
          </w:p>
        </w:tc>
        <w:tc>
          <w:tcPr>
            <w:tcW w:w="6428" w:type="dxa"/>
            <w:vAlign w:val="center"/>
          </w:tcPr>
          <w:p>
            <w:pPr>
              <w:adjustRightInd w:val="0"/>
              <w:snapToGrid w:val="0"/>
              <w:spacing w:line="276" w:lineRule="auto"/>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jc w:val="center"/>
        </w:trPr>
        <w:tc>
          <w:tcPr>
            <w:tcW w:w="2332" w:type="dxa"/>
            <w:vAlign w:val="center"/>
          </w:tcPr>
          <w:p>
            <w:pPr>
              <w:adjustRightInd w:val="0"/>
              <w:snapToGrid w:val="0"/>
              <w:spacing w:line="276" w:lineRule="auto"/>
              <w:jc w:val="center"/>
              <w:rPr>
                <w:rFonts w:ascii="宋体" w:hAnsi="宋体"/>
                <w:szCs w:val="21"/>
              </w:rPr>
            </w:pPr>
            <w:r>
              <w:rPr>
                <w:rFonts w:ascii="宋体" w:hAnsi="宋体"/>
                <w:szCs w:val="21"/>
              </w:rPr>
              <w:t>质量评定</w:t>
            </w:r>
          </w:p>
          <w:p>
            <w:pPr>
              <w:adjustRightInd w:val="0"/>
              <w:snapToGrid w:val="0"/>
              <w:spacing w:line="276" w:lineRule="auto"/>
              <w:jc w:val="center"/>
              <w:rPr>
                <w:rFonts w:ascii="宋体" w:hAnsi="宋体"/>
                <w:szCs w:val="21"/>
              </w:rPr>
            </w:pPr>
            <w:r>
              <w:rPr>
                <w:rFonts w:ascii="宋体" w:hAnsi="宋体"/>
                <w:szCs w:val="21"/>
              </w:rPr>
              <w:t>（是否获奖）</w:t>
            </w:r>
          </w:p>
        </w:tc>
        <w:tc>
          <w:tcPr>
            <w:tcW w:w="6428" w:type="dxa"/>
            <w:vAlign w:val="center"/>
          </w:tcPr>
          <w:p>
            <w:pPr>
              <w:adjustRightInd w:val="0"/>
              <w:snapToGrid w:val="0"/>
              <w:spacing w:line="276" w:lineRule="auto"/>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4" w:hRule="atLeast"/>
          <w:jc w:val="center"/>
        </w:trPr>
        <w:tc>
          <w:tcPr>
            <w:tcW w:w="2332" w:type="dxa"/>
            <w:vAlign w:val="center"/>
          </w:tcPr>
          <w:p>
            <w:pPr>
              <w:adjustRightInd w:val="0"/>
              <w:snapToGrid w:val="0"/>
              <w:spacing w:line="276" w:lineRule="auto"/>
              <w:ind w:firstLine="420"/>
              <w:jc w:val="center"/>
              <w:rPr>
                <w:rFonts w:ascii="宋体" w:hAnsi="宋体"/>
                <w:szCs w:val="21"/>
              </w:rPr>
            </w:pPr>
            <w:r>
              <w:rPr>
                <w:rFonts w:hint="eastAsia" w:ascii="宋体" w:hAnsi="宋体"/>
                <w:szCs w:val="21"/>
              </w:rPr>
              <w:t>……</w:t>
            </w:r>
          </w:p>
        </w:tc>
        <w:tc>
          <w:tcPr>
            <w:tcW w:w="6428" w:type="dxa"/>
            <w:vAlign w:val="center"/>
          </w:tcPr>
          <w:p>
            <w:pPr>
              <w:adjustRightInd w:val="0"/>
              <w:snapToGrid w:val="0"/>
              <w:spacing w:line="276" w:lineRule="auto"/>
              <w:ind w:firstLine="420"/>
              <w:jc w:val="center"/>
              <w:rPr>
                <w:rFonts w:ascii="宋体" w:hAnsi="宋体"/>
                <w:szCs w:val="21"/>
              </w:rPr>
            </w:pPr>
          </w:p>
        </w:tc>
      </w:tr>
    </w:tbl>
    <w:p>
      <w:pPr>
        <w:spacing w:line="400" w:lineRule="exact"/>
        <w:rPr>
          <w:szCs w:val="21"/>
        </w:rPr>
      </w:pPr>
      <w:r>
        <w:rPr>
          <w:rFonts w:hint="eastAsia"/>
          <w:szCs w:val="21"/>
        </w:rPr>
        <w:t>备注：</w:t>
      </w:r>
      <w:r>
        <w:rPr>
          <w:szCs w:val="21"/>
        </w:rPr>
        <w:t>1.</w:t>
      </w:r>
      <w:r>
        <w:rPr>
          <w:rFonts w:hint="eastAsia"/>
          <w:szCs w:val="21"/>
        </w:rPr>
        <w:t>需附中标通知书或</w:t>
      </w:r>
      <w:r>
        <w:rPr>
          <w:szCs w:val="21"/>
        </w:rPr>
        <w:t>合同协议书</w:t>
      </w:r>
      <w:r>
        <w:rPr>
          <w:rFonts w:hint="eastAsia"/>
          <w:szCs w:val="21"/>
        </w:rPr>
        <w:t>或</w:t>
      </w:r>
      <w:r>
        <w:rPr>
          <w:rFonts w:hint="eastAsia" w:asciiTheme="minorEastAsia" w:hAnsiTheme="minorEastAsia" w:eastAsiaTheme="minorEastAsia"/>
          <w:szCs w:val="21"/>
        </w:rPr>
        <w:t>工程接收证书（或工程竣工验收证书或业主开具的证明文件）</w:t>
      </w:r>
      <w:r>
        <w:rPr>
          <w:rFonts w:hint="eastAsia"/>
          <w:szCs w:val="21"/>
        </w:rPr>
        <w:t>的扫描件并</w:t>
      </w:r>
      <w:r>
        <w:rPr>
          <w:szCs w:val="21"/>
        </w:rPr>
        <w:t>加盖公章</w:t>
      </w:r>
      <w:r>
        <w:rPr>
          <w:rFonts w:hint="eastAsia"/>
          <w:szCs w:val="21"/>
        </w:rPr>
        <w:t>。</w:t>
      </w:r>
    </w:p>
    <w:p>
      <w:pPr>
        <w:spacing w:line="400" w:lineRule="exact"/>
        <w:rPr>
          <w:szCs w:val="21"/>
        </w:rPr>
      </w:pPr>
      <w:r>
        <w:rPr>
          <w:rFonts w:hint="eastAsia"/>
          <w:szCs w:val="21"/>
        </w:rPr>
        <w:t>2.每个项目填一张此表，证明材料附后。</w:t>
      </w:r>
    </w:p>
    <w:p>
      <w:pPr>
        <w:spacing w:line="400" w:lineRule="exact"/>
        <w:ind w:firstLine="420"/>
        <w:jc w:val="right"/>
        <w:rPr>
          <w:szCs w:val="21"/>
        </w:rPr>
      </w:pPr>
    </w:p>
    <w:p>
      <w:pPr>
        <w:spacing w:line="400" w:lineRule="exact"/>
        <w:ind w:firstLine="420"/>
        <w:jc w:val="right"/>
        <w:rPr>
          <w:szCs w:val="21"/>
        </w:rPr>
      </w:pPr>
    </w:p>
    <w:p>
      <w:pPr>
        <w:spacing w:line="400" w:lineRule="exact"/>
        <w:ind w:firstLine="3684" w:firstLineChars="1535"/>
        <w:rPr>
          <w:sz w:val="24"/>
          <w:szCs w:val="21"/>
        </w:rPr>
      </w:pPr>
      <w:r>
        <w:rPr>
          <w:rFonts w:hint="eastAsia"/>
          <w:sz w:val="24"/>
          <w:szCs w:val="21"/>
        </w:rPr>
        <w:t>投标人：（盖单位公章）</w:t>
      </w:r>
    </w:p>
    <w:p>
      <w:pPr>
        <w:spacing w:line="400" w:lineRule="exact"/>
        <w:ind w:firstLine="3684" w:firstLineChars="1535"/>
      </w:pPr>
      <w:r>
        <w:rPr>
          <w:rFonts w:hint="eastAsia"/>
          <w:sz w:val="24"/>
          <w:szCs w:val="21"/>
        </w:rPr>
        <w:t>法定代表人或其委托代理人：（签字）</w:t>
      </w:r>
    </w:p>
    <w:p>
      <w:pPr>
        <w:spacing w:line="400" w:lineRule="exact"/>
        <w:ind w:firstLine="3684" w:firstLineChars="1535"/>
        <w:jc w:val="left"/>
        <w:rPr>
          <w:sz w:val="24"/>
          <w:szCs w:val="21"/>
        </w:rPr>
      </w:pPr>
      <w:r>
        <w:rPr>
          <w:rFonts w:hint="eastAsia"/>
          <w:sz w:val="24"/>
          <w:szCs w:val="21"/>
        </w:rPr>
        <w:t>日期：  年  月  日</w:t>
      </w:r>
    </w:p>
    <w:p/>
    <w:p>
      <w:pPr>
        <w:spacing w:line="440" w:lineRule="exact"/>
        <w:ind w:firstLine="3374" w:firstLineChars="1687"/>
        <w:rPr>
          <w:rFonts w:ascii="黑体" w:hAnsi="黑体" w:eastAsia="黑体"/>
          <w:sz w:val="20"/>
          <w:szCs w:val="20"/>
        </w:rPr>
      </w:pPr>
    </w:p>
    <w:p/>
    <w:p>
      <w:pPr>
        <w:pStyle w:val="4"/>
      </w:pPr>
      <w:bookmarkStart w:id="1482" w:name="_Toc297800236"/>
      <w:bookmarkStart w:id="1483" w:name="_Toc499311255"/>
      <w:bookmarkStart w:id="1484" w:name="_Toc144974880"/>
      <w:bookmarkStart w:id="1485" w:name="_Toc496098823"/>
      <w:bookmarkStart w:id="1486" w:name="_Toc290475723"/>
      <w:bookmarkStart w:id="1487" w:name="_Toc152042601"/>
      <w:bookmarkStart w:id="1488" w:name="_Toc30998"/>
      <w:bookmarkStart w:id="1489" w:name="_Toc18593"/>
      <w:bookmarkStart w:id="1490" w:name="_Toc152045812"/>
      <w:bookmarkStart w:id="1491" w:name="_Toc499205040"/>
      <w:bookmarkStart w:id="1492" w:name="_Toc11810"/>
      <w:r>
        <w:rPr>
          <w:rFonts w:hint="eastAsia"/>
        </w:rPr>
        <w:t>5.6 近年发生的诉讼及仲裁情况</w:t>
      </w:r>
      <w:bookmarkEnd w:id="1482"/>
      <w:bookmarkEnd w:id="1483"/>
      <w:bookmarkEnd w:id="1484"/>
      <w:bookmarkEnd w:id="1485"/>
      <w:bookmarkEnd w:id="1486"/>
      <w:bookmarkEnd w:id="1487"/>
      <w:bookmarkEnd w:id="1488"/>
      <w:bookmarkEnd w:id="1489"/>
      <w:bookmarkEnd w:id="1490"/>
      <w:bookmarkEnd w:id="1491"/>
      <w:bookmarkEnd w:id="1492"/>
    </w:p>
    <w:p>
      <w:pPr>
        <w:ind w:firstLine="420"/>
        <w:rPr>
          <w:rFonts w:ascii="宋体" w:hAnsi="宋体" w:cs="宋体"/>
          <w:szCs w:val="21"/>
        </w:rPr>
      </w:pPr>
      <w:r>
        <w:rPr>
          <w:rFonts w:hint="eastAsia" w:ascii="宋体" w:hAnsi="宋体" w:cs="宋体"/>
          <w:szCs w:val="21"/>
        </w:rPr>
        <w:t>说明：</w:t>
      </w:r>
    </w:p>
    <w:p>
      <w:pPr>
        <w:ind w:firstLine="420"/>
        <w:rPr>
          <w:rFonts w:ascii="宋体" w:hAnsi="宋体" w:cs="宋体"/>
          <w:szCs w:val="21"/>
        </w:rPr>
      </w:pPr>
      <w:r>
        <w:rPr>
          <w:rFonts w:hint="eastAsia" w:ascii="宋体" w:hAnsi="宋体" w:cs="宋体"/>
          <w:szCs w:val="21"/>
        </w:rPr>
        <w:t>1.近年发生的诉讼和仲裁情况仅限于投标人败诉的，且与履行监理服务合同有关的案件，不包括调解结案以及未裁决的仲裁或未终审判决的诉讼；具体年份要求见第二章“投标人须知前附表”第</w:t>
      </w:r>
      <w:r>
        <w:rPr>
          <w:szCs w:val="21"/>
        </w:rPr>
        <w:t>3.5.</w:t>
      </w:r>
      <w:r>
        <w:rPr>
          <w:rFonts w:hint="eastAsia"/>
          <w:szCs w:val="21"/>
        </w:rPr>
        <w:t>7</w:t>
      </w:r>
      <w:r>
        <w:rPr>
          <w:rFonts w:hint="eastAsia" w:ascii="宋体" w:hAnsi="宋体" w:cs="宋体"/>
          <w:szCs w:val="21"/>
        </w:rPr>
        <w:t>项的规定。</w:t>
      </w:r>
    </w:p>
    <w:p>
      <w:pPr>
        <w:ind w:firstLine="420" w:firstLineChars="200"/>
        <w:rPr>
          <w:highlight w:val="yellow"/>
        </w:rPr>
      </w:pPr>
      <w:r>
        <w:rPr>
          <w:rFonts w:hint="eastAsia"/>
        </w:rPr>
        <w:t>2.若投标人无诉讼及仲裁情况，可以由投标人自行说明并加盖单位公章，但隐瞒诉讼及仲裁情况的取消中标资格。</w:t>
      </w: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pStyle w:val="4"/>
      </w:pPr>
      <w:bookmarkStart w:id="1493" w:name="_Toc496098824"/>
      <w:bookmarkStart w:id="1494" w:name="_Toc499205041"/>
      <w:bookmarkStart w:id="1495" w:name="_Toc24558"/>
      <w:bookmarkStart w:id="1496" w:name="_Toc16491"/>
      <w:bookmarkStart w:id="1497" w:name="_Toc499311256"/>
      <w:r>
        <w:rPr>
          <w:rFonts w:hint="eastAsia"/>
        </w:rPr>
        <w:t>5.7投标人关联企业情况声明</w:t>
      </w:r>
      <w:bookmarkEnd w:id="1493"/>
      <w:bookmarkEnd w:id="1494"/>
      <w:bookmarkEnd w:id="1495"/>
      <w:bookmarkEnd w:id="1496"/>
      <w:bookmarkEnd w:id="1497"/>
    </w:p>
    <w:p>
      <w:pPr>
        <w:spacing w:line="276" w:lineRule="auto"/>
        <w:ind w:firstLine="480" w:firstLineChars="200"/>
        <w:rPr>
          <w:rFonts w:ascii="宋体" w:hAnsi="宋体"/>
          <w:sz w:val="24"/>
          <w:szCs w:val="21"/>
        </w:rPr>
      </w:pPr>
      <w:r>
        <w:rPr>
          <w:rFonts w:ascii="宋体" w:hAnsi="宋体"/>
          <w:sz w:val="24"/>
          <w:szCs w:val="21"/>
        </w:rPr>
        <w:t>致：</w:t>
      </w:r>
      <w:r>
        <w:rPr>
          <w:rFonts w:hint="eastAsia" w:ascii="宋体" w:hAnsi="宋体"/>
          <w:sz w:val="24"/>
          <w:szCs w:val="21"/>
          <w:u w:val="single"/>
        </w:rPr>
        <w:t xml:space="preserve">      （招标人）         </w:t>
      </w:r>
    </w:p>
    <w:p>
      <w:pPr>
        <w:spacing w:line="276" w:lineRule="auto"/>
        <w:ind w:firstLine="420"/>
        <w:rPr>
          <w:rFonts w:ascii="宋体" w:hAnsi="宋体"/>
          <w:sz w:val="24"/>
          <w:szCs w:val="21"/>
        </w:rPr>
      </w:pPr>
      <w:r>
        <w:rPr>
          <w:rFonts w:hint="eastAsia" w:ascii="宋体" w:hAnsi="宋体"/>
          <w:sz w:val="24"/>
          <w:szCs w:val="21"/>
        </w:rPr>
        <w:t>我公司郑重声明如下：</w:t>
      </w:r>
    </w:p>
    <w:p>
      <w:pPr>
        <w:spacing w:line="276" w:lineRule="auto"/>
        <w:ind w:firstLine="420"/>
        <w:rPr>
          <w:rFonts w:ascii="宋体" w:hAnsi="宋体"/>
          <w:sz w:val="24"/>
          <w:szCs w:val="21"/>
        </w:rPr>
      </w:pPr>
      <w:r>
        <w:rPr>
          <w:rFonts w:hint="eastAsia" w:ascii="宋体" w:hAnsi="宋体"/>
          <w:sz w:val="24"/>
          <w:szCs w:val="21"/>
        </w:rPr>
        <w:t>我公司与招标人不存在利害关系。与其他投标人之间不存在单位负责人为同一人或者控股、管理关系的情况。</w:t>
      </w:r>
    </w:p>
    <w:p>
      <w:pPr>
        <w:spacing w:line="276" w:lineRule="auto"/>
        <w:ind w:firstLine="420"/>
        <w:rPr>
          <w:rFonts w:ascii="宋体" w:hAnsi="宋体"/>
          <w:sz w:val="24"/>
          <w:szCs w:val="21"/>
        </w:rPr>
      </w:pPr>
      <w:r>
        <w:rPr>
          <w:rFonts w:hint="eastAsia" w:ascii="宋体" w:hAnsi="宋体"/>
          <w:sz w:val="24"/>
          <w:szCs w:val="21"/>
        </w:rPr>
        <w:t>我公司的法人股东、出资设立企业、有实际管理关系的企业情况如下：</w:t>
      </w:r>
    </w:p>
    <w:tbl>
      <w:tblPr>
        <w:tblStyle w:val="28"/>
        <w:tblW w:w="8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275"/>
        <w:gridCol w:w="1317"/>
        <w:gridCol w:w="1518"/>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551" w:type="dxa"/>
            <w:vAlign w:val="center"/>
          </w:tcPr>
          <w:p>
            <w:pPr>
              <w:ind w:firstLine="420"/>
              <w:rPr>
                <w:rFonts w:ascii="宋体" w:hAnsi="宋体"/>
                <w:szCs w:val="21"/>
              </w:rPr>
            </w:pPr>
            <w:r>
              <w:rPr>
                <w:rFonts w:hint="eastAsia" w:ascii="宋体" w:hAnsi="宋体"/>
                <w:szCs w:val="21"/>
              </w:rPr>
              <w:t>法人股东名称</w:t>
            </w:r>
          </w:p>
        </w:tc>
        <w:tc>
          <w:tcPr>
            <w:tcW w:w="1275" w:type="dxa"/>
            <w:vAlign w:val="center"/>
          </w:tcPr>
          <w:p>
            <w:pPr>
              <w:rPr>
                <w:rFonts w:ascii="宋体" w:hAnsi="宋体"/>
                <w:szCs w:val="21"/>
              </w:rPr>
            </w:pPr>
            <w:r>
              <w:rPr>
                <w:rFonts w:hint="eastAsia" w:ascii="宋体" w:hAnsi="宋体"/>
                <w:szCs w:val="21"/>
              </w:rPr>
              <w:t>出资比例</w:t>
            </w:r>
          </w:p>
        </w:tc>
        <w:tc>
          <w:tcPr>
            <w:tcW w:w="1317" w:type="dxa"/>
            <w:vAlign w:val="center"/>
          </w:tcPr>
          <w:p>
            <w:pPr>
              <w:rPr>
                <w:rFonts w:ascii="宋体" w:hAnsi="宋体"/>
                <w:szCs w:val="21"/>
              </w:rPr>
            </w:pPr>
            <w:r>
              <w:rPr>
                <w:rFonts w:hint="eastAsia" w:ascii="宋体" w:hAnsi="宋体"/>
                <w:szCs w:val="21"/>
              </w:rPr>
              <w:t>法定代表人</w:t>
            </w:r>
          </w:p>
        </w:tc>
        <w:tc>
          <w:tcPr>
            <w:tcW w:w="1518" w:type="dxa"/>
            <w:vAlign w:val="center"/>
          </w:tcPr>
          <w:p>
            <w:pPr>
              <w:rPr>
                <w:rFonts w:ascii="宋体" w:hAnsi="宋体"/>
                <w:szCs w:val="21"/>
              </w:rPr>
            </w:pPr>
            <w:r>
              <w:rPr>
                <w:rFonts w:hint="eastAsia" w:ascii="宋体" w:hAnsi="宋体"/>
                <w:szCs w:val="21"/>
              </w:rPr>
              <w:t>联系人及电话</w:t>
            </w:r>
          </w:p>
        </w:tc>
        <w:tc>
          <w:tcPr>
            <w:tcW w:w="1582" w:type="dxa"/>
            <w:vAlign w:val="center"/>
          </w:tcPr>
          <w:p>
            <w:pPr>
              <w:rPr>
                <w:rFonts w:ascii="宋体" w:hAnsi="宋体"/>
                <w:szCs w:val="21"/>
              </w:rPr>
            </w:pPr>
            <w:r>
              <w:rPr>
                <w:rFonts w:hint="eastAsia" w:ascii="宋体" w:hAnsi="宋体"/>
                <w:szCs w:val="21"/>
              </w:rPr>
              <w:t>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551" w:type="dxa"/>
            <w:vAlign w:val="center"/>
          </w:tcPr>
          <w:p>
            <w:pPr>
              <w:ind w:left="34" w:leftChars="16" w:right="433" w:rightChars="206" w:firstLine="420"/>
              <w:jc w:val="center"/>
              <w:rPr>
                <w:rFonts w:ascii="宋体" w:hAnsi="宋体"/>
                <w:szCs w:val="21"/>
              </w:rPr>
            </w:pPr>
          </w:p>
        </w:tc>
        <w:tc>
          <w:tcPr>
            <w:tcW w:w="1275" w:type="dxa"/>
            <w:vAlign w:val="center"/>
          </w:tcPr>
          <w:p>
            <w:pPr>
              <w:ind w:firstLine="420"/>
              <w:jc w:val="center"/>
              <w:rPr>
                <w:rFonts w:ascii="宋体" w:hAnsi="宋体"/>
                <w:szCs w:val="21"/>
              </w:rPr>
            </w:pPr>
          </w:p>
        </w:tc>
        <w:tc>
          <w:tcPr>
            <w:tcW w:w="1317" w:type="dxa"/>
            <w:vAlign w:val="center"/>
          </w:tcPr>
          <w:p>
            <w:pPr>
              <w:ind w:firstLine="420"/>
              <w:jc w:val="center"/>
              <w:rPr>
                <w:rFonts w:ascii="宋体" w:hAnsi="宋体"/>
                <w:szCs w:val="21"/>
              </w:rPr>
            </w:pPr>
          </w:p>
        </w:tc>
        <w:tc>
          <w:tcPr>
            <w:tcW w:w="1518" w:type="dxa"/>
            <w:vAlign w:val="center"/>
          </w:tcPr>
          <w:p>
            <w:pPr>
              <w:ind w:firstLine="420"/>
              <w:jc w:val="center"/>
              <w:rPr>
                <w:rFonts w:ascii="宋体" w:hAnsi="宋体"/>
                <w:szCs w:val="21"/>
              </w:rPr>
            </w:pPr>
          </w:p>
        </w:tc>
        <w:tc>
          <w:tcPr>
            <w:tcW w:w="1582" w:type="dxa"/>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2551" w:type="dxa"/>
            <w:vAlign w:val="center"/>
          </w:tcPr>
          <w:p>
            <w:pPr>
              <w:ind w:firstLine="420"/>
              <w:jc w:val="center"/>
              <w:rPr>
                <w:rFonts w:ascii="宋体" w:hAnsi="宋体"/>
                <w:szCs w:val="21"/>
              </w:rPr>
            </w:pPr>
          </w:p>
        </w:tc>
        <w:tc>
          <w:tcPr>
            <w:tcW w:w="1275" w:type="dxa"/>
            <w:vAlign w:val="center"/>
          </w:tcPr>
          <w:p>
            <w:pPr>
              <w:ind w:firstLine="420"/>
              <w:jc w:val="center"/>
              <w:rPr>
                <w:rFonts w:ascii="宋体" w:hAnsi="宋体"/>
                <w:szCs w:val="21"/>
              </w:rPr>
            </w:pPr>
          </w:p>
        </w:tc>
        <w:tc>
          <w:tcPr>
            <w:tcW w:w="1317" w:type="dxa"/>
            <w:vAlign w:val="center"/>
          </w:tcPr>
          <w:p>
            <w:pPr>
              <w:ind w:firstLine="420"/>
              <w:jc w:val="center"/>
              <w:rPr>
                <w:rFonts w:ascii="宋体" w:hAnsi="宋体"/>
                <w:szCs w:val="21"/>
              </w:rPr>
            </w:pPr>
          </w:p>
        </w:tc>
        <w:tc>
          <w:tcPr>
            <w:tcW w:w="1518" w:type="dxa"/>
            <w:vAlign w:val="center"/>
          </w:tcPr>
          <w:p>
            <w:pPr>
              <w:ind w:firstLine="420"/>
              <w:jc w:val="center"/>
              <w:rPr>
                <w:rFonts w:ascii="宋体" w:hAnsi="宋体"/>
                <w:szCs w:val="21"/>
              </w:rPr>
            </w:pPr>
          </w:p>
        </w:tc>
        <w:tc>
          <w:tcPr>
            <w:tcW w:w="1582" w:type="dxa"/>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551" w:type="dxa"/>
            <w:vAlign w:val="center"/>
          </w:tcPr>
          <w:p>
            <w:pPr>
              <w:ind w:firstLine="420"/>
              <w:rPr>
                <w:rFonts w:ascii="宋体" w:hAnsi="宋体"/>
                <w:szCs w:val="21"/>
              </w:rPr>
            </w:pPr>
            <w:r>
              <w:rPr>
                <w:rFonts w:hint="eastAsia" w:ascii="宋体" w:hAnsi="宋体"/>
                <w:szCs w:val="21"/>
              </w:rPr>
              <w:t>出资设立企业名称</w:t>
            </w:r>
          </w:p>
        </w:tc>
        <w:tc>
          <w:tcPr>
            <w:tcW w:w="1275" w:type="dxa"/>
            <w:vAlign w:val="center"/>
          </w:tcPr>
          <w:p>
            <w:pPr>
              <w:ind w:firstLine="420"/>
              <w:jc w:val="center"/>
              <w:rPr>
                <w:rFonts w:ascii="宋体" w:hAnsi="宋体"/>
                <w:szCs w:val="21"/>
              </w:rPr>
            </w:pPr>
          </w:p>
        </w:tc>
        <w:tc>
          <w:tcPr>
            <w:tcW w:w="1317" w:type="dxa"/>
            <w:vAlign w:val="center"/>
          </w:tcPr>
          <w:p>
            <w:pPr>
              <w:ind w:firstLine="420"/>
              <w:jc w:val="center"/>
              <w:rPr>
                <w:rFonts w:ascii="宋体" w:hAnsi="宋体"/>
                <w:szCs w:val="21"/>
              </w:rPr>
            </w:pPr>
          </w:p>
        </w:tc>
        <w:tc>
          <w:tcPr>
            <w:tcW w:w="1518" w:type="dxa"/>
            <w:vAlign w:val="center"/>
          </w:tcPr>
          <w:p>
            <w:pPr>
              <w:ind w:firstLine="420"/>
              <w:jc w:val="center"/>
              <w:rPr>
                <w:rFonts w:ascii="宋体" w:hAnsi="宋体"/>
                <w:szCs w:val="21"/>
              </w:rPr>
            </w:pPr>
          </w:p>
        </w:tc>
        <w:tc>
          <w:tcPr>
            <w:tcW w:w="1582" w:type="dxa"/>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2551" w:type="dxa"/>
            <w:vAlign w:val="center"/>
          </w:tcPr>
          <w:p>
            <w:pPr>
              <w:ind w:firstLine="420"/>
              <w:jc w:val="center"/>
              <w:rPr>
                <w:rFonts w:ascii="宋体" w:hAnsi="宋体"/>
                <w:szCs w:val="21"/>
              </w:rPr>
            </w:pPr>
          </w:p>
        </w:tc>
        <w:tc>
          <w:tcPr>
            <w:tcW w:w="1275" w:type="dxa"/>
            <w:vAlign w:val="center"/>
          </w:tcPr>
          <w:p>
            <w:pPr>
              <w:ind w:firstLine="420"/>
              <w:jc w:val="center"/>
              <w:rPr>
                <w:rFonts w:ascii="宋体" w:hAnsi="宋体"/>
                <w:szCs w:val="21"/>
              </w:rPr>
            </w:pPr>
          </w:p>
        </w:tc>
        <w:tc>
          <w:tcPr>
            <w:tcW w:w="1317" w:type="dxa"/>
            <w:vAlign w:val="center"/>
          </w:tcPr>
          <w:p>
            <w:pPr>
              <w:ind w:firstLine="420"/>
              <w:jc w:val="center"/>
              <w:rPr>
                <w:rFonts w:ascii="宋体" w:hAnsi="宋体"/>
                <w:szCs w:val="21"/>
              </w:rPr>
            </w:pPr>
          </w:p>
        </w:tc>
        <w:tc>
          <w:tcPr>
            <w:tcW w:w="1518" w:type="dxa"/>
            <w:vAlign w:val="center"/>
          </w:tcPr>
          <w:p>
            <w:pPr>
              <w:ind w:firstLine="420"/>
              <w:jc w:val="center"/>
              <w:rPr>
                <w:rFonts w:ascii="宋体" w:hAnsi="宋体"/>
                <w:szCs w:val="21"/>
              </w:rPr>
            </w:pPr>
          </w:p>
        </w:tc>
        <w:tc>
          <w:tcPr>
            <w:tcW w:w="1582" w:type="dxa"/>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551" w:type="dxa"/>
            <w:vAlign w:val="center"/>
          </w:tcPr>
          <w:p>
            <w:pPr>
              <w:ind w:firstLine="420"/>
              <w:jc w:val="center"/>
              <w:rPr>
                <w:rFonts w:ascii="宋体" w:hAnsi="宋体"/>
                <w:szCs w:val="21"/>
              </w:rPr>
            </w:pPr>
          </w:p>
        </w:tc>
        <w:tc>
          <w:tcPr>
            <w:tcW w:w="1275" w:type="dxa"/>
            <w:vAlign w:val="center"/>
          </w:tcPr>
          <w:p>
            <w:pPr>
              <w:ind w:firstLine="420"/>
              <w:jc w:val="center"/>
              <w:rPr>
                <w:rFonts w:ascii="宋体" w:hAnsi="宋体"/>
                <w:szCs w:val="21"/>
              </w:rPr>
            </w:pPr>
          </w:p>
        </w:tc>
        <w:tc>
          <w:tcPr>
            <w:tcW w:w="1317" w:type="dxa"/>
            <w:vAlign w:val="center"/>
          </w:tcPr>
          <w:p>
            <w:pPr>
              <w:ind w:firstLine="420"/>
              <w:jc w:val="center"/>
              <w:rPr>
                <w:rFonts w:ascii="宋体" w:hAnsi="宋体"/>
                <w:szCs w:val="21"/>
              </w:rPr>
            </w:pPr>
          </w:p>
        </w:tc>
        <w:tc>
          <w:tcPr>
            <w:tcW w:w="1518" w:type="dxa"/>
            <w:vAlign w:val="center"/>
          </w:tcPr>
          <w:p>
            <w:pPr>
              <w:ind w:firstLine="420"/>
              <w:jc w:val="center"/>
              <w:rPr>
                <w:rFonts w:ascii="宋体" w:hAnsi="宋体"/>
                <w:szCs w:val="21"/>
              </w:rPr>
            </w:pPr>
          </w:p>
        </w:tc>
        <w:tc>
          <w:tcPr>
            <w:tcW w:w="1582" w:type="dxa"/>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2551" w:type="dxa"/>
            <w:vAlign w:val="center"/>
          </w:tcPr>
          <w:p>
            <w:pPr>
              <w:rPr>
                <w:rFonts w:ascii="宋体" w:hAnsi="宋体"/>
                <w:szCs w:val="21"/>
              </w:rPr>
            </w:pPr>
            <w:r>
              <w:rPr>
                <w:rFonts w:hint="eastAsia" w:ascii="宋体" w:hAnsi="宋体"/>
                <w:szCs w:val="21"/>
              </w:rPr>
              <w:t>有实际管理关系企业名称</w:t>
            </w:r>
          </w:p>
        </w:tc>
        <w:tc>
          <w:tcPr>
            <w:tcW w:w="1275" w:type="dxa"/>
            <w:vAlign w:val="center"/>
          </w:tcPr>
          <w:p>
            <w:pPr>
              <w:ind w:firstLine="420"/>
              <w:jc w:val="center"/>
              <w:rPr>
                <w:rFonts w:ascii="宋体" w:hAnsi="宋体"/>
                <w:szCs w:val="21"/>
              </w:rPr>
            </w:pPr>
          </w:p>
        </w:tc>
        <w:tc>
          <w:tcPr>
            <w:tcW w:w="1317" w:type="dxa"/>
            <w:vAlign w:val="center"/>
          </w:tcPr>
          <w:p>
            <w:pPr>
              <w:ind w:firstLine="420"/>
              <w:jc w:val="center"/>
              <w:rPr>
                <w:rFonts w:ascii="宋体" w:hAnsi="宋体"/>
                <w:szCs w:val="21"/>
              </w:rPr>
            </w:pPr>
          </w:p>
        </w:tc>
        <w:tc>
          <w:tcPr>
            <w:tcW w:w="1518" w:type="dxa"/>
            <w:vAlign w:val="center"/>
          </w:tcPr>
          <w:p>
            <w:pPr>
              <w:ind w:firstLine="420"/>
              <w:jc w:val="center"/>
              <w:rPr>
                <w:rFonts w:ascii="宋体" w:hAnsi="宋体"/>
                <w:szCs w:val="21"/>
              </w:rPr>
            </w:pPr>
          </w:p>
        </w:tc>
        <w:tc>
          <w:tcPr>
            <w:tcW w:w="1582" w:type="dxa"/>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551" w:type="dxa"/>
            <w:vAlign w:val="center"/>
          </w:tcPr>
          <w:p>
            <w:pPr>
              <w:ind w:firstLine="420"/>
              <w:jc w:val="center"/>
              <w:rPr>
                <w:rFonts w:ascii="宋体" w:hAnsi="宋体"/>
                <w:szCs w:val="21"/>
              </w:rPr>
            </w:pPr>
          </w:p>
        </w:tc>
        <w:tc>
          <w:tcPr>
            <w:tcW w:w="1275" w:type="dxa"/>
            <w:vAlign w:val="center"/>
          </w:tcPr>
          <w:p>
            <w:pPr>
              <w:ind w:firstLine="420"/>
              <w:jc w:val="center"/>
              <w:rPr>
                <w:rFonts w:ascii="宋体" w:hAnsi="宋体"/>
                <w:szCs w:val="21"/>
              </w:rPr>
            </w:pPr>
          </w:p>
        </w:tc>
        <w:tc>
          <w:tcPr>
            <w:tcW w:w="1317" w:type="dxa"/>
            <w:vAlign w:val="center"/>
          </w:tcPr>
          <w:p>
            <w:pPr>
              <w:ind w:firstLine="420"/>
              <w:jc w:val="center"/>
              <w:rPr>
                <w:rFonts w:ascii="宋体" w:hAnsi="宋体"/>
                <w:szCs w:val="21"/>
              </w:rPr>
            </w:pPr>
          </w:p>
        </w:tc>
        <w:tc>
          <w:tcPr>
            <w:tcW w:w="1518" w:type="dxa"/>
            <w:vAlign w:val="center"/>
          </w:tcPr>
          <w:p>
            <w:pPr>
              <w:ind w:firstLine="420"/>
              <w:jc w:val="center"/>
              <w:rPr>
                <w:rFonts w:ascii="宋体" w:hAnsi="宋体"/>
                <w:szCs w:val="21"/>
              </w:rPr>
            </w:pPr>
          </w:p>
        </w:tc>
        <w:tc>
          <w:tcPr>
            <w:tcW w:w="1582" w:type="dxa"/>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2551" w:type="dxa"/>
            <w:vAlign w:val="center"/>
          </w:tcPr>
          <w:p>
            <w:pPr>
              <w:ind w:firstLine="420"/>
              <w:jc w:val="center"/>
              <w:rPr>
                <w:rFonts w:ascii="宋体" w:hAnsi="宋体"/>
                <w:szCs w:val="21"/>
              </w:rPr>
            </w:pPr>
          </w:p>
        </w:tc>
        <w:tc>
          <w:tcPr>
            <w:tcW w:w="1275" w:type="dxa"/>
            <w:vAlign w:val="center"/>
          </w:tcPr>
          <w:p>
            <w:pPr>
              <w:ind w:firstLine="420"/>
              <w:jc w:val="center"/>
              <w:rPr>
                <w:rFonts w:ascii="宋体" w:hAnsi="宋体"/>
                <w:szCs w:val="21"/>
              </w:rPr>
            </w:pPr>
          </w:p>
        </w:tc>
        <w:tc>
          <w:tcPr>
            <w:tcW w:w="1317" w:type="dxa"/>
            <w:vAlign w:val="center"/>
          </w:tcPr>
          <w:p>
            <w:pPr>
              <w:ind w:firstLine="420"/>
              <w:jc w:val="center"/>
              <w:rPr>
                <w:rFonts w:ascii="宋体" w:hAnsi="宋体"/>
                <w:szCs w:val="21"/>
              </w:rPr>
            </w:pPr>
          </w:p>
        </w:tc>
        <w:tc>
          <w:tcPr>
            <w:tcW w:w="1518" w:type="dxa"/>
            <w:vAlign w:val="center"/>
          </w:tcPr>
          <w:p>
            <w:pPr>
              <w:ind w:firstLine="420"/>
              <w:jc w:val="center"/>
              <w:rPr>
                <w:rFonts w:ascii="宋体" w:hAnsi="宋体"/>
                <w:szCs w:val="21"/>
              </w:rPr>
            </w:pPr>
          </w:p>
        </w:tc>
        <w:tc>
          <w:tcPr>
            <w:tcW w:w="1582" w:type="dxa"/>
            <w:vAlign w:val="center"/>
          </w:tcPr>
          <w:p>
            <w:pPr>
              <w:ind w:firstLine="420"/>
              <w:jc w:val="center"/>
              <w:rPr>
                <w:rFonts w:ascii="宋体" w:hAnsi="宋体"/>
                <w:szCs w:val="21"/>
              </w:rPr>
            </w:pPr>
          </w:p>
        </w:tc>
      </w:tr>
    </w:tbl>
    <w:p>
      <w:pPr>
        <w:ind w:firstLine="420"/>
        <w:rPr>
          <w:rFonts w:ascii="宋体" w:hAnsi="宋体"/>
          <w:szCs w:val="21"/>
        </w:rPr>
      </w:pPr>
      <w:r>
        <w:rPr>
          <w:rFonts w:hint="eastAsia" w:ascii="宋体" w:hAnsi="宋体"/>
          <w:szCs w:val="21"/>
        </w:rPr>
        <w:t>说明：若无关联企业，则在上述表格中填写“无”。</w:t>
      </w:r>
    </w:p>
    <w:p>
      <w:pPr>
        <w:ind w:firstLine="420"/>
        <w:rPr>
          <w:rFonts w:ascii="宋体" w:hAnsi="宋体"/>
          <w:szCs w:val="21"/>
        </w:rPr>
      </w:pPr>
    </w:p>
    <w:p>
      <w:pPr>
        <w:ind w:firstLine="420"/>
        <w:rPr>
          <w:rFonts w:ascii="宋体" w:hAnsi="宋体"/>
          <w:szCs w:val="21"/>
        </w:rPr>
      </w:pPr>
    </w:p>
    <w:p>
      <w:pPr>
        <w:spacing w:line="400" w:lineRule="exact"/>
        <w:ind w:firstLine="3684" w:firstLineChars="1535"/>
        <w:rPr>
          <w:sz w:val="24"/>
          <w:szCs w:val="21"/>
        </w:rPr>
      </w:pPr>
      <w:bookmarkStart w:id="1498" w:name="_Toc496098825"/>
      <w:r>
        <w:rPr>
          <w:rFonts w:hint="eastAsia"/>
          <w:sz w:val="24"/>
          <w:szCs w:val="21"/>
        </w:rPr>
        <w:t>投标人：（盖单位公章）</w:t>
      </w:r>
    </w:p>
    <w:p>
      <w:pPr>
        <w:spacing w:line="400" w:lineRule="exact"/>
        <w:ind w:firstLine="3684" w:firstLineChars="1535"/>
      </w:pPr>
      <w:r>
        <w:rPr>
          <w:rFonts w:hint="eastAsia"/>
          <w:sz w:val="24"/>
          <w:szCs w:val="21"/>
        </w:rPr>
        <w:t>法定代表人或其委托代理人：（签字）</w:t>
      </w:r>
    </w:p>
    <w:p>
      <w:pPr>
        <w:spacing w:line="400" w:lineRule="exact"/>
        <w:ind w:firstLine="3684" w:firstLineChars="1535"/>
        <w:jc w:val="left"/>
        <w:rPr>
          <w:sz w:val="24"/>
          <w:szCs w:val="21"/>
        </w:rPr>
      </w:pPr>
      <w:r>
        <w:rPr>
          <w:rFonts w:hint="eastAsia"/>
          <w:sz w:val="24"/>
          <w:szCs w:val="21"/>
        </w:rPr>
        <w:t>日期：  年  月  日</w:t>
      </w:r>
    </w:p>
    <w:p/>
    <w:p/>
    <w:p/>
    <w:p/>
    <w:p/>
    <w:p/>
    <w:p/>
    <w:p/>
    <w:p/>
    <w:p/>
    <w:p/>
    <w:p/>
    <w:p/>
    <w:p/>
    <w:p/>
    <w:p/>
    <w:p/>
    <w:p/>
    <w:p/>
    <w:p/>
    <w:p>
      <w:pPr>
        <w:pStyle w:val="4"/>
      </w:pPr>
      <w:bookmarkStart w:id="1499" w:name="_Toc12768"/>
      <w:bookmarkStart w:id="1500" w:name="_Toc26734"/>
      <w:bookmarkStart w:id="1501" w:name="_Toc499311257"/>
      <w:bookmarkStart w:id="1502" w:name="_Toc499205042"/>
      <w:r>
        <w:rPr>
          <w:rFonts w:hint="eastAsia"/>
        </w:rPr>
        <w:t>5.8 承诺书</w:t>
      </w:r>
      <w:bookmarkEnd w:id="1498"/>
      <w:bookmarkEnd w:id="1499"/>
      <w:bookmarkEnd w:id="1500"/>
      <w:bookmarkEnd w:id="1501"/>
      <w:bookmarkEnd w:id="1502"/>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致：</w:t>
      </w:r>
      <w:r>
        <w:rPr>
          <w:rFonts w:hint="eastAsia" w:asciiTheme="minorEastAsia" w:hAnsiTheme="minorEastAsia" w:eastAsiaTheme="minorEastAsia"/>
          <w:sz w:val="24"/>
          <w:szCs w:val="21"/>
          <w:u w:val="single"/>
        </w:rPr>
        <w:t xml:space="preserve">          （招标人名称）         </w:t>
      </w:r>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我方在此声明，我方以下事项进行承诺：</w:t>
      </w:r>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w:t>
      </w:r>
      <w:r>
        <w:rPr>
          <w:rFonts w:asciiTheme="minorEastAsia" w:hAnsiTheme="minorEastAsia" w:eastAsiaTheme="minorEastAsia"/>
          <w:sz w:val="24"/>
          <w:szCs w:val="21"/>
        </w:rPr>
        <w:t>1</w:t>
      </w:r>
      <w:r>
        <w:rPr>
          <w:rFonts w:hint="eastAsia" w:asciiTheme="minorEastAsia" w:hAnsiTheme="minorEastAsia" w:eastAsiaTheme="minorEastAsia"/>
          <w:sz w:val="24"/>
          <w:szCs w:val="21"/>
        </w:rPr>
        <w:t>）在本次投标中我方无与其他投标人相互串通投标，或与招标人串通投标的行为；</w:t>
      </w:r>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w:t>
      </w:r>
      <w:r>
        <w:rPr>
          <w:rFonts w:asciiTheme="minorEastAsia" w:hAnsiTheme="minorEastAsia" w:eastAsiaTheme="minorEastAsia"/>
          <w:sz w:val="24"/>
          <w:szCs w:val="21"/>
        </w:rPr>
        <w:t>2</w:t>
      </w:r>
      <w:r>
        <w:rPr>
          <w:rFonts w:hint="eastAsia" w:asciiTheme="minorEastAsia" w:hAnsiTheme="minorEastAsia" w:eastAsiaTheme="minorEastAsia"/>
          <w:sz w:val="24"/>
          <w:szCs w:val="21"/>
        </w:rPr>
        <w:t>）在本次投标中我方无向招标人或评标委员会成员行贿的手段谋取中标的行为；</w:t>
      </w:r>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w:t>
      </w:r>
      <w:r>
        <w:rPr>
          <w:rFonts w:asciiTheme="minorEastAsia" w:hAnsiTheme="minorEastAsia" w:eastAsiaTheme="minorEastAsia"/>
          <w:sz w:val="24"/>
          <w:szCs w:val="21"/>
        </w:rPr>
        <w:t>3</w:t>
      </w:r>
      <w:r>
        <w:rPr>
          <w:rFonts w:hint="eastAsia" w:asciiTheme="minorEastAsia" w:hAnsiTheme="minorEastAsia" w:eastAsiaTheme="minorEastAsia"/>
          <w:sz w:val="24"/>
          <w:szCs w:val="21"/>
        </w:rPr>
        <w:t>）在本次投标中我方无出借或借用资质行为、在投标文件中所附资料（资质、业绩、人员资料等）无弄虚作假；</w:t>
      </w:r>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w:t>
      </w:r>
      <w:r>
        <w:rPr>
          <w:rFonts w:asciiTheme="minorEastAsia" w:hAnsiTheme="minorEastAsia" w:eastAsiaTheme="minorEastAsia"/>
          <w:sz w:val="24"/>
          <w:szCs w:val="21"/>
        </w:rPr>
        <w:t>4</w:t>
      </w:r>
      <w:r>
        <w:rPr>
          <w:rFonts w:hint="eastAsia" w:asciiTheme="minorEastAsia" w:hAnsiTheme="minorEastAsia" w:eastAsiaTheme="minorEastAsia"/>
          <w:sz w:val="24"/>
          <w:szCs w:val="21"/>
        </w:rPr>
        <w:t>）针对本次招标的项目，我方在人员、设备、资金等方面具有相应的能力；</w:t>
      </w:r>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w:t>
      </w:r>
      <w:r>
        <w:rPr>
          <w:rFonts w:asciiTheme="minorEastAsia" w:hAnsiTheme="minorEastAsia" w:eastAsiaTheme="minorEastAsia"/>
          <w:sz w:val="24"/>
          <w:szCs w:val="21"/>
        </w:rPr>
        <w:t>5</w:t>
      </w:r>
      <w:r>
        <w:rPr>
          <w:rFonts w:hint="eastAsia" w:asciiTheme="minorEastAsia" w:hAnsiTheme="minorEastAsia" w:eastAsiaTheme="minorEastAsia"/>
          <w:sz w:val="24"/>
          <w:szCs w:val="21"/>
        </w:rPr>
        <w:t>）我方没有处于破产、被责令停产、停业、投标资格被限制状态；</w:t>
      </w:r>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w:t>
      </w:r>
      <w:r>
        <w:rPr>
          <w:rFonts w:asciiTheme="minorEastAsia" w:hAnsiTheme="minorEastAsia" w:eastAsiaTheme="minorEastAsia"/>
          <w:sz w:val="24"/>
          <w:szCs w:val="21"/>
        </w:rPr>
        <w:t>6</w:t>
      </w:r>
      <w:r>
        <w:rPr>
          <w:rFonts w:hint="eastAsia" w:asciiTheme="minorEastAsia" w:hAnsiTheme="minorEastAsia" w:eastAsiaTheme="minorEastAsia"/>
          <w:sz w:val="24"/>
          <w:szCs w:val="21"/>
        </w:rPr>
        <w:t>）我方不采用捏造事实、伪造材料或者以非法手段取得证明材料进行投诉，在投诉处理过程中不提供虚假情况；</w:t>
      </w:r>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w:t>
      </w:r>
      <w:r>
        <w:rPr>
          <w:rFonts w:asciiTheme="minorEastAsia" w:hAnsiTheme="minorEastAsia" w:eastAsiaTheme="minorEastAsia"/>
          <w:sz w:val="24"/>
          <w:szCs w:val="21"/>
        </w:rPr>
        <w:t>7</w:t>
      </w:r>
      <w:r>
        <w:rPr>
          <w:rFonts w:hint="eastAsia" w:asciiTheme="minorEastAsia" w:hAnsiTheme="minorEastAsia" w:eastAsiaTheme="minorEastAsia"/>
          <w:sz w:val="24"/>
          <w:szCs w:val="21"/>
        </w:rPr>
        <w:t>）我方无因弄虚作假被取消中标候选人资格等事项或者截止报告期末，公司及所属分支机构不存在因诉讼、仲裁等累计涉诉金额超过经审计的上一年度净资产金额20%的负债及或有负债；</w:t>
      </w:r>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（8）我方在招标文件规定的业绩或类似业绩中，无因严重违约被解除或终止合同、重大安全责任事故以及影响工程验收运营等事项；</w:t>
      </w:r>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（9）我方单位负责人为同一人或者存在控股、管理关系的不同单位，未同时参加本项目同一标段投标。</w:t>
      </w:r>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上述承诺内容如有不实或违反上述承诺，我方愿意自动放弃本次中标候选人资格和参加许昌轨道交通后续项目的投标资格，承担由此造成的一切法律责任，并以投标保证金作为违约金支付给招标人。</w:t>
      </w:r>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特此承诺</w:t>
      </w:r>
    </w:p>
    <w:p>
      <w:pPr>
        <w:spacing w:line="276" w:lineRule="auto"/>
        <w:ind w:firstLine="3684" w:firstLineChars="1535"/>
        <w:rPr>
          <w:sz w:val="24"/>
          <w:szCs w:val="21"/>
        </w:rPr>
      </w:pPr>
      <w:bookmarkStart w:id="1503" w:name="_Toc464470080"/>
      <w:bookmarkStart w:id="1504" w:name="_Toc496098826"/>
      <w:bookmarkStart w:id="1505" w:name="_Toc291080712"/>
      <w:bookmarkStart w:id="1506" w:name="_Toc14735"/>
    </w:p>
    <w:p/>
    <w:p>
      <w:pPr>
        <w:spacing w:line="400" w:lineRule="exact"/>
        <w:ind w:firstLine="3684" w:firstLineChars="1535"/>
        <w:rPr>
          <w:sz w:val="24"/>
          <w:szCs w:val="21"/>
        </w:rPr>
      </w:pPr>
      <w:r>
        <w:rPr>
          <w:rFonts w:hint="eastAsia"/>
          <w:sz w:val="24"/>
          <w:szCs w:val="21"/>
        </w:rPr>
        <w:t>投标人：（盖单位公章）</w:t>
      </w:r>
    </w:p>
    <w:p>
      <w:pPr>
        <w:spacing w:line="400" w:lineRule="exact"/>
        <w:ind w:firstLine="3684" w:firstLineChars="1535"/>
      </w:pPr>
      <w:r>
        <w:rPr>
          <w:rFonts w:hint="eastAsia"/>
          <w:sz w:val="24"/>
          <w:szCs w:val="21"/>
        </w:rPr>
        <w:t>法定代表人或其委托代理人：（签字）</w:t>
      </w:r>
    </w:p>
    <w:p>
      <w:pPr>
        <w:spacing w:line="400" w:lineRule="exact"/>
        <w:ind w:firstLine="3684" w:firstLineChars="1535"/>
        <w:jc w:val="left"/>
        <w:rPr>
          <w:sz w:val="24"/>
          <w:szCs w:val="21"/>
        </w:rPr>
      </w:pPr>
      <w:r>
        <w:rPr>
          <w:rFonts w:hint="eastAsia"/>
          <w:sz w:val="24"/>
          <w:szCs w:val="21"/>
        </w:rPr>
        <w:t>日期：  年  月  日</w:t>
      </w:r>
    </w:p>
    <w:p/>
    <w:p/>
    <w:p/>
    <w:p/>
    <w:p/>
    <w:p/>
    <w:p/>
    <w:p/>
    <w:p/>
    <w:p>
      <w:pPr>
        <w:pStyle w:val="2"/>
      </w:pPr>
      <w:bookmarkStart w:id="1507" w:name="_Toc10682"/>
      <w:r>
        <w:rPr>
          <w:rFonts w:hint="eastAsia"/>
        </w:rPr>
        <w:t>六、拟投入本工程监理工作条件一览表</w:t>
      </w:r>
      <w:bookmarkEnd w:id="1503"/>
      <w:bookmarkEnd w:id="1504"/>
      <w:bookmarkEnd w:id="1507"/>
    </w:p>
    <w:p>
      <w:pPr>
        <w:jc w:val="center"/>
        <w:rPr>
          <w:rFonts w:ascii="宋体" w:hAnsi="宋体"/>
          <w:b/>
        </w:rPr>
      </w:pPr>
      <w:r>
        <w:rPr>
          <w:rFonts w:hint="eastAsia" w:ascii="宋体" w:hAnsi="宋体"/>
          <w:b/>
        </w:rPr>
        <w:t>拟投入本工程监理工作条件一览表</w:t>
      </w:r>
    </w:p>
    <w:tbl>
      <w:tblPr>
        <w:tblStyle w:val="28"/>
        <w:tblW w:w="86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142"/>
        <w:gridCol w:w="56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888" w:type="dxa"/>
            <w:vAlign w:val="center"/>
          </w:tcPr>
          <w:p>
            <w:pPr>
              <w:spacing w:line="276" w:lineRule="auto"/>
              <w:jc w:val="center"/>
              <w:rPr>
                <w:b/>
                <w:szCs w:val="21"/>
              </w:rPr>
            </w:pPr>
            <w:r>
              <w:rPr>
                <w:rFonts w:hint="eastAsia"/>
                <w:b/>
                <w:szCs w:val="21"/>
              </w:rPr>
              <w:t>序号</w:t>
            </w:r>
          </w:p>
        </w:tc>
        <w:tc>
          <w:tcPr>
            <w:tcW w:w="2142" w:type="dxa"/>
            <w:vAlign w:val="center"/>
          </w:tcPr>
          <w:p>
            <w:pPr>
              <w:spacing w:line="276" w:lineRule="auto"/>
              <w:jc w:val="center"/>
              <w:rPr>
                <w:b/>
                <w:szCs w:val="21"/>
              </w:rPr>
            </w:pPr>
            <w:r>
              <w:rPr>
                <w:rFonts w:hint="eastAsia"/>
                <w:b/>
                <w:szCs w:val="21"/>
              </w:rPr>
              <w:t>细目</w:t>
            </w:r>
          </w:p>
        </w:tc>
        <w:tc>
          <w:tcPr>
            <w:tcW w:w="5641" w:type="dxa"/>
            <w:vAlign w:val="center"/>
          </w:tcPr>
          <w:p>
            <w:pPr>
              <w:spacing w:line="276" w:lineRule="auto"/>
              <w:jc w:val="center"/>
              <w:rPr>
                <w:b/>
                <w:szCs w:val="21"/>
              </w:rPr>
            </w:pPr>
            <w:r>
              <w:rPr>
                <w:rFonts w:hint="eastAsia"/>
                <w:b/>
                <w:szCs w:val="21"/>
              </w:rPr>
              <w:t>详述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888" w:type="dxa"/>
            <w:vAlign w:val="center"/>
          </w:tcPr>
          <w:p>
            <w:pPr>
              <w:spacing w:line="276" w:lineRule="auto"/>
              <w:jc w:val="center"/>
              <w:rPr>
                <w:szCs w:val="21"/>
              </w:rPr>
            </w:pPr>
            <w:r>
              <w:rPr>
                <w:rFonts w:hint="eastAsia"/>
                <w:szCs w:val="21"/>
              </w:rPr>
              <w:t>1</w:t>
            </w:r>
          </w:p>
        </w:tc>
        <w:tc>
          <w:tcPr>
            <w:tcW w:w="2142" w:type="dxa"/>
            <w:vAlign w:val="center"/>
          </w:tcPr>
          <w:p>
            <w:pPr>
              <w:spacing w:line="276" w:lineRule="auto"/>
              <w:jc w:val="center"/>
              <w:rPr>
                <w:szCs w:val="21"/>
              </w:rPr>
            </w:pPr>
            <w:r>
              <w:rPr>
                <w:rFonts w:hint="eastAsia"/>
                <w:szCs w:val="21"/>
              </w:rPr>
              <w:t>交通工具</w:t>
            </w:r>
          </w:p>
        </w:tc>
        <w:tc>
          <w:tcPr>
            <w:tcW w:w="5641"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888" w:type="dxa"/>
            <w:vAlign w:val="center"/>
          </w:tcPr>
          <w:p>
            <w:pPr>
              <w:spacing w:line="276" w:lineRule="auto"/>
              <w:jc w:val="center"/>
              <w:rPr>
                <w:szCs w:val="21"/>
              </w:rPr>
            </w:pPr>
            <w:r>
              <w:rPr>
                <w:rFonts w:hint="eastAsia"/>
                <w:szCs w:val="21"/>
              </w:rPr>
              <w:t>2</w:t>
            </w:r>
          </w:p>
        </w:tc>
        <w:tc>
          <w:tcPr>
            <w:tcW w:w="2142" w:type="dxa"/>
            <w:vAlign w:val="center"/>
          </w:tcPr>
          <w:p>
            <w:pPr>
              <w:spacing w:line="276" w:lineRule="auto"/>
              <w:jc w:val="center"/>
              <w:rPr>
                <w:szCs w:val="21"/>
              </w:rPr>
            </w:pPr>
            <w:r>
              <w:rPr>
                <w:rFonts w:hAnsi="宋体"/>
                <w:szCs w:val="21"/>
              </w:rPr>
              <w:t>办公设备</w:t>
            </w:r>
          </w:p>
        </w:tc>
        <w:tc>
          <w:tcPr>
            <w:tcW w:w="5641"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888" w:type="dxa"/>
            <w:vAlign w:val="center"/>
          </w:tcPr>
          <w:p>
            <w:pPr>
              <w:spacing w:line="276" w:lineRule="auto"/>
              <w:jc w:val="center"/>
              <w:rPr>
                <w:szCs w:val="21"/>
              </w:rPr>
            </w:pPr>
            <w:r>
              <w:rPr>
                <w:rFonts w:hint="eastAsia"/>
                <w:szCs w:val="21"/>
              </w:rPr>
              <w:t>3</w:t>
            </w:r>
          </w:p>
        </w:tc>
        <w:tc>
          <w:tcPr>
            <w:tcW w:w="2142" w:type="dxa"/>
            <w:vAlign w:val="center"/>
          </w:tcPr>
          <w:p>
            <w:pPr>
              <w:spacing w:line="276" w:lineRule="auto"/>
              <w:jc w:val="center"/>
              <w:rPr>
                <w:szCs w:val="21"/>
              </w:rPr>
            </w:pPr>
            <w:r>
              <w:rPr>
                <w:rFonts w:hAnsi="宋体"/>
                <w:szCs w:val="21"/>
              </w:rPr>
              <w:t>通讯设施</w:t>
            </w:r>
          </w:p>
        </w:tc>
        <w:tc>
          <w:tcPr>
            <w:tcW w:w="5641"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888" w:type="dxa"/>
            <w:vAlign w:val="center"/>
          </w:tcPr>
          <w:p>
            <w:pPr>
              <w:spacing w:line="276" w:lineRule="auto"/>
              <w:jc w:val="center"/>
              <w:rPr>
                <w:szCs w:val="21"/>
              </w:rPr>
            </w:pPr>
            <w:r>
              <w:rPr>
                <w:rFonts w:hint="eastAsia"/>
                <w:szCs w:val="21"/>
              </w:rPr>
              <w:t>4</w:t>
            </w:r>
          </w:p>
        </w:tc>
        <w:tc>
          <w:tcPr>
            <w:tcW w:w="2142" w:type="dxa"/>
            <w:vAlign w:val="center"/>
          </w:tcPr>
          <w:p>
            <w:pPr>
              <w:spacing w:line="276" w:lineRule="auto"/>
              <w:jc w:val="center"/>
              <w:rPr>
                <w:szCs w:val="21"/>
              </w:rPr>
            </w:pPr>
            <w:r>
              <w:rPr>
                <w:rFonts w:hAnsi="宋体"/>
                <w:szCs w:val="21"/>
              </w:rPr>
              <w:t>工作依据和工具</w:t>
            </w:r>
          </w:p>
        </w:tc>
        <w:tc>
          <w:tcPr>
            <w:tcW w:w="5641"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888" w:type="dxa"/>
            <w:vAlign w:val="center"/>
          </w:tcPr>
          <w:p>
            <w:pPr>
              <w:spacing w:line="276" w:lineRule="auto"/>
              <w:jc w:val="center"/>
              <w:rPr>
                <w:szCs w:val="21"/>
              </w:rPr>
            </w:pPr>
            <w:r>
              <w:rPr>
                <w:rFonts w:hint="eastAsia"/>
                <w:szCs w:val="21"/>
              </w:rPr>
              <w:t>5</w:t>
            </w:r>
          </w:p>
        </w:tc>
        <w:tc>
          <w:tcPr>
            <w:tcW w:w="2142" w:type="dxa"/>
            <w:vAlign w:val="center"/>
          </w:tcPr>
          <w:p>
            <w:pPr>
              <w:spacing w:line="276" w:lineRule="auto"/>
              <w:jc w:val="center"/>
              <w:rPr>
                <w:szCs w:val="21"/>
              </w:rPr>
            </w:pPr>
            <w:r>
              <w:rPr>
                <w:rFonts w:hAnsi="宋体"/>
                <w:bCs/>
                <w:szCs w:val="21"/>
              </w:rPr>
              <w:t>其他必要的辅助人员、工作设备、设施或工具</w:t>
            </w:r>
          </w:p>
        </w:tc>
        <w:tc>
          <w:tcPr>
            <w:tcW w:w="5641" w:type="dxa"/>
            <w:vAlign w:val="center"/>
          </w:tcPr>
          <w:p>
            <w:pPr>
              <w:spacing w:line="276" w:lineRule="auto"/>
              <w:rPr>
                <w:szCs w:val="21"/>
              </w:rPr>
            </w:pPr>
          </w:p>
        </w:tc>
      </w:tr>
    </w:tbl>
    <w:p>
      <w:pPr>
        <w:spacing w:line="400" w:lineRule="exact"/>
        <w:ind w:firstLine="420"/>
        <w:jc w:val="left"/>
        <w:rPr>
          <w:szCs w:val="21"/>
        </w:rPr>
      </w:pPr>
      <w:r>
        <w:rPr>
          <w:rFonts w:hAnsi="宋体"/>
          <w:szCs w:val="21"/>
        </w:rPr>
        <w:t>注</w:t>
      </w:r>
      <w:r>
        <w:rPr>
          <w:rFonts w:hint="eastAsia" w:hAnsi="宋体"/>
          <w:szCs w:val="21"/>
        </w:rPr>
        <w:t>：</w:t>
      </w:r>
      <w:r>
        <w:rPr>
          <w:rFonts w:hAnsi="宋体"/>
          <w:szCs w:val="21"/>
        </w:rPr>
        <w:t>投标人根据本招标文件第</w:t>
      </w:r>
      <w:r>
        <w:rPr>
          <w:rFonts w:hint="eastAsia" w:hAnsi="宋体"/>
          <w:szCs w:val="21"/>
        </w:rPr>
        <w:t>三</w:t>
      </w:r>
      <w:r>
        <w:rPr>
          <w:rFonts w:hAnsi="宋体"/>
          <w:szCs w:val="21"/>
        </w:rPr>
        <w:t>章</w:t>
      </w:r>
      <w:r>
        <w:rPr>
          <w:rFonts w:hint="eastAsia" w:hAnsi="宋体"/>
          <w:szCs w:val="21"/>
        </w:rPr>
        <w:t>评标办法</w:t>
      </w:r>
      <w:r>
        <w:rPr>
          <w:rFonts w:hAnsi="宋体"/>
          <w:szCs w:val="21"/>
        </w:rPr>
        <w:t>附表中《拟投入监理工作条件要求》填写；</w:t>
      </w:r>
      <w:r>
        <w:rPr>
          <w:szCs w:val="21"/>
        </w:rPr>
        <w:t>2.</w:t>
      </w:r>
      <w:r>
        <w:rPr>
          <w:rFonts w:hAnsi="宋体"/>
          <w:szCs w:val="21"/>
        </w:rPr>
        <w:t>本页不够请续表。</w:t>
      </w:r>
    </w:p>
    <w:p>
      <w:pPr>
        <w:spacing w:line="400" w:lineRule="exact"/>
        <w:ind w:firstLine="3684" w:firstLineChars="1535"/>
        <w:rPr>
          <w:sz w:val="24"/>
          <w:szCs w:val="21"/>
        </w:rPr>
      </w:pPr>
      <w:bookmarkStart w:id="1508" w:name="_Toc496098827"/>
      <w:bookmarkStart w:id="1509" w:name="_Toc464470081"/>
      <w:r>
        <w:rPr>
          <w:rFonts w:hint="eastAsia"/>
          <w:sz w:val="24"/>
          <w:szCs w:val="21"/>
        </w:rPr>
        <w:t>投标人：（盖单位公章）</w:t>
      </w:r>
    </w:p>
    <w:p>
      <w:pPr>
        <w:spacing w:line="400" w:lineRule="exact"/>
        <w:ind w:firstLine="3684" w:firstLineChars="1535"/>
      </w:pPr>
      <w:r>
        <w:rPr>
          <w:rFonts w:hint="eastAsia"/>
          <w:sz w:val="24"/>
          <w:szCs w:val="21"/>
        </w:rPr>
        <w:t>法定代表人或其委托代理人：（签字）</w:t>
      </w:r>
    </w:p>
    <w:p>
      <w:pPr>
        <w:spacing w:line="400" w:lineRule="exact"/>
        <w:ind w:firstLine="3684" w:firstLineChars="1535"/>
        <w:jc w:val="left"/>
        <w:rPr>
          <w:sz w:val="24"/>
          <w:szCs w:val="21"/>
        </w:rPr>
      </w:pPr>
      <w:r>
        <w:rPr>
          <w:rFonts w:hint="eastAsia"/>
          <w:sz w:val="24"/>
          <w:szCs w:val="21"/>
        </w:rPr>
        <w:t>日期：  年  月  日</w:t>
      </w:r>
    </w:p>
    <w:p>
      <w:pPr>
        <w:spacing w:line="440" w:lineRule="exact"/>
        <w:ind w:firstLine="3542" w:firstLineChars="1687"/>
      </w:pPr>
    </w:p>
    <w:p>
      <w:pPr>
        <w:spacing w:line="440" w:lineRule="exact"/>
        <w:ind w:firstLine="3542" w:firstLineChars="1687"/>
      </w:pPr>
    </w:p>
    <w:p>
      <w:pPr>
        <w:spacing w:line="440" w:lineRule="exact"/>
        <w:ind w:firstLine="3542" w:firstLineChars="1687"/>
      </w:pPr>
    </w:p>
    <w:p>
      <w:pPr>
        <w:spacing w:line="440" w:lineRule="exact"/>
        <w:ind w:firstLine="3542" w:firstLineChars="1687"/>
      </w:pPr>
    </w:p>
    <w:p>
      <w:pPr>
        <w:spacing w:line="440" w:lineRule="exact"/>
        <w:ind w:firstLine="3542" w:firstLineChars="1687"/>
      </w:pPr>
    </w:p>
    <w:p>
      <w:pPr>
        <w:pStyle w:val="2"/>
      </w:pPr>
      <w:bookmarkStart w:id="1510" w:name="_Toc19980"/>
      <w:r>
        <w:rPr>
          <w:rFonts w:hint="eastAsia"/>
        </w:rPr>
        <w:t>七、不良行为记录</w:t>
      </w:r>
      <w:bookmarkEnd w:id="1508"/>
      <w:bookmarkEnd w:id="1510"/>
    </w:p>
    <w:bookmarkEnd w:id="1509"/>
    <w:p>
      <w:bookmarkStart w:id="1511" w:name="_Toc475370567"/>
      <w:r>
        <w:rPr>
          <w:rFonts w:hint="eastAsia"/>
        </w:rPr>
        <w:t>提供投标人在全国建筑市场监管公共服务平台中的企业不良行为记录查询页并加盖投标人公章。</w:t>
      </w:r>
    </w:p>
    <w:p/>
    <w:p/>
    <w:p/>
    <w:p/>
    <w:p/>
    <w:p/>
    <w:p/>
    <w:p/>
    <w:p/>
    <w:p/>
    <w:p/>
    <w:p/>
    <w:p/>
    <w:p>
      <w:pPr>
        <w:pStyle w:val="2"/>
      </w:pPr>
      <w:bookmarkStart w:id="1512" w:name="_Toc32425"/>
      <w:bookmarkStart w:id="1513" w:name="_Toc496098828"/>
      <w:r>
        <w:rPr>
          <w:rFonts w:hint="eastAsia"/>
        </w:rPr>
        <w:t>八、信用情况</w:t>
      </w:r>
      <w:bookmarkEnd w:id="1511"/>
      <w:bookmarkEnd w:id="1512"/>
      <w:bookmarkEnd w:id="1513"/>
    </w:p>
    <w:p>
      <w:pPr>
        <w:rPr>
          <w:rFonts w:hAnsi="宋体"/>
          <w:szCs w:val="21"/>
        </w:rPr>
      </w:pPr>
    </w:p>
    <w:p>
      <w:pPr>
        <w:rPr>
          <w:rFonts w:hAnsi="宋体"/>
          <w:szCs w:val="21"/>
        </w:rPr>
      </w:pPr>
    </w:p>
    <w:p>
      <w:r>
        <w:rPr>
          <w:rFonts w:hint="eastAsia" w:ascii="宋体" w:hAnsi="宋体" w:cs="宋体"/>
          <w:szCs w:val="21"/>
        </w:rPr>
        <w:t>投标人应提供在“信用中国”网站（www.creditchina.gov.cn）上“失信被执行人”、“重大税收违法案件当事人名单”、 “政府采购严重违法失信名单”查询页并加盖投标人公章，信用情况仅以“信用中国”网站查询的结果为准，其他网站的查询结果无效。</w:t>
      </w:r>
    </w:p>
    <w:p/>
    <w:p/>
    <w:p/>
    <w:p/>
    <w:p/>
    <w:p/>
    <w:p/>
    <w:p/>
    <w:p/>
    <w:p/>
    <w:p/>
    <w:p/>
    <w:p/>
    <w:p/>
    <w:p/>
    <w:p/>
    <w:p/>
    <w:p/>
    <w:p/>
    <w:p/>
    <w:p/>
    <w:p/>
    <w:p/>
    <w:p>
      <w:pPr>
        <w:pStyle w:val="2"/>
      </w:pPr>
      <w:bookmarkStart w:id="1514" w:name="_Toc4228"/>
      <w:bookmarkStart w:id="1515" w:name="_Toc496098829"/>
      <w:r>
        <w:rPr>
          <w:rFonts w:hint="eastAsia"/>
        </w:rPr>
        <w:t>九、监理大纲</w:t>
      </w:r>
      <w:bookmarkEnd w:id="1514"/>
    </w:p>
    <w:p/>
    <w:p/>
    <w:p/>
    <w:p/>
    <w:p/>
    <w:p/>
    <w:p/>
    <w:p/>
    <w:p/>
    <w:p/>
    <w:p/>
    <w:p/>
    <w:p/>
    <w:p/>
    <w:p/>
    <w:p/>
    <w:p/>
    <w:p/>
    <w:p/>
    <w:p/>
    <w:p/>
    <w:p/>
    <w:p/>
    <w:p/>
    <w:p/>
    <w:p/>
    <w:p/>
    <w:p/>
    <w:p/>
    <w:p/>
    <w:p/>
    <w:p/>
    <w:p/>
    <w:p/>
    <w:p/>
    <w:p/>
    <w:p/>
    <w:p/>
    <w:p/>
    <w:p/>
    <w:p/>
    <w:p>
      <w:pPr>
        <w:pStyle w:val="2"/>
      </w:pPr>
      <w:bookmarkStart w:id="1516" w:name="_Toc14988"/>
      <w:r>
        <w:rPr>
          <w:rFonts w:hint="eastAsia"/>
        </w:rPr>
        <w:t>十、</w:t>
      </w:r>
      <w:bookmarkEnd w:id="1455"/>
      <w:bookmarkEnd w:id="1505"/>
      <w:bookmarkStart w:id="1517" w:name="_Toc281225387"/>
      <w:r>
        <w:rPr>
          <w:rFonts w:hint="eastAsia"/>
        </w:rPr>
        <w:t>其他材料</w:t>
      </w:r>
      <w:bookmarkEnd w:id="1506"/>
      <w:bookmarkEnd w:id="1515"/>
      <w:bookmarkEnd w:id="1516"/>
      <w:bookmarkEnd w:id="1517"/>
    </w:p>
    <w:p>
      <w:r>
        <w:rPr>
          <w:rFonts w:hint="eastAsia" w:ascii="宋体" w:hAnsi="宋体" w:cs="宋体"/>
          <w:szCs w:val="21"/>
        </w:rPr>
        <w:t>投标人提供的有利于本次投标的其它材料。</w:t>
      </w:r>
    </w:p>
    <w:p/>
    <w:p/>
    <w:p/>
    <w:p/>
    <w:p/>
    <w:p/>
    <w:p/>
    <w:p/>
    <w:p/>
    <w:p/>
    <w:p/>
    <w:p/>
    <w:p/>
    <w:p/>
    <w:p/>
    <w:p/>
    <w:p/>
    <w:p/>
    <w:p/>
    <w:p/>
    <w:p/>
    <w:p/>
    <w:p/>
    <w:p/>
    <w:p/>
    <w:p/>
    <w:p/>
    <w:p/>
    <w:p/>
    <w:p/>
    <w:p/>
    <w:p/>
    <w:p/>
    <w:p/>
    <w:p/>
    <w:p/>
    <w:p/>
    <w:p/>
    <w:p/>
    <w:p>
      <w:pPr>
        <w:pStyle w:val="2"/>
      </w:pPr>
      <w:bookmarkStart w:id="1518" w:name="_Toc325404102"/>
      <w:bookmarkStart w:id="1519" w:name="_Toc32156"/>
      <w:bookmarkStart w:id="1520" w:name="_Toc496098830"/>
      <w:bookmarkStart w:id="1521" w:name="_Toc30431"/>
      <w:bookmarkStart w:id="1522" w:name="_Toc341108063"/>
      <w:r>
        <w:rPr>
          <w:rFonts w:hint="eastAsia"/>
        </w:rPr>
        <w:t>十一、投标人递交资料原件清单</w:t>
      </w:r>
      <w:bookmarkEnd w:id="1518"/>
      <w:bookmarkEnd w:id="1519"/>
      <w:bookmarkEnd w:id="1520"/>
      <w:bookmarkEnd w:id="1521"/>
      <w:bookmarkEnd w:id="1522"/>
    </w:p>
    <w:tbl>
      <w:tblPr>
        <w:tblStyle w:val="28"/>
        <w:tblW w:w="9537"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7"/>
        <w:gridCol w:w="1694"/>
        <w:gridCol w:w="4940"/>
        <w:gridCol w:w="1276"/>
        <w:gridCol w:w="9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jc w:val="center"/>
        </w:trPr>
        <w:tc>
          <w:tcPr>
            <w:tcW w:w="687" w:type="dxa"/>
            <w:vAlign w:val="center"/>
          </w:tcPr>
          <w:p>
            <w:pPr>
              <w:jc w:val="center"/>
              <w:rPr>
                <w:rFonts w:ascii="宋体" w:hAnsi="宋体"/>
                <w:szCs w:val="21"/>
              </w:rPr>
            </w:pPr>
            <w:r>
              <w:rPr>
                <w:rFonts w:hint="eastAsia" w:ascii="宋体" w:hAnsi="宋体"/>
                <w:szCs w:val="21"/>
              </w:rPr>
              <w:t>序号</w:t>
            </w:r>
          </w:p>
        </w:tc>
        <w:tc>
          <w:tcPr>
            <w:tcW w:w="1694" w:type="dxa"/>
            <w:vAlign w:val="center"/>
          </w:tcPr>
          <w:p>
            <w:pPr>
              <w:jc w:val="center"/>
              <w:rPr>
                <w:rFonts w:ascii="宋体" w:hAnsi="宋体"/>
                <w:szCs w:val="21"/>
              </w:rPr>
            </w:pPr>
            <w:r>
              <w:rPr>
                <w:rFonts w:hint="eastAsia" w:ascii="宋体" w:hAnsi="宋体"/>
                <w:szCs w:val="21"/>
              </w:rPr>
              <w:t>需提供原件的评审项目</w:t>
            </w:r>
          </w:p>
        </w:tc>
        <w:tc>
          <w:tcPr>
            <w:tcW w:w="4940" w:type="dxa"/>
            <w:vAlign w:val="center"/>
          </w:tcPr>
          <w:p>
            <w:pPr>
              <w:jc w:val="center"/>
              <w:rPr>
                <w:rFonts w:ascii="宋体" w:hAnsi="宋体"/>
                <w:szCs w:val="21"/>
              </w:rPr>
            </w:pPr>
            <w:r>
              <w:rPr>
                <w:rFonts w:hint="eastAsia" w:ascii="宋体" w:hAnsi="宋体"/>
                <w:szCs w:val="21"/>
              </w:rPr>
              <w:t>原件名称</w:t>
            </w:r>
          </w:p>
        </w:tc>
        <w:tc>
          <w:tcPr>
            <w:tcW w:w="1276" w:type="dxa"/>
            <w:vAlign w:val="center"/>
          </w:tcPr>
          <w:p>
            <w:pPr>
              <w:jc w:val="center"/>
              <w:rPr>
                <w:rFonts w:ascii="宋体" w:hAnsi="宋体"/>
                <w:szCs w:val="21"/>
              </w:rPr>
            </w:pPr>
            <w:r>
              <w:rPr>
                <w:rFonts w:hint="eastAsia" w:ascii="宋体" w:hAnsi="宋体"/>
                <w:szCs w:val="21"/>
              </w:rPr>
              <w:t>是否递交</w:t>
            </w:r>
          </w:p>
        </w:tc>
        <w:tc>
          <w:tcPr>
            <w:tcW w:w="940"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jc w:val="center"/>
        </w:trPr>
        <w:tc>
          <w:tcPr>
            <w:tcW w:w="687" w:type="dxa"/>
            <w:vAlign w:val="center"/>
          </w:tcPr>
          <w:p>
            <w:pPr>
              <w:jc w:val="center"/>
              <w:rPr>
                <w:rFonts w:ascii="宋体" w:hAnsi="宋体"/>
                <w:szCs w:val="21"/>
              </w:rPr>
            </w:pPr>
            <w:r>
              <w:rPr>
                <w:rFonts w:ascii="宋体" w:hAnsi="宋体"/>
                <w:szCs w:val="21"/>
              </w:rPr>
              <w:t>1</w:t>
            </w:r>
          </w:p>
        </w:tc>
        <w:tc>
          <w:tcPr>
            <w:tcW w:w="1694" w:type="dxa"/>
            <w:vAlign w:val="center"/>
          </w:tcPr>
          <w:p>
            <w:pPr>
              <w:jc w:val="center"/>
              <w:rPr>
                <w:rFonts w:ascii="宋体" w:hAnsi="宋体"/>
                <w:szCs w:val="21"/>
              </w:rPr>
            </w:pPr>
          </w:p>
        </w:tc>
        <w:tc>
          <w:tcPr>
            <w:tcW w:w="4940" w:type="dxa"/>
            <w:vAlign w:val="center"/>
          </w:tcPr>
          <w:p>
            <w:pPr>
              <w:rPr>
                <w:rFonts w:ascii="宋体" w:hAnsi="宋体"/>
                <w:szCs w:val="21"/>
              </w:rPr>
            </w:pPr>
          </w:p>
        </w:tc>
        <w:tc>
          <w:tcPr>
            <w:tcW w:w="1276" w:type="dxa"/>
            <w:vAlign w:val="center"/>
          </w:tcPr>
          <w:p>
            <w:pPr>
              <w:jc w:val="center"/>
              <w:rPr>
                <w:rFonts w:ascii="宋体" w:hAnsi="宋体"/>
                <w:szCs w:val="21"/>
              </w:rPr>
            </w:pPr>
          </w:p>
        </w:tc>
        <w:tc>
          <w:tcPr>
            <w:tcW w:w="94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jc w:val="center"/>
        </w:trPr>
        <w:tc>
          <w:tcPr>
            <w:tcW w:w="687" w:type="dxa"/>
            <w:vAlign w:val="center"/>
          </w:tcPr>
          <w:p>
            <w:pPr>
              <w:jc w:val="center"/>
              <w:rPr>
                <w:rFonts w:ascii="宋体" w:hAnsi="宋体"/>
                <w:szCs w:val="21"/>
              </w:rPr>
            </w:pPr>
            <w:r>
              <w:rPr>
                <w:rFonts w:ascii="宋体" w:hAnsi="宋体"/>
                <w:szCs w:val="21"/>
              </w:rPr>
              <w:t>2</w:t>
            </w:r>
          </w:p>
        </w:tc>
        <w:tc>
          <w:tcPr>
            <w:tcW w:w="1694" w:type="dxa"/>
            <w:vAlign w:val="center"/>
          </w:tcPr>
          <w:p>
            <w:pPr>
              <w:jc w:val="center"/>
              <w:rPr>
                <w:rFonts w:ascii="宋体" w:hAnsi="宋体"/>
                <w:szCs w:val="21"/>
              </w:rPr>
            </w:pPr>
          </w:p>
        </w:tc>
        <w:tc>
          <w:tcPr>
            <w:tcW w:w="4940" w:type="dxa"/>
            <w:vAlign w:val="center"/>
          </w:tcPr>
          <w:p>
            <w:pPr>
              <w:rPr>
                <w:rFonts w:ascii="宋体" w:hAnsi="宋体"/>
                <w:szCs w:val="21"/>
              </w:rPr>
            </w:pPr>
          </w:p>
        </w:tc>
        <w:tc>
          <w:tcPr>
            <w:tcW w:w="1276" w:type="dxa"/>
            <w:vAlign w:val="center"/>
          </w:tcPr>
          <w:p>
            <w:pPr>
              <w:jc w:val="center"/>
              <w:rPr>
                <w:rFonts w:ascii="宋体" w:hAnsi="宋体"/>
                <w:szCs w:val="21"/>
              </w:rPr>
            </w:pPr>
          </w:p>
        </w:tc>
        <w:tc>
          <w:tcPr>
            <w:tcW w:w="94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1" w:hRule="atLeast"/>
          <w:jc w:val="center"/>
        </w:trPr>
        <w:tc>
          <w:tcPr>
            <w:tcW w:w="687" w:type="dxa"/>
            <w:vAlign w:val="center"/>
          </w:tcPr>
          <w:p>
            <w:pPr>
              <w:jc w:val="center"/>
              <w:rPr>
                <w:rFonts w:ascii="宋体" w:hAnsi="宋体"/>
                <w:szCs w:val="21"/>
              </w:rPr>
            </w:pPr>
            <w:r>
              <w:rPr>
                <w:rFonts w:hint="eastAsia" w:ascii="宋体" w:hAnsi="宋体"/>
                <w:szCs w:val="21"/>
              </w:rPr>
              <w:t>3</w:t>
            </w:r>
          </w:p>
        </w:tc>
        <w:tc>
          <w:tcPr>
            <w:tcW w:w="1694" w:type="dxa"/>
            <w:vAlign w:val="center"/>
          </w:tcPr>
          <w:p>
            <w:pPr>
              <w:jc w:val="center"/>
              <w:rPr>
                <w:rFonts w:ascii="宋体" w:hAnsi="宋体"/>
                <w:szCs w:val="21"/>
              </w:rPr>
            </w:pPr>
          </w:p>
        </w:tc>
        <w:tc>
          <w:tcPr>
            <w:tcW w:w="4940" w:type="dxa"/>
            <w:vAlign w:val="center"/>
          </w:tcPr>
          <w:p>
            <w:pPr>
              <w:rPr>
                <w:rFonts w:ascii="宋体" w:hAnsi="宋体"/>
                <w:szCs w:val="21"/>
              </w:rPr>
            </w:pPr>
          </w:p>
        </w:tc>
        <w:tc>
          <w:tcPr>
            <w:tcW w:w="1276" w:type="dxa"/>
            <w:vAlign w:val="center"/>
          </w:tcPr>
          <w:p>
            <w:pPr>
              <w:jc w:val="center"/>
              <w:rPr>
                <w:rFonts w:ascii="宋体" w:hAnsi="宋体"/>
                <w:szCs w:val="21"/>
              </w:rPr>
            </w:pPr>
          </w:p>
        </w:tc>
        <w:tc>
          <w:tcPr>
            <w:tcW w:w="94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jc w:val="center"/>
        </w:trPr>
        <w:tc>
          <w:tcPr>
            <w:tcW w:w="687" w:type="dxa"/>
            <w:vAlign w:val="center"/>
          </w:tcPr>
          <w:p>
            <w:pPr>
              <w:jc w:val="center"/>
              <w:rPr>
                <w:rFonts w:ascii="宋体" w:hAnsi="宋体"/>
                <w:szCs w:val="21"/>
              </w:rPr>
            </w:pPr>
            <w:r>
              <w:rPr>
                <w:rFonts w:hint="eastAsia" w:ascii="宋体" w:hAnsi="宋体"/>
                <w:szCs w:val="21"/>
              </w:rPr>
              <w:t>4</w:t>
            </w:r>
          </w:p>
        </w:tc>
        <w:tc>
          <w:tcPr>
            <w:tcW w:w="1694" w:type="dxa"/>
            <w:vAlign w:val="center"/>
          </w:tcPr>
          <w:p>
            <w:pPr>
              <w:jc w:val="center"/>
              <w:rPr>
                <w:rFonts w:ascii="宋体" w:hAnsi="宋体"/>
                <w:szCs w:val="21"/>
              </w:rPr>
            </w:pPr>
          </w:p>
        </w:tc>
        <w:tc>
          <w:tcPr>
            <w:tcW w:w="4940" w:type="dxa"/>
            <w:vAlign w:val="center"/>
          </w:tcPr>
          <w:p>
            <w:pPr>
              <w:rPr>
                <w:rFonts w:ascii="宋体" w:hAnsi="宋体"/>
                <w:szCs w:val="21"/>
              </w:rPr>
            </w:pPr>
          </w:p>
        </w:tc>
        <w:tc>
          <w:tcPr>
            <w:tcW w:w="1276" w:type="dxa"/>
            <w:vAlign w:val="center"/>
          </w:tcPr>
          <w:p>
            <w:pPr>
              <w:jc w:val="center"/>
              <w:rPr>
                <w:rFonts w:ascii="宋体" w:hAnsi="宋体"/>
                <w:szCs w:val="21"/>
              </w:rPr>
            </w:pPr>
          </w:p>
        </w:tc>
        <w:tc>
          <w:tcPr>
            <w:tcW w:w="94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jc w:val="center"/>
        </w:trPr>
        <w:tc>
          <w:tcPr>
            <w:tcW w:w="687" w:type="dxa"/>
            <w:vAlign w:val="center"/>
          </w:tcPr>
          <w:p>
            <w:pPr>
              <w:jc w:val="center"/>
              <w:rPr>
                <w:rFonts w:ascii="宋体" w:hAnsi="宋体"/>
                <w:szCs w:val="21"/>
              </w:rPr>
            </w:pPr>
            <w:r>
              <w:rPr>
                <w:rFonts w:hint="eastAsia" w:ascii="宋体" w:hAnsi="宋体"/>
                <w:szCs w:val="21"/>
              </w:rPr>
              <w:t>5</w:t>
            </w:r>
          </w:p>
        </w:tc>
        <w:tc>
          <w:tcPr>
            <w:tcW w:w="1694" w:type="dxa"/>
            <w:vAlign w:val="center"/>
          </w:tcPr>
          <w:p>
            <w:pPr>
              <w:jc w:val="center"/>
              <w:rPr>
                <w:rFonts w:ascii="宋体" w:hAnsi="宋体"/>
                <w:szCs w:val="21"/>
              </w:rPr>
            </w:pPr>
          </w:p>
        </w:tc>
        <w:tc>
          <w:tcPr>
            <w:tcW w:w="4940" w:type="dxa"/>
            <w:vAlign w:val="center"/>
          </w:tcPr>
          <w:p>
            <w:pPr>
              <w:rPr>
                <w:rFonts w:ascii="宋体" w:hAnsi="宋体"/>
                <w:szCs w:val="21"/>
              </w:rPr>
            </w:pPr>
          </w:p>
        </w:tc>
        <w:tc>
          <w:tcPr>
            <w:tcW w:w="1276" w:type="dxa"/>
            <w:vAlign w:val="center"/>
          </w:tcPr>
          <w:p>
            <w:pPr>
              <w:jc w:val="center"/>
              <w:rPr>
                <w:rFonts w:ascii="宋体" w:hAnsi="宋体"/>
                <w:szCs w:val="21"/>
              </w:rPr>
            </w:pPr>
          </w:p>
        </w:tc>
        <w:tc>
          <w:tcPr>
            <w:tcW w:w="94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jc w:val="center"/>
        </w:trPr>
        <w:tc>
          <w:tcPr>
            <w:tcW w:w="687" w:type="dxa"/>
            <w:vAlign w:val="center"/>
          </w:tcPr>
          <w:p>
            <w:pPr>
              <w:jc w:val="center"/>
              <w:rPr>
                <w:rFonts w:ascii="宋体" w:hAnsi="宋体"/>
                <w:szCs w:val="21"/>
              </w:rPr>
            </w:pPr>
            <w:r>
              <w:rPr>
                <w:rFonts w:hint="eastAsia" w:ascii="宋体" w:hAnsi="宋体"/>
                <w:szCs w:val="21"/>
              </w:rPr>
              <w:t>6</w:t>
            </w:r>
          </w:p>
        </w:tc>
        <w:tc>
          <w:tcPr>
            <w:tcW w:w="1694" w:type="dxa"/>
            <w:vAlign w:val="center"/>
          </w:tcPr>
          <w:p>
            <w:pPr>
              <w:jc w:val="center"/>
              <w:rPr>
                <w:rFonts w:ascii="宋体" w:hAnsi="宋体"/>
                <w:szCs w:val="21"/>
              </w:rPr>
            </w:pPr>
          </w:p>
        </w:tc>
        <w:tc>
          <w:tcPr>
            <w:tcW w:w="4940" w:type="dxa"/>
            <w:vAlign w:val="center"/>
          </w:tcPr>
          <w:p>
            <w:pPr>
              <w:rPr>
                <w:rFonts w:ascii="宋体" w:hAnsi="宋体"/>
                <w:szCs w:val="21"/>
              </w:rPr>
            </w:pPr>
          </w:p>
        </w:tc>
        <w:tc>
          <w:tcPr>
            <w:tcW w:w="1276" w:type="dxa"/>
            <w:vAlign w:val="center"/>
          </w:tcPr>
          <w:p>
            <w:pPr>
              <w:jc w:val="center"/>
              <w:rPr>
                <w:rFonts w:ascii="宋体" w:hAnsi="宋体"/>
                <w:szCs w:val="21"/>
              </w:rPr>
            </w:pPr>
          </w:p>
        </w:tc>
        <w:tc>
          <w:tcPr>
            <w:tcW w:w="94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jc w:val="center"/>
        </w:trPr>
        <w:tc>
          <w:tcPr>
            <w:tcW w:w="687" w:type="dxa"/>
            <w:vAlign w:val="center"/>
          </w:tcPr>
          <w:p>
            <w:pPr>
              <w:jc w:val="center"/>
              <w:rPr>
                <w:rFonts w:ascii="宋体" w:hAnsi="宋体"/>
                <w:szCs w:val="21"/>
              </w:rPr>
            </w:pPr>
            <w:r>
              <w:rPr>
                <w:rFonts w:hint="eastAsia" w:ascii="宋体" w:hAnsi="宋体"/>
                <w:szCs w:val="21"/>
              </w:rPr>
              <w:t>7</w:t>
            </w:r>
          </w:p>
        </w:tc>
        <w:tc>
          <w:tcPr>
            <w:tcW w:w="1694" w:type="dxa"/>
            <w:vAlign w:val="center"/>
          </w:tcPr>
          <w:p>
            <w:pPr>
              <w:jc w:val="center"/>
              <w:rPr>
                <w:rFonts w:ascii="宋体" w:hAnsi="宋体"/>
                <w:szCs w:val="21"/>
              </w:rPr>
            </w:pPr>
          </w:p>
        </w:tc>
        <w:tc>
          <w:tcPr>
            <w:tcW w:w="4940" w:type="dxa"/>
            <w:vAlign w:val="center"/>
          </w:tcPr>
          <w:p>
            <w:pPr>
              <w:rPr>
                <w:rFonts w:ascii="宋体" w:hAnsi="宋体"/>
                <w:szCs w:val="21"/>
              </w:rPr>
            </w:pPr>
          </w:p>
        </w:tc>
        <w:tc>
          <w:tcPr>
            <w:tcW w:w="1276" w:type="dxa"/>
            <w:vAlign w:val="center"/>
          </w:tcPr>
          <w:p>
            <w:pPr>
              <w:jc w:val="center"/>
              <w:rPr>
                <w:rFonts w:ascii="宋体" w:hAnsi="宋体"/>
                <w:szCs w:val="21"/>
              </w:rPr>
            </w:pPr>
          </w:p>
        </w:tc>
        <w:tc>
          <w:tcPr>
            <w:tcW w:w="94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jc w:val="center"/>
        </w:trPr>
        <w:tc>
          <w:tcPr>
            <w:tcW w:w="687" w:type="dxa"/>
            <w:vAlign w:val="center"/>
          </w:tcPr>
          <w:p>
            <w:pPr>
              <w:jc w:val="center"/>
              <w:rPr>
                <w:rFonts w:ascii="宋体" w:hAnsi="宋体"/>
                <w:szCs w:val="21"/>
              </w:rPr>
            </w:pPr>
            <w:r>
              <w:rPr>
                <w:rFonts w:hint="eastAsia" w:ascii="宋体" w:hAnsi="宋体"/>
                <w:szCs w:val="21"/>
              </w:rPr>
              <w:t>。。。</w:t>
            </w:r>
          </w:p>
        </w:tc>
        <w:tc>
          <w:tcPr>
            <w:tcW w:w="1694" w:type="dxa"/>
            <w:vAlign w:val="center"/>
          </w:tcPr>
          <w:p>
            <w:pPr>
              <w:jc w:val="center"/>
              <w:rPr>
                <w:rFonts w:ascii="宋体" w:hAnsi="宋体"/>
                <w:szCs w:val="21"/>
              </w:rPr>
            </w:pPr>
            <w:r>
              <w:rPr>
                <w:rFonts w:hint="eastAsia" w:ascii="宋体" w:hAnsi="宋体"/>
                <w:szCs w:val="21"/>
              </w:rPr>
              <w:t>。。。</w:t>
            </w:r>
          </w:p>
        </w:tc>
        <w:tc>
          <w:tcPr>
            <w:tcW w:w="4940" w:type="dxa"/>
            <w:vAlign w:val="center"/>
          </w:tcPr>
          <w:p>
            <w:pPr>
              <w:rPr>
                <w:rFonts w:ascii="宋体" w:hAnsi="宋体"/>
                <w:szCs w:val="21"/>
              </w:rPr>
            </w:pPr>
          </w:p>
        </w:tc>
        <w:tc>
          <w:tcPr>
            <w:tcW w:w="1276" w:type="dxa"/>
            <w:vAlign w:val="center"/>
          </w:tcPr>
          <w:p>
            <w:pPr>
              <w:jc w:val="center"/>
              <w:rPr>
                <w:rFonts w:ascii="宋体" w:hAnsi="宋体"/>
                <w:szCs w:val="21"/>
              </w:rPr>
            </w:pPr>
          </w:p>
        </w:tc>
        <w:tc>
          <w:tcPr>
            <w:tcW w:w="940" w:type="dxa"/>
            <w:vAlign w:val="center"/>
          </w:tcPr>
          <w:p>
            <w:pPr>
              <w:jc w:val="center"/>
              <w:rPr>
                <w:rFonts w:ascii="宋体" w:hAnsi="宋体"/>
                <w:szCs w:val="21"/>
              </w:rPr>
            </w:pPr>
          </w:p>
        </w:tc>
      </w:tr>
    </w:tbl>
    <w:p>
      <w:pPr>
        <w:rPr>
          <w:rFonts w:ascii="宋体" w:hAnsi="宋体"/>
          <w:szCs w:val="21"/>
        </w:rPr>
      </w:pPr>
      <w:r>
        <w:rPr>
          <w:rFonts w:ascii="宋体" w:hAnsi="宋体"/>
          <w:szCs w:val="21"/>
        </w:rPr>
        <w:t>注：</w:t>
      </w:r>
      <w:r>
        <w:rPr>
          <w:rFonts w:ascii="宋体" w:hAnsi="宋体"/>
          <w:b/>
          <w:bCs/>
          <w:szCs w:val="21"/>
        </w:rPr>
        <w:t>1.投标人根据所递交原件情况填写本表，递交原件时随原件一同</w:t>
      </w:r>
      <w:r>
        <w:rPr>
          <w:rFonts w:hint="eastAsia" w:ascii="宋体" w:hAnsi="宋体"/>
          <w:b/>
          <w:bCs/>
          <w:szCs w:val="21"/>
        </w:rPr>
        <w:t>密封</w:t>
      </w:r>
      <w:r>
        <w:rPr>
          <w:rFonts w:ascii="宋体" w:hAnsi="宋体"/>
          <w:b/>
          <w:bCs/>
          <w:szCs w:val="21"/>
        </w:rPr>
        <w:t>递交</w:t>
      </w:r>
      <w:r>
        <w:rPr>
          <w:rFonts w:hint="eastAsia" w:ascii="宋体" w:hAnsi="宋体"/>
          <w:b/>
          <w:bCs/>
          <w:szCs w:val="21"/>
        </w:rPr>
        <w:t>；</w:t>
      </w:r>
      <w:r>
        <w:rPr>
          <w:rFonts w:hint="eastAsia" w:ascii="宋体" w:hAnsi="宋体"/>
          <w:b/>
          <w:szCs w:val="21"/>
        </w:rPr>
        <w:t>原件须密封随同投标文件在投标截止时间前一次性递交，不得补充。如投多个标段的，将所有原件密封在一个包装袋内，并注明原件所适用的标段及对应的评审内容。</w:t>
      </w:r>
    </w:p>
    <w:p>
      <w:pPr>
        <w:ind w:firstLine="420"/>
        <w:rPr>
          <w:rFonts w:ascii="宋体" w:hAnsi="宋体"/>
          <w:b/>
          <w:szCs w:val="21"/>
        </w:rPr>
      </w:pPr>
      <w:r>
        <w:rPr>
          <w:rFonts w:hint="eastAsia" w:ascii="宋体" w:hAnsi="宋体"/>
          <w:szCs w:val="21"/>
        </w:rPr>
        <w:t>2.本清单中原件，用于评标委员会对招标文件第三章评标办法前附表“</w:t>
      </w:r>
      <w:r>
        <w:rPr>
          <w:rFonts w:ascii="宋体" w:hAnsi="宋体"/>
          <w:szCs w:val="21"/>
        </w:rPr>
        <w:t>资格评审标准</w:t>
      </w:r>
      <w:r>
        <w:rPr>
          <w:rFonts w:hint="eastAsia" w:ascii="宋体" w:hAnsi="宋体"/>
          <w:szCs w:val="21"/>
        </w:rPr>
        <w:t>”相关内容的</w:t>
      </w:r>
      <w:r>
        <w:rPr>
          <w:rFonts w:ascii="宋体" w:hAnsi="宋体"/>
          <w:szCs w:val="21"/>
        </w:rPr>
        <w:t>评审，未提供原件的，或所提供原件不符合资格评审标准要求的，或所提供原件与其投标文件内容不符合的，</w:t>
      </w:r>
      <w:r>
        <w:rPr>
          <w:rFonts w:ascii="宋体" w:hAnsi="宋体"/>
          <w:b/>
          <w:szCs w:val="21"/>
        </w:rPr>
        <w:t>将导致投标人无法通过资格评审，并不进入后续评审。</w:t>
      </w:r>
      <w:r>
        <w:rPr>
          <w:rFonts w:hint="eastAsia" w:ascii="宋体" w:hAnsi="宋体"/>
          <w:b/>
          <w:szCs w:val="21"/>
        </w:rPr>
        <w:t>投标人可以不提供营业执照、资质证书原件，</w:t>
      </w:r>
      <w:r>
        <w:rPr>
          <w:rFonts w:ascii="宋体" w:hAnsi="宋体"/>
          <w:b/>
          <w:szCs w:val="21"/>
        </w:rPr>
        <w:t>但应</w:t>
      </w:r>
      <w:r>
        <w:rPr>
          <w:rFonts w:hint="eastAsia" w:ascii="宋体" w:hAnsi="宋体"/>
          <w:b/>
          <w:szCs w:val="21"/>
        </w:rPr>
        <w:t>将营业执照、资质证书复印件</w:t>
      </w:r>
      <w:r>
        <w:rPr>
          <w:rFonts w:ascii="宋体" w:hAnsi="宋体"/>
          <w:b/>
          <w:szCs w:val="21"/>
        </w:rPr>
        <w:t>（加盖单位公章）</w:t>
      </w:r>
      <w:r>
        <w:rPr>
          <w:rFonts w:hint="eastAsia" w:ascii="宋体" w:hAnsi="宋体"/>
          <w:b/>
          <w:szCs w:val="21"/>
        </w:rPr>
        <w:t>放在</w:t>
      </w:r>
      <w:r>
        <w:rPr>
          <w:rFonts w:ascii="宋体" w:hAnsi="宋体"/>
          <w:b/>
          <w:szCs w:val="21"/>
        </w:rPr>
        <w:t>投标文件相应位置</w:t>
      </w:r>
      <w:r>
        <w:rPr>
          <w:rFonts w:hint="eastAsia" w:ascii="宋体" w:hAnsi="宋体"/>
          <w:b/>
          <w:szCs w:val="21"/>
        </w:rPr>
        <w:t>。</w:t>
      </w:r>
    </w:p>
    <w:p>
      <w:pPr>
        <w:ind w:firstLine="420"/>
        <w:rPr>
          <w:rFonts w:ascii="宋体" w:hAnsi="宋体"/>
          <w:szCs w:val="21"/>
        </w:rPr>
      </w:pPr>
      <w:r>
        <w:rPr>
          <w:rFonts w:ascii="宋体" w:hAnsi="宋体"/>
          <w:szCs w:val="21"/>
        </w:rPr>
        <w:t>3.本清单中原件，用于评标委员会对招标文件第三章评标办法前附表</w:t>
      </w:r>
      <w:r>
        <w:rPr>
          <w:rFonts w:hint="eastAsia" w:ascii="宋体" w:hAnsi="宋体"/>
          <w:szCs w:val="21"/>
        </w:rPr>
        <w:t>“</w:t>
      </w:r>
      <w:r>
        <w:rPr>
          <w:rFonts w:ascii="宋体" w:hAnsi="宋体"/>
          <w:szCs w:val="21"/>
        </w:rPr>
        <w:t>商务</w:t>
      </w:r>
      <w:r>
        <w:rPr>
          <w:rFonts w:hint="eastAsia" w:ascii="宋体" w:hAnsi="宋体"/>
          <w:szCs w:val="21"/>
        </w:rPr>
        <w:t>部分</w:t>
      </w:r>
      <w:r>
        <w:rPr>
          <w:rFonts w:ascii="宋体" w:hAnsi="宋体"/>
          <w:szCs w:val="21"/>
        </w:rPr>
        <w:t>评分标准</w:t>
      </w:r>
      <w:r>
        <w:rPr>
          <w:rFonts w:hint="eastAsia" w:ascii="宋体" w:hAnsi="宋体"/>
          <w:szCs w:val="21"/>
        </w:rPr>
        <w:t>”相关内容的</w:t>
      </w:r>
      <w:r>
        <w:rPr>
          <w:rFonts w:ascii="宋体" w:hAnsi="宋体"/>
          <w:szCs w:val="21"/>
        </w:rPr>
        <w:t>评审，未提供原件的，或原件不符合评分标准的，或所提供原件与其投标文件内容不符合的，该项评审不得分</w:t>
      </w:r>
      <w:r>
        <w:rPr>
          <w:rFonts w:hint="eastAsia" w:ascii="宋体" w:hAnsi="宋体"/>
          <w:szCs w:val="21"/>
        </w:rPr>
        <w:t>。</w:t>
      </w:r>
    </w:p>
    <w:p>
      <w:pPr>
        <w:ind w:firstLine="420"/>
      </w:pPr>
      <w:r>
        <w:rPr>
          <w:rFonts w:ascii="宋体" w:hAnsi="宋体"/>
          <w:szCs w:val="21"/>
        </w:rPr>
        <w:t>4.投标人递交的原件应与本清单保持一致。若实际递交情况与本清单不一致，则评标委员会将对投标人发起澄清，投标人拒绝澄清的，评审委员会将做否决其投标处理。本清单之外的原件不作为评审依据。</w:t>
      </w:r>
    </w:p>
    <w:sectPr>
      <w:headerReference r:id="rId3" w:type="default"/>
      <w:footerReference r:id="rId4" w:type="default"/>
      <w:pgSz w:w="11906" w:h="16838"/>
      <w:pgMar w:top="1440" w:right="1558" w:bottom="1440" w:left="156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8000012" w:usb3="00000000" w:csb0="4002009F" w:csb1="DFD7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瑞和安惠项目管理集团有限公司编制        </w:t>
    </w:r>
    <w:r>
      <w:fldChar w:fldCharType="begin"/>
    </w:r>
    <w:r>
      <w:instrText xml:space="preserve">PAGE   \* MERGEFORMAT</w:instrText>
    </w:r>
    <w: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rFonts w:hint="eastAsia"/>
      </w:rPr>
      <w:t>郑州机场至许昌市域铁路工程许昌段建设项目(施工总承包)监理（第三标段）招标文件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5A159F8D"/>
    <w:multiLevelType w:val="singleLevel"/>
    <w:tmpl w:val="5A159F8D"/>
    <w:lvl w:ilvl="0" w:tentative="0">
      <w:start w:val="3"/>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58E5"/>
    <w:rsid w:val="00016308"/>
    <w:rsid w:val="00017650"/>
    <w:rsid w:val="00052D37"/>
    <w:rsid w:val="00055F8E"/>
    <w:rsid w:val="000652C0"/>
    <w:rsid w:val="00087E27"/>
    <w:rsid w:val="0009113E"/>
    <w:rsid w:val="000B6B38"/>
    <w:rsid w:val="000C0E6F"/>
    <w:rsid w:val="000E2EDD"/>
    <w:rsid w:val="001107C9"/>
    <w:rsid w:val="001178E1"/>
    <w:rsid w:val="001846E3"/>
    <w:rsid w:val="001A7621"/>
    <w:rsid w:val="001B592D"/>
    <w:rsid w:val="001D1EB5"/>
    <w:rsid w:val="001E4C50"/>
    <w:rsid w:val="001F3811"/>
    <w:rsid w:val="001F7A92"/>
    <w:rsid w:val="00210764"/>
    <w:rsid w:val="00216866"/>
    <w:rsid w:val="0023109D"/>
    <w:rsid w:val="00271C4D"/>
    <w:rsid w:val="00290FB0"/>
    <w:rsid w:val="002C0FE3"/>
    <w:rsid w:val="002F369A"/>
    <w:rsid w:val="002F638E"/>
    <w:rsid w:val="003403EB"/>
    <w:rsid w:val="003420D6"/>
    <w:rsid w:val="0039774C"/>
    <w:rsid w:val="003C35F7"/>
    <w:rsid w:val="003E0364"/>
    <w:rsid w:val="0043374F"/>
    <w:rsid w:val="004463C8"/>
    <w:rsid w:val="00454775"/>
    <w:rsid w:val="004765B1"/>
    <w:rsid w:val="004C5FDA"/>
    <w:rsid w:val="004C76E2"/>
    <w:rsid w:val="004E0A40"/>
    <w:rsid w:val="004E306A"/>
    <w:rsid w:val="004E625D"/>
    <w:rsid w:val="0050408A"/>
    <w:rsid w:val="00527E5F"/>
    <w:rsid w:val="00531399"/>
    <w:rsid w:val="00561A0B"/>
    <w:rsid w:val="00565772"/>
    <w:rsid w:val="006527EB"/>
    <w:rsid w:val="00663414"/>
    <w:rsid w:val="00675C2A"/>
    <w:rsid w:val="006A5258"/>
    <w:rsid w:val="00702C5B"/>
    <w:rsid w:val="0072392F"/>
    <w:rsid w:val="0073597B"/>
    <w:rsid w:val="00736B51"/>
    <w:rsid w:val="007505DE"/>
    <w:rsid w:val="00770745"/>
    <w:rsid w:val="007E64AD"/>
    <w:rsid w:val="008210DD"/>
    <w:rsid w:val="008671C9"/>
    <w:rsid w:val="008775C5"/>
    <w:rsid w:val="008C266D"/>
    <w:rsid w:val="008F626A"/>
    <w:rsid w:val="00951536"/>
    <w:rsid w:val="009847CA"/>
    <w:rsid w:val="009C25E1"/>
    <w:rsid w:val="009F5606"/>
    <w:rsid w:val="00A01F66"/>
    <w:rsid w:val="00A06339"/>
    <w:rsid w:val="00A34EF3"/>
    <w:rsid w:val="00A47A3E"/>
    <w:rsid w:val="00A47F65"/>
    <w:rsid w:val="00AA55DC"/>
    <w:rsid w:val="00AB5009"/>
    <w:rsid w:val="00AC0F9D"/>
    <w:rsid w:val="00B104A9"/>
    <w:rsid w:val="00B34EA8"/>
    <w:rsid w:val="00BA3A7D"/>
    <w:rsid w:val="00BB51DA"/>
    <w:rsid w:val="00BB7829"/>
    <w:rsid w:val="00C05CDD"/>
    <w:rsid w:val="00C158E5"/>
    <w:rsid w:val="00C53567"/>
    <w:rsid w:val="00C5403D"/>
    <w:rsid w:val="00C54C83"/>
    <w:rsid w:val="00C602A3"/>
    <w:rsid w:val="00C6618A"/>
    <w:rsid w:val="00C90847"/>
    <w:rsid w:val="00CD37C9"/>
    <w:rsid w:val="00CD55C2"/>
    <w:rsid w:val="00D1666E"/>
    <w:rsid w:val="00D46E50"/>
    <w:rsid w:val="00D50684"/>
    <w:rsid w:val="00D7666C"/>
    <w:rsid w:val="00D8554F"/>
    <w:rsid w:val="00D906AC"/>
    <w:rsid w:val="00DB2236"/>
    <w:rsid w:val="00DD767F"/>
    <w:rsid w:val="00E2605E"/>
    <w:rsid w:val="00E277CA"/>
    <w:rsid w:val="00E34ABA"/>
    <w:rsid w:val="00E5299E"/>
    <w:rsid w:val="00E9095F"/>
    <w:rsid w:val="00ED06DB"/>
    <w:rsid w:val="00F83FCA"/>
    <w:rsid w:val="00F91E4C"/>
    <w:rsid w:val="00FA04CF"/>
    <w:rsid w:val="00FA2EF0"/>
    <w:rsid w:val="00FA31D4"/>
    <w:rsid w:val="00FA7A9E"/>
    <w:rsid w:val="00FE5DA7"/>
    <w:rsid w:val="00FF66FE"/>
    <w:rsid w:val="014E71C5"/>
    <w:rsid w:val="05FB1652"/>
    <w:rsid w:val="06ED466B"/>
    <w:rsid w:val="084F36F1"/>
    <w:rsid w:val="08F4404B"/>
    <w:rsid w:val="09CD1848"/>
    <w:rsid w:val="0AD56C4A"/>
    <w:rsid w:val="1055462A"/>
    <w:rsid w:val="128E0036"/>
    <w:rsid w:val="166312EF"/>
    <w:rsid w:val="168669BC"/>
    <w:rsid w:val="17BE5D7D"/>
    <w:rsid w:val="17F67115"/>
    <w:rsid w:val="189B1CD7"/>
    <w:rsid w:val="195B0D05"/>
    <w:rsid w:val="197D16CD"/>
    <w:rsid w:val="1B1D02E0"/>
    <w:rsid w:val="1C834112"/>
    <w:rsid w:val="1D396231"/>
    <w:rsid w:val="20306A6F"/>
    <w:rsid w:val="21591943"/>
    <w:rsid w:val="23771687"/>
    <w:rsid w:val="28213C6C"/>
    <w:rsid w:val="2821516D"/>
    <w:rsid w:val="284F5210"/>
    <w:rsid w:val="29686845"/>
    <w:rsid w:val="2BBC506F"/>
    <w:rsid w:val="2E167286"/>
    <w:rsid w:val="2EA039B8"/>
    <w:rsid w:val="2F660662"/>
    <w:rsid w:val="311123E6"/>
    <w:rsid w:val="320E7937"/>
    <w:rsid w:val="32977DE2"/>
    <w:rsid w:val="32B36F79"/>
    <w:rsid w:val="33DC040D"/>
    <w:rsid w:val="34506BF0"/>
    <w:rsid w:val="34AF26C8"/>
    <w:rsid w:val="37551ED8"/>
    <w:rsid w:val="3BC30F1D"/>
    <w:rsid w:val="43027F15"/>
    <w:rsid w:val="467E7908"/>
    <w:rsid w:val="5514635D"/>
    <w:rsid w:val="57BD668D"/>
    <w:rsid w:val="58700F80"/>
    <w:rsid w:val="5AFD7C1E"/>
    <w:rsid w:val="5CA6421E"/>
    <w:rsid w:val="5CB93A8B"/>
    <w:rsid w:val="5CD12A55"/>
    <w:rsid w:val="5E1D0A53"/>
    <w:rsid w:val="61AA6E0F"/>
    <w:rsid w:val="660D7478"/>
    <w:rsid w:val="66F630AF"/>
    <w:rsid w:val="67B02908"/>
    <w:rsid w:val="67D543D6"/>
    <w:rsid w:val="681E1621"/>
    <w:rsid w:val="689235E1"/>
    <w:rsid w:val="68C43D00"/>
    <w:rsid w:val="69424F09"/>
    <w:rsid w:val="6CC261DB"/>
    <w:rsid w:val="6F476A7B"/>
    <w:rsid w:val="70654385"/>
    <w:rsid w:val="75D65ED8"/>
    <w:rsid w:val="76A54FFE"/>
    <w:rsid w:val="77284F15"/>
    <w:rsid w:val="7740260F"/>
    <w:rsid w:val="77D67593"/>
    <w:rsid w:val="7832271B"/>
    <w:rsid w:val="7CDB1E6F"/>
    <w:rsid w:val="7D7E1A36"/>
    <w:rsid w:val="7E0E75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line="360" w:lineRule="auto"/>
      <w:jc w:val="center"/>
      <w:outlineLvl w:val="0"/>
    </w:pPr>
    <w:rPr>
      <w:b/>
      <w:bCs/>
      <w:kern w:val="44"/>
      <w:sz w:val="44"/>
      <w:szCs w:val="44"/>
    </w:rPr>
  </w:style>
  <w:style w:type="paragraph" w:styleId="2">
    <w:name w:val="heading 2"/>
    <w:basedOn w:val="1"/>
    <w:next w:val="1"/>
    <w:link w:val="36"/>
    <w:unhideWhenUsed/>
    <w:qFormat/>
    <w:uiPriority w:val="9"/>
    <w:pPr>
      <w:keepNext/>
      <w:keepLines/>
      <w:spacing w:line="360" w:lineRule="auto"/>
      <w:outlineLvl w:val="1"/>
    </w:pPr>
    <w:rPr>
      <w:rFonts w:asciiTheme="minorEastAsia" w:hAnsiTheme="minorEastAsia" w:eastAsiaTheme="minorEastAsia" w:cstheme="majorBidi"/>
      <w:b/>
      <w:bCs/>
      <w:sz w:val="24"/>
    </w:rPr>
  </w:style>
  <w:style w:type="paragraph" w:styleId="4">
    <w:name w:val="heading 3"/>
    <w:basedOn w:val="2"/>
    <w:next w:val="1"/>
    <w:unhideWhenUsed/>
    <w:qFormat/>
    <w:uiPriority w:val="9"/>
    <w:pPr>
      <w:outlineLvl w:val="2"/>
    </w:pPr>
  </w:style>
  <w:style w:type="character" w:default="1" w:styleId="23">
    <w:name w:val="Default Paragraph Font"/>
    <w:unhideWhenUsed/>
    <w:uiPriority w:val="1"/>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42"/>
    <w:unhideWhenUsed/>
    <w:qFormat/>
    <w:uiPriority w:val="99"/>
    <w:rPr>
      <w:rFonts w:ascii="Times New Roman" w:hAnsi="Times New Roman" w:eastAsia="宋体" w:cs="Times New Roman"/>
      <w:b/>
      <w:bCs/>
    </w:rPr>
  </w:style>
  <w:style w:type="paragraph" w:styleId="6">
    <w:name w:val="annotation text"/>
    <w:basedOn w:val="1"/>
    <w:link w:val="34"/>
    <w:unhideWhenUsed/>
    <w:qFormat/>
    <w:uiPriority w:val="99"/>
    <w:pPr>
      <w:jc w:val="left"/>
    </w:pPr>
    <w:rPr>
      <w:rFonts w:asciiTheme="minorHAnsi" w:hAnsiTheme="minorHAnsi" w:eastAsiaTheme="minorEastAsia" w:cstheme="minorBidi"/>
    </w:rPr>
  </w:style>
  <w:style w:type="paragraph" w:styleId="7">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8">
    <w:name w:val="Body Text 3"/>
    <w:basedOn w:val="1"/>
    <w:link w:val="37"/>
    <w:unhideWhenUsed/>
    <w:qFormat/>
    <w:uiPriority w:val="99"/>
    <w:pPr>
      <w:spacing w:after="120"/>
    </w:pPr>
    <w:rPr>
      <w:sz w:val="16"/>
      <w:szCs w:val="16"/>
    </w:rPr>
  </w:style>
  <w:style w:type="paragraph" w:styleId="9">
    <w:name w:val="Body Text"/>
    <w:basedOn w:val="1"/>
    <w:link w:val="32"/>
    <w:unhideWhenUsed/>
    <w:qFormat/>
    <w:uiPriority w:val="0"/>
    <w:pPr>
      <w:spacing w:after="120"/>
    </w:pPr>
  </w:style>
  <w:style w:type="paragraph" w:styleId="10">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1">
    <w:name w:val="toc 3"/>
    <w:basedOn w:val="1"/>
    <w:next w:val="1"/>
    <w:unhideWhenUsed/>
    <w:qFormat/>
    <w:uiPriority w:val="39"/>
    <w:pPr>
      <w:ind w:left="840" w:leftChars="400"/>
    </w:pPr>
  </w:style>
  <w:style w:type="paragraph" w:styleId="12">
    <w:name w:val="Plain Text"/>
    <w:basedOn w:val="1"/>
    <w:unhideWhenUsed/>
    <w:qFormat/>
    <w:uiPriority w:val="99"/>
    <w:rPr>
      <w:rFonts w:ascii="宋体" w:hAnsi="Courier New"/>
      <w:kern w:val="0"/>
      <w:sz w:val="20"/>
      <w:szCs w:val="20"/>
    </w:rPr>
  </w:style>
  <w:style w:type="paragraph" w:styleId="13">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4">
    <w:name w:val="Balloon Text"/>
    <w:basedOn w:val="1"/>
    <w:link w:val="40"/>
    <w:unhideWhenUsed/>
    <w:qFormat/>
    <w:uiPriority w:val="99"/>
    <w:rPr>
      <w:sz w:val="18"/>
      <w:szCs w:val="18"/>
    </w:rPr>
  </w:style>
  <w:style w:type="paragraph" w:styleId="15">
    <w:name w:val="footer"/>
    <w:basedOn w:val="1"/>
    <w:link w:val="3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2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unhideWhenUsed/>
    <w:qFormat/>
    <w:uiPriority w:val="39"/>
    <w:pPr>
      <w:tabs>
        <w:tab w:val="right" w:leader="middleDot" w:pos="8778"/>
      </w:tabs>
      <w:spacing w:line="276" w:lineRule="auto"/>
      <w:jc w:val="left"/>
    </w:pPr>
  </w:style>
  <w:style w:type="paragraph" w:styleId="18">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9">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0">
    <w:name w:val="toc 2"/>
    <w:basedOn w:val="1"/>
    <w:next w:val="1"/>
    <w:unhideWhenUsed/>
    <w:qFormat/>
    <w:uiPriority w:val="39"/>
    <w:pPr>
      <w:ind w:left="420" w:leftChars="200"/>
    </w:pPr>
  </w:style>
  <w:style w:type="paragraph" w:styleId="21">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2">
    <w:name w:val="Normal (Web)"/>
    <w:basedOn w:val="1"/>
    <w:qFormat/>
    <w:uiPriority w:val="0"/>
    <w:pPr>
      <w:widowControl/>
      <w:spacing w:before="100" w:beforeAutospacing="1" w:after="100" w:afterAutospacing="1"/>
      <w:jc w:val="left"/>
    </w:pPr>
    <w:rPr>
      <w:rFonts w:ascii="宋体" w:hAnsi="宋体"/>
      <w:kern w:val="0"/>
      <w:sz w:val="24"/>
    </w:rPr>
  </w:style>
  <w:style w:type="character" w:styleId="24">
    <w:name w:val="page number"/>
    <w:basedOn w:val="23"/>
    <w:unhideWhenUsed/>
    <w:qFormat/>
    <w:uiPriority w:val="99"/>
  </w:style>
  <w:style w:type="character" w:styleId="25">
    <w:name w:val="Emphasis"/>
    <w:basedOn w:val="23"/>
    <w:qFormat/>
    <w:uiPriority w:val="20"/>
    <w:rPr>
      <w:i/>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9">
    <w:name w:val="页眉 Char"/>
    <w:basedOn w:val="23"/>
    <w:link w:val="16"/>
    <w:qFormat/>
    <w:uiPriority w:val="99"/>
    <w:rPr>
      <w:sz w:val="18"/>
      <w:szCs w:val="18"/>
    </w:rPr>
  </w:style>
  <w:style w:type="character" w:customStyle="1" w:styleId="30">
    <w:name w:val="页脚 Char"/>
    <w:basedOn w:val="23"/>
    <w:link w:val="15"/>
    <w:qFormat/>
    <w:uiPriority w:val="99"/>
    <w:rPr>
      <w:sz w:val="18"/>
      <w:szCs w:val="18"/>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2">
    <w:name w:val="正文文本 Char"/>
    <w:basedOn w:val="23"/>
    <w:link w:val="9"/>
    <w:semiHidden/>
    <w:qFormat/>
    <w:uiPriority w:val="99"/>
    <w:rPr>
      <w:rFonts w:ascii="Times New Roman" w:hAnsi="Times New Roman" w:eastAsia="宋体" w:cs="Times New Roman"/>
      <w:szCs w:val="24"/>
    </w:rPr>
  </w:style>
  <w:style w:type="character" w:customStyle="1" w:styleId="33">
    <w:name w:val="标题 1 Char"/>
    <w:basedOn w:val="23"/>
    <w:link w:val="3"/>
    <w:qFormat/>
    <w:uiPriority w:val="9"/>
    <w:rPr>
      <w:b/>
      <w:bCs/>
      <w:kern w:val="44"/>
      <w:sz w:val="44"/>
      <w:szCs w:val="44"/>
    </w:rPr>
  </w:style>
  <w:style w:type="character" w:customStyle="1" w:styleId="34">
    <w:name w:val="批注文字 Char"/>
    <w:link w:val="6"/>
    <w:qFormat/>
    <w:uiPriority w:val="99"/>
    <w:rPr>
      <w:szCs w:val="24"/>
    </w:rPr>
  </w:style>
  <w:style w:type="character" w:customStyle="1" w:styleId="35">
    <w:name w:val="批注文字 Char1"/>
    <w:basedOn w:val="23"/>
    <w:semiHidden/>
    <w:qFormat/>
    <w:uiPriority w:val="99"/>
    <w:rPr>
      <w:rFonts w:ascii="Times New Roman" w:hAnsi="Times New Roman" w:eastAsia="宋体" w:cs="Times New Roman"/>
      <w:szCs w:val="24"/>
    </w:rPr>
  </w:style>
  <w:style w:type="character" w:customStyle="1" w:styleId="36">
    <w:name w:val="标题 2 Char"/>
    <w:basedOn w:val="23"/>
    <w:link w:val="2"/>
    <w:qFormat/>
    <w:uiPriority w:val="9"/>
    <w:rPr>
      <w:rFonts w:asciiTheme="minorEastAsia" w:hAnsiTheme="minorEastAsia" w:eastAsiaTheme="minorEastAsia" w:cstheme="majorBidi"/>
      <w:b/>
      <w:bCs/>
      <w:kern w:val="2"/>
      <w:sz w:val="24"/>
      <w:szCs w:val="24"/>
    </w:rPr>
  </w:style>
  <w:style w:type="character" w:customStyle="1" w:styleId="37">
    <w:name w:val="正文文本 3 Char"/>
    <w:basedOn w:val="23"/>
    <w:link w:val="8"/>
    <w:semiHidden/>
    <w:qFormat/>
    <w:uiPriority w:val="99"/>
    <w:rPr>
      <w:rFonts w:ascii="Times New Roman" w:hAnsi="Times New Roman" w:eastAsia="宋体" w:cs="Times New Roman"/>
      <w:sz w:val="16"/>
      <w:szCs w:val="16"/>
    </w:rPr>
  </w:style>
  <w:style w:type="character" w:customStyle="1" w:styleId="38">
    <w:name w:val="dash6b63_6587__char1"/>
    <w:qFormat/>
    <w:uiPriority w:val="0"/>
    <w:rPr>
      <w:rFonts w:ascii="Calibri" w:hAnsi="Calibri" w:cs="Calibri"/>
      <w:sz w:val="20"/>
      <w:szCs w:val="20"/>
    </w:rPr>
  </w:style>
  <w:style w:type="character" w:customStyle="1" w:styleId="39">
    <w:name w:val="style4"/>
    <w:basedOn w:val="23"/>
    <w:qFormat/>
    <w:uiPriority w:val="0"/>
  </w:style>
  <w:style w:type="character" w:customStyle="1" w:styleId="40">
    <w:name w:val="批注框文本 Char"/>
    <w:basedOn w:val="23"/>
    <w:link w:val="14"/>
    <w:semiHidden/>
    <w:qFormat/>
    <w:uiPriority w:val="99"/>
    <w:rPr>
      <w:kern w:val="2"/>
      <w:sz w:val="18"/>
      <w:szCs w:val="18"/>
    </w:rPr>
  </w:style>
  <w:style w:type="paragraph" w:customStyle="1" w:styleId="41">
    <w:name w:val="TOC 标题1"/>
    <w:basedOn w:val="3"/>
    <w:next w:val="1"/>
    <w:unhideWhenUsed/>
    <w:qFormat/>
    <w:uiPriority w:val="39"/>
    <w:pPr>
      <w:widowControl/>
      <w:spacing w:before="48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2">
    <w:name w:val="批注主题 Char"/>
    <w:basedOn w:val="34"/>
    <w:link w:val="5"/>
    <w:semiHidden/>
    <w:qFormat/>
    <w:uiPriority w:val="99"/>
    <w:rPr>
      <w:b/>
      <w:bCs/>
      <w:kern w:val="2"/>
      <w:sz w:val="21"/>
      <w:szCs w:val="24"/>
    </w:rPr>
  </w:style>
  <w:style w:type="paragraph" w:customStyle="1" w:styleId="43">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701FE3-12E7-4672-BC92-62160C50128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118</Pages>
  <Words>11388</Words>
  <Characters>64918</Characters>
  <Lines>540</Lines>
  <Paragraphs>152</Paragraphs>
  <TotalTime>0</TotalTime>
  <ScaleCrop>false</ScaleCrop>
  <LinksUpToDate>false</LinksUpToDate>
  <CharactersWithSpaces>76154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2017-12-04T01:24:00Z</dcterms:created>
  <dc:creator>liuhai</dc:creator>
  <cp:lastModifiedBy>bupanpan</cp:lastModifiedBy>
  <cp:lastPrinted>2017-11-23T04:37:00Z</cp:lastPrinted>
  <dcterms:modified xsi:type="dcterms:W3CDTF">2017-12-14T04:15:20Z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