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4"/>
          <w:szCs w:val="44"/>
        </w:rPr>
      </w:pPr>
      <w:r>
        <w:rPr>
          <w:rFonts w:hint="eastAsia" w:ascii="宋体" w:hAnsi="宋体"/>
          <w:b/>
          <w:sz w:val="44"/>
          <w:szCs w:val="44"/>
        </w:rPr>
        <w:drawing>
          <wp:anchor distT="0" distB="0" distL="114300" distR="114300" simplePos="0" relativeHeight="251660288" behindDoc="0" locked="0" layoutInCell="1" allowOverlap="1">
            <wp:simplePos x="0" y="0"/>
            <wp:positionH relativeFrom="column">
              <wp:posOffset>-382905</wp:posOffset>
            </wp:positionH>
            <wp:positionV relativeFrom="paragraph">
              <wp:posOffset>-7620</wp:posOffset>
            </wp:positionV>
            <wp:extent cx="5948045" cy="571500"/>
            <wp:effectExtent l="0" t="0" r="0" b="0"/>
            <wp:wrapSquare wrapText="bothSides"/>
            <wp:docPr id="2" name="图片 2" descr="瑞和安惠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瑞和安惠封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8045" cy="571500"/>
                    </a:xfrm>
                    <a:prstGeom prst="rect">
                      <a:avLst/>
                    </a:prstGeom>
                    <a:noFill/>
                    <a:ln>
                      <a:noFill/>
                    </a:ln>
                  </pic:spPr>
                </pic:pic>
              </a:graphicData>
            </a:graphic>
          </wp:anchor>
        </w:drawing>
      </w:r>
    </w:p>
    <w:p>
      <w:pPr>
        <w:autoSpaceDE w:val="0"/>
        <w:autoSpaceDN w:val="0"/>
        <w:adjustRightInd w:val="0"/>
        <w:spacing w:line="360" w:lineRule="auto"/>
        <w:ind w:left="-2" w:leftChars="-1" w:right="-483" w:rightChars="-230"/>
        <w:rPr>
          <w:rFonts w:asciiTheme="minorEastAsia" w:hAnsiTheme="minorEastAsia" w:eastAsiaTheme="minorEastAsia"/>
          <w:b/>
          <w:sz w:val="44"/>
          <w:szCs w:val="44"/>
        </w:rPr>
      </w:pPr>
      <w:r>
        <w:rPr>
          <w:rFonts w:hint="eastAsia" w:asciiTheme="minorEastAsia" w:hAnsiTheme="minorEastAsia" w:eastAsiaTheme="minorEastAsia"/>
          <w:b/>
          <w:sz w:val="44"/>
          <w:szCs w:val="44"/>
        </w:rPr>
        <w:t>郑州机场至许昌市域铁路工程许昌段建设项目</w:t>
      </w:r>
    </w:p>
    <w:p>
      <w:pPr>
        <w:autoSpaceDE w:val="0"/>
        <w:autoSpaceDN w:val="0"/>
        <w:adjustRightInd w:val="0"/>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(施工总承包)监理</w:t>
      </w:r>
      <w:bookmarkStart w:id="1550" w:name="_GoBack"/>
      <w:bookmarkEnd w:id="1550"/>
    </w:p>
    <w:p/>
    <w:p>
      <w:pPr>
        <w:autoSpaceDE w:val="0"/>
        <w:autoSpaceDN w:val="0"/>
        <w:adjustRightInd w:val="0"/>
        <w:spacing w:line="276" w:lineRule="auto"/>
        <w:jc w:val="center"/>
        <w:rPr>
          <w:rFonts w:ascii="宋体" w:hAnsi="宋体" w:cs="黑体"/>
          <w:b/>
          <w:spacing w:val="60"/>
          <w:kern w:val="0"/>
          <w:sz w:val="84"/>
          <w:szCs w:val="84"/>
        </w:rPr>
      </w:pPr>
      <w:r>
        <w:rPr>
          <w:rFonts w:hint="eastAsia" w:ascii="宋体" w:hAnsi="宋体" w:cs="黑体"/>
          <w:b/>
          <w:spacing w:val="60"/>
          <w:kern w:val="0"/>
          <w:sz w:val="84"/>
          <w:szCs w:val="84"/>
        </w:rPr>
        <w:t>招标文件</w:t>
      </w:r>
    </w:p>
    <w:p>
      <w:pPr>
        <w:autoSpaceDE w:val="0"/>
        <w:autoSpaceDN w:val="0"/>
        <w:adjustRightInd w:val="0"/>
        <w:spacing w:line="276" w:lineRule="auto"/>
        <w:jc w:val="center"/>
        <w:rPr>
          <w:rFonts w:ascii="新宋体" w:hAnsi="新宋体" w:eastAsia="新宋体"/>
          <w:b/>
          <w:sz w:val="32"/>
          <w:szCs w:val="32"/>
        </w:rPr>
      </w:pPr>
      <w:r>
        <w:rPr>
          <w:rFonts w:hint="eastAsia" w:ascii="新宋体" w:hAnsi="新宋体" w:eastAsia="新宋体"/>
          <w:b/>
          <w:sz w:val="32"/>
          <w:szCs w:val="32"/>
        </w:rPr>
        <w:t>项目编号：XCGC-F2017257</w:t>
      </w:r>
    </w:p>
    <w:p>
      <w:pPr>
        <w:autoSpaceDE w:val="0"/>
        <w:autoSpaceDN w:val="0"/>
        <w:adjustRightInd w:val="0"/>
        <w:spacing w:line="276" w:lineRule="auto"/>
        <w:ind w:left="0" w:leftChars="0" w:firstLine="0" w:firstLineChars="0"/>
        <w:jc w:val="center"/>
        <w:rPr>
          <w:rFonts w:ascii="新宋体" w:hAnsi="新宋体" w:eastAsia="新宋体"/>
          <w:b/>
          <w:sz w:val="32"/>
          <w:szCs w:val="32"/>
        </w:rPr>
      </w:pPr>
      <w:r>
        <w:rPr>
          <w:rFonts w:hint="eastAsia" w:ascii="新宋体" w:hAnsi="新宋体" w:eastAsia="新宋体"/>
          <w:b/>
          <w:sz w:val="28"/>
          <w:szCs w:val="32"/>
        </w:rPr>
        <w:t>标段：第一（二）标段（土建部分监理）</w:t>
      </w:r>
    </w:p>
    <w:p>
      <w:pPr>
        <w:pStyle w:val="31"/>
        <w:tabs>
          <w:tab w:val="left" w:pos="1980"/>
        </w:tabs>
        <w:jc w:val="both"/>
        <w:rPr>
          <w:rFonts w:hAnsi="宋体" w:cs="黑体"/>
          <w:b/>
          <w:color w:val="auto"/>
          <w:sz w:val="32"/>
          <w:szCs w:val="32"/>
        </w:rPr>
      </w:pPr>
      <w:r>
        <w:rPr>
          <w:rFonts w:hint="eastAsia" w:hAnsi="宋体"/>
          <w:sz w:val="36"/>
        </w:rPr>
        <w:drawing>
          <wp:anchor distT="0" distB="0" distL="114300" distR="114300" simplePos="0" relativeHeight="251659264" behindDoc="0" locked="0" layoutInCell="1" allowOverlap="1">
            <wp:simplePos x="0" y="0"/>
            <wp:positionH relativeFrom="page">
              <wp:posOffset>2209165</wp:posOffset>
            </wp:positionH>
            <wp:positionV relativeFrom="page">
              <wp:posOffset>4622165</wp:posOffset>
            </wp:positionV>
            <wp:extent cx="3237230" cy="120015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37230" cy="1200150"/>
                    </a:xfrm>
                    <a:prstGeom prst="rect">
                      <a:avLst/>
                    </a:prstGeom>
                    <a:noFill/>
                    <a:ln>
                      <a:noFill/>
                    </a:ln>
                    <a:effectLst/>
                  </pic:spPr>
                </pic:pic>
              </a:graphicData>
            </a:graphic>
          </wp:anchor>
        </w:drawing>
      </w:r>
    </w:p>
    <w:p>
      <w:pPr>
        <w:pStyle w:val="31"/>
        <w:tabs>
          <w:tab w:val="left" w:pos="1980"/>
        </w:tabs>
        <w:jc w:val="both"/>
        <w:rPr>
          <w:rFonts w:hAnsi="宋体" w:cs="黑体"/>
          <w:b/>
          <w:color w:val="auto"/>
          <w:sz w:val="32"/>
          <w:szCs w:val="32"/>
        </w:rPr>
      </w:pPr>
    </w:p>
    <w:p>
      <w:pPr>
        <w:pStyle w:val="31"/>
        <w:tabs>
          <w:tab w:val="left" w:pos="1980"/>
        </w:tabs>
        <w:jc w:val="both"/>
        <w:rPr>
          <w:rFonts w:hAnsi="宋体" w:cs="黑体"/>
          <w:b/>
          <w:color w:val="auto"/>
          <w:sz w:val="32"/>
          <w:szCs w:val="32"/>
        </w:rPr>
      </w:pPr>
    </w:p>
    <w:p>
      <w:pPr>
        <w:pStyle w:val="31"/>
        <w:tabs>
          <w:tab w:val="left" w:pos="1980"/>
        </w:tabs>
        <w:jc w:val="both"/>
        <w:rPr>
          <w:rFonts w:hAnsi="宋体" w:cs="黑体"/>
          <w:b/>
          <w:color w:val="auto"/>
          <w:sz w:val="32"/>
          <w:szCs w:val="32"/>
        </w:rPr>
      </w:pPr>
    </w:p>
    <w:p>
      <w:pPr>
        <w:ind w:firstLine="216" w:firstLineChars="49"/>
        <w:jc w:val="center"/>
        <w:rPr>
          <w:rFonts w:ascii="黑体" w:hAnsi="宋体" w:eastAsia="黑体"/>
          <w:b/>
          <w:sz w:val="44"/>
        </w:rPr>
      </w:pPr>
    </w:p>
    <w:p>
      <w:pPr>
        <w:ind w:firstLine="216" w:firstLineChars="49"/>
        <w:jc w:val="center"/>
        <w:rPr>
          <w:rFonts w:ascii="黑体" w:hAnsi="宋体" w:eastAsia="黑体"/>
          <w:b/>
          <w:sz w:val="44"/>
        </w:rPr>
      </w:pPr>
    </w:p>
    <w:p/>
    <w:p/>
    <w:p/>
    <w:p/>
    <w:p/>
    <w:p/>
    <w:p/>
    <w:p>
      <w:pPr>
        <w:spacing w:line="360" w:lineRule="auto"/>
        <w:ind w:firstLine="993" w:firstLineChars="309"/>
        <w:rPr>
          <w:rFonts w:ascii="宋体" w:hAnsi="宋体" w:cs="宋体"/>
          <w:b/>
          <w:sz w:val="32"/>
          <w:szCs w:val="32"/>
        </w:rPr>
      </w:pPr>
      <w:r>
        <w:rPr>
          <w:rFonts w:hint="eastAsia" w:ascii="宋体" w:hAnsi="宋体" w:cs="宋体"/>
          <w:b/>
          <w:sz w:val="32"/>
          <w:szCs w:val="32"/>
        </w:rPr>
        <w:t>招   标   人:许昌市建设投资有限责任公司</w:t>
      </w:r>
    </w:p>
    <w:p>
      <w:pPr>
        <w:spacing w:line="360" w:lineRule="auto"/>
        <w:ind w:firstLine="993" w:firstLineChars="309"/>
        <w:rPr>
          <w:rFonts w:ascii="宋体" w:hAnsi="宋体" w:cs="宋体"/>
          <w:b/>
          <w:sz w:val="32"/>
          <w:szCs w:val="32"/>
        </w:rPr>
      </w:pPr>
      <w:r>
        <w:rPr>
          <w:rFonts w:hint="eastAsia" w:ascii="宋体" w:hAnsi="宋体" w:cs="宋体"/>
          <w:b/>
          <w:sz w:val="32"/>
          <w:szCs w:val="32"/>
        </w:rPr>
        <w:t>招标代理机构:瑞和安惠项目管理集团有限公司</w:t>
      </w:r>
    </w:p>
    <w:p>
      <w:pPr>
        <w:spacing w:line="360" w:lineRule="auto"/>
        <w:ind w:firstLine="993" w:firstLineChars="309"/>
        <w:jc w:val="left"/>
        <w:rPr>
          <w:rFonts w:ascii="宋体" w:hAnsi="宋体" w:cs="宋体"/>
          <w:b/>
          <w:sz w:val="32"/>
          <w:szCs w:val="32"/>
        </w:rPr>
      </w:pPr>
      <w:r>
        <w:rPr>
          <w:rFonts w:hint="eastAsia" w:ascii="宋体" w:hAnsi="宋体" w:cs="宋体"/>
          <w:b/>
          <w:sz w:val="32"/>
          <w:szCs w:val="32"/>
        </w:rPr>
        <w:t>日        期:二〇一七年十二月</w:t>
      </w:r>
    </w:p>
    <w:p>
      <w:pPr>
        <w:pStyle w:val="9"/>
      </w:pPr>
    </w:p>
    <w:p>
      <w:pPr>
        <w:pStyle w:val="9"/>
        <w:jc w:val="center"/>
        <w:rPr>
          <w:b/>
          <w:sz w:val="40"/>
        </w:rPr>
      </w:pPr>
      <w:r>
        <w:rPr>
          <w:rFonts w:hint="eastAsia"/>
          <w:b/>
          <w:sz w:val="40"/>
        </w:rPr>
        <w:t>目  录</w:t>
      </w:r>
    </w:p>
    <w:p>
      <w:pPr>
        <w:pStyle w:val="17"/>
        <w:tabs>
          <w:tab w:val="right" w:leader="dot" w:pos="8788"/>
          <w:tab w:val="clear" w:pos="8778"/>
        </w:tabs>
        <w:spacing w:line="360" w:lineRule="auto"/>
      </w:pPr>
      <w:r>
        <w:fldChar w:fldCharType="begin"/>
      </w:r>
      <w:r>
        <w:instrText xml:space="preserve"> TOC \o "1-3" \h \z \u </w:instrText>
      </w:r>
      <w:r>
        <w:fldChar w:fldCharType="separate"/>
      </w:r>
      <w:r>
        <w:fldChar w:fldCharType="begin"/>
      </w:r>
      <w:r>
        <w:instrText xml:space="preserve"> HYPERLINK \l "_Toc14497" </w:instrText>
      </w:r>
      <w:r>
        <w:fldChar w:fldCharType="separate"/>
      </w:r>
      <w:r>
        <w:rPr>
          <w:rFonts w:hint="eastAsia"/>
        </w:rPr>
        <w:t>第一章 招标公告</w:t>
      </w:r>
      <w:r>
        <w:tab/>
      </w:r>
      <w:r>
        <w:fldChar w:fldCharType="begin"/>
      </w:r>
      <w:r>
        <w:instrText xml:space="preserve"> PAGEREF _Toc14497 </w:instrText>
      </w:r>
      <w:r>
        <w:fldChar w:fldCharType="separate"/>
      </w:r>
      <w:r>
        <w:t>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"_Toc8989" </w:instrText>
      </w:r>
      <w:r>
        <w:fldChar w:fldCharType="separate"/>
      </w:r>
      <w:r>
        <w:rPr>
          <w:rFonts w:hint="eastAsia"/>
        </w:rPr>
        <w:t>第二章 投标人须知</w:t>
      </w:r>
      <w:r>
        <w:tab/>
      </w:r>
      <w:r>
        <w:fldChar w:fldCharType="begin"/>
      </w:r>
      <w:r>
        <w:instrText xml:space="preserve"> PAGEREF _Toc8989 </w:instrText>
      </w:r>
      <w:r>
        <w:fldChar w:fldCharType="separate"/>
      </w:r>
      <w:r>
        <w:t>7</w:t>
      </w:r>
      <w:r>
        <w:fldChar w:fldCharType="end"/>
      </w:r>
      <w:r>
        <w:fldChar w:fldCharType="end"/>
      </w:r>
    </w:p>
    <w:p>
      <w:pPr>
        <w:pStyle w:val="20"/>
        <w:tabs>
          <w:tab w:val="right" w:leader="dot" w:pos="8788"/>
        </w:tabs>
        <w:spacing w:line="360" w:lineRule="auto"/>
      </w:pPr>
      <w:r>
        <w:fldChar w:fldCharType="begin"/>
      </w:r>
      <w:r>
        <w:instrText xml:space="preserve"> HYPERLINK \l "_Toc5357" </w:instrText>
      </w:r>
      <w:r>
        <w:fldChar w:fldCharType="separate"/>
      </w:r>
      <w:r>
        <w:rPr>
          <w:rFonts w:hint="eastAsia"/>
        </w:rPr>
        <w:t>投标人须知前附表</w:t>
      </w:r>
      <w:r>
        <w:tab/>
      </w:r>
      <w:r>
        <w:fldChar w:fldCharType="begin"/>
      </w:r>
      <w:r>
        <w:instrText xml:space="preserve"> PAGEREF _Toc5357 </w:instrText>
      </w:r>
      <w:r>
        <w:fldChar w:fldCharType="separate"/>
      </w:r>
      <w:r>
        <w:t>7</w:t>
      </w:r>
      <w:r>
        <w:fldChar w:fldCharType="end"/>
      </w:r>
      <w:r>
        <w:fldChar w:fldCharType="end"/>
      </w:r>
    </w:p>
    <w:p>
      <w:pPr>
        <w:pStyle w:val="20"/>
        <w:tabs>
          <w:tab w:val="right" w:leader="dot" w:pos="8788"/>
        </w:tabs>
        <w:spacing w:line="360" w:lineRule="auto"/>
      </w:pPr>
      <w:r>
        <w:fldChar w:fldCharType="begin"/>
      </w:r>
      <w:r>
        <w:instrText xml:space="preserve"> HYPERLINK \l "_Toc7367" </w:instrText>
      </w:r>
      <w:r>
        <w:fldChar w:fldCharType="separate"/>
      </w:r>
      <w:r>
        <w:t>1.总则</w:t>
      </w:r>
      <w:r>
        <w:tab/>
      </w:r>
      <w:r>
        <w:fldChar w:fldCharType="begin"/>
      </w:r>
      <w:r>
        <w:instrText xml:space="preserve"> PAGEREF _Toc7367 </w:instrText>
      </w:r>
      <w:r>
        <w:fldChar w:fldCharType="separate"/>
      </w:r>
      <w:r>
        <w:t>17</w:t>
      </w:r>
      <w:r>
        <w:fldChar w:fldCharType="end"/>
      </w:r>
      <w:r>
        <w:fldChar w:fldCharType="end"/>
      </w:r>
    </w:p>
    <w:p>
      <w:pPr>
        <w:pStyle w:val="20"/>
        <w:tabs>
          <w:tab w:val="right" w:leader="dot" w:pos="8788"/>
        </w:tabs>
        <w:spacing w:line="360" w:lineRule="auto"/>
      </w:pPr>
      <w:r>
        <w:fldChar w:fldCharType="begin"/>
      </w:r>
      <w:r>
        <w:instrText xml:space="preserve"> HYPERLINK \l "_Toc10736" </w:instrText>
      </w:r>
      <w:r>
        <w:fldChar w:fldCharType="separate"/>
      </w:r>
      <w:r>
        <w:t>2.招标文件</w:t>
      </w:r>
      <w:r>
        <w:tab/>
      </w:r>
      <w:r>
        <w:fldChar w:fldCharType="begin"/>
      </w:r>
      <w:r>
        <w:instrText xml:space="preserve"> PAGEREF _Toc10736 </w:instrText>
      </w:r>
      <w:r>
        <w:fldChar w:fldCharType="separate"/>
      </w:r>
      <w:r>
        <w:t>19</w:t>
      </w:r>
      <w:r>
        <w:fldChar w:fldCharType="end"/>
      </w:r>
      <w:r>
        <w:fldChar w:fldCharType="end"/>
      </w:r>
    </w:p>
    <w:p>
      <w:pPr>
        <w:pStyle w:val="20"/>
        <w:tabs>
          <w:tab w:val="right" w:leader="dot" w:pos="8788"/>
        </w:tabs>
        <w:spacing w:line="360" w:lineRule="auto"/>
      </w:pPr>
      <w:r>
        <w:fldChar w:fldCharType="begin"/>
      </w:r>
      <w:r>
        <w:instrText xml:space="preserve"> HYPERLINK \l "_Toc16383" </w:instrText>
      </w:r>
      <w:r>
        <w:fldChar w:fldCharType="separate"/>
      </w:r>
      <w:r>
        <w:t>3.投标文件</w:t>
      </w:r>
      <w:r>
        <w:tab/>
      </w:r>
      <w:r>
        <w:fldChar w:fldCharType="begin"/>
      </w:r>
      <w:r>
        <w:instrText xml:space="preserve"> PAGEREF _Toc16383 </w:instrText>
      </w:r>
      <w:r>
        <w:fldChar w:fldCharType="separate"/>
      </w:r>
      <w:r>
        <w:t>20</w:t>
      </w:r>
      <w:r>
        <w:fldChar w:fldCharType="end"/>
      </w:r>
      <w:r>
        <w:fldChar w:fldCharType="end"/>
      </w:r>
    </w:p>
    <w:p>
      <w:pPr>
        <w:pStyle w:val="20"/>
        <w:tabs>
          <w:tab w:val="right" w:leader="dot" w:pos="8788"/>
        </w:tabs>
        <w:spacing w:line="360" w:lineRule="auto"/>
      </w:pPr>
      <w:r>
        <w:fldChar w:fldCharType="begin"/>
      </w:r>
      <w:r>
        <w:instrText xml:space="preserve"> HYPERLINK \l "_Toc24861" </w:instrText>
      </w:r>
      <w:r>
        <w:fldChar w:fldCharType="separate"/>
      </w:r>
      <w:r>
        <w:t>4.投标</w:t>
      </w:r>
      <w:r>
        <w:tab/>
      </w:r>
      <w:r>
        <w:fldChar w:fldCharType="begin"/>
      </w:r>
      <w:r>
        <w:instrText xml:space="preserve"> PAGEREF _Toc24861 </w:instrText>
      </w:r>
      <w:r>
        <w:fldChar w:fldCharType="separate"/>
      </w:r>
      <w:r>
        <w:t>25</w:t>
      </w:r>
      <w:r>
        <w:fldChar w:fldCharType="end"/>
      </w:r>
      <w:r>
        <w:fldChar w:fldCharType="end"/>
      </w:r>
    </w:p>
    <w:p>
      <w:pPr>
        <w:pStyle w:val="20"/>
        <w:tabs>
          <w:tab w:val="right" w:leader="dot" w:pos="8788"/>
        </w:tabs>
        <w:spacing w:line="360" w:lineRule="auto"/>
      </w:pPr>
      <w:r>
        <w:fldChar w:fldCharType="begin"/>
      </w:r>
      <w:r>
        <w:instrText xml:space="preserve"> HYPERLINK \l "_Toc2379" </w:instrText>
      </w:r>
      <w:r>
        <w:fldChar w:fldCharType="separate"/>
      </w:r>
      <w:r>
        <w:t>5.开标</w:t>
      </w:r>
      <w:r>
        <w:tab/>
      </w:r>
      <w:r>
        <w:fldChar w:fldCharType="begin"/>
      </w:r>
      <w:r>
        <w:instrText xml:space="preserve"> PAGEREF _Toc2379 </w:instrText>
      </w:r>
      <w:r>
        <w:fldChar w:fldCharType="separate"/>
      </w:r>
      <w:r>
        <w:t>26</w:t>
      </w:r>
      <w:r>
        <w:fldChar w:fldCharType="end"/>
      </w:r>
      <w:r>
        <w:fldChar w:fldCharType="end"/>
      </w:r>
    </w:p>
    <w:p>
      <w:pPr>
        <w:pStyle w:val="20"/>
        <w:tabs>
          <w:tab w:val="right" w:leader="dot" w:pos="8788"/>
        </w:tabs>
        <w:spacing w:line="360" w:lineRule="auto"/>
      </w:pPr>
      <w:r>
        <w:fldChar w:fldCharType="begin"/>
      </w:r>
      <w:r>
        <w:instrText xml:space="preserve"> HYPERLINK \l "_Toc7545" </w:instrText>
      </w:r>
      <w:r>
        <w:fldChar w:fldCharType="separate"/>
      </w:r>
      <w:r>
        <w:t>6.评标</w:t>
      </w:r>
      <w:r>
        <w:tab/>
      </w:r>
      <w:r>
        <w:fldChar w:fldCharType="begin"/>
      </w:r>
      <w:r>
        <w:instrText xml:space="preserve"> PAGEREF _Toc7545 </w:instrText>
      </w:r>
      <w:r>
        <w:fldChar w:fldCharType="separate"/>
      </w:r>
      <w:r>
        <w:t>26</w:t>
      </w:r>
      <w:r>
        <w:fldChar w:fldCharType="end"/>
      </w:r>
      <w:r>
        <w:fldChar w:fldCharType="end"/>
      </w:r>
    </w:p>
    <w:p>
      <w:pPr>
        <w:pStyle w:val="20"/>
        <w:tabs>
          <w:tab w:val="right" w:leader="dot" w:pos="8788"/>
        </w:tabs>
        <w:spacing w:line="360" w:lineRule="auto"/>
      </w:pPr>
      <w:r>
        <w:fldChar w:fldCharType="begin"/>
      </w:r>
      <w:r>
        <w:instrText xml:space="preserve"> HYPERLINK \l "_Toc24152" </w:instrText>
      </w:r>
      <w:r>
        <w:fldChar w:fldCharType="separate"/>
      </w:r>
      <w:r>
        <w:t>7.合同授予</w:t>
      </w:r>
      <w:r>
        <w:tab/>
      </w:r>
      <w:r>
        <w:fldChar w:fldCharType="begin"/>
      </w:r>
      <w:r>
        <w:instrText xml:space="preserve"> PAGEREF _Toc24152 </w:instrText>
      </w:r>
      <w:r>
        <w:fldChar w:fldCharType="separate"/>
      </w:r>
      <w:r>
        <w:t>27</w:t>
      </w:r>
      <w:r>
        <w:fldChar w:fldCharType="end"/>
      </w:r>
      <w:r>
        <w:fldChar w:fldCharType="end"/>
      </w:r>
    </w:p>
    <w:p>
      <w:pPr>
        <w:pStyle w:val="20"/>
        <w:tabs>
          <w:tab w:val="right" w:leader="dot" w:pos="8788"/>
        </w:tabs>
        <w:spacing w:line="360" w:lineRule="auto"/>
      </w:pPr>
      <w:r>
        <w:fldChar w:fldCharType="begin"/>
      </w:r>
      <w:r>
        <w:instrText xml:space="preserve"> HYPERLINK \l "_Toc27869" </w:instrText>
      </w:r>
      <w:r>
        <w:fldChar w:fldCharType="separate"/>
      </w:r>
      <w:r>
        <w:t>8.重新招标和不再招标</w:t>
      </w:r>
      <w:r>
        <w:tab/>
      </w:r>
      <w:r>
        <w:fldChar w:fldCharType="begin"/>
      </w:r>
      <w:r>
        <w:instrText xml:space="preserve"> PAGEREF _Toc27869 </w:instrText>
      </w:r>
      <w:r>
        <w:fldChar w:fldCharType="separate"/>
      </w:r>
      <w:r>
        <w:t>28</w:t>
      </w:r>
      <w:r>
        <w:fldChar w:fldCharType="end"/>
      </w:r>
      <w:r>
        <w:fldChar w:fldCharType="end"/>
      </w:r>
    </w:p>
    <w:p>
      <w:pPr>
        <w:pStyle w:val="20"/>
        <w:tabs>
          <w:tab w:val="right" w:leader="dot" w:pos="8788"/>
        </w:tabs>
        <w:spacing w:line="360" w:lineRule="auto"/>
      </w:pPr>
      <w:r>
        <w:fldChar w:fldCharType="begin"/>
      </w:r>
      <w:r>
        <w:instrText xml:space="preserve"> HYPERLINK \l "_Toc5743" </w:instrText>
      </w:r>
      <w:r>
        <w:fldChar w:fldCharType="separate"/>
      </w:r>
      <w:r>
        <w:t>9.纪律和监督</w:t>
      </w:r>
      <w:r>
        <w:tab/>
      </w:r>
      <w:r>
        <w:fldChar w:fldCharType="begin"/>
      </w:r>
      <w:r>
        <w:instrText xml:space="preserve"> PAGEREF _Toc5743 </w:instrText>
      </w:r>
      <w:r>
        <w:fldChar w:fldCharType="separate"/>
      </w:r>
      <w:r>
        <w:t>28</w:t>
      </w:r>
      <w:r>
        <w:fldChar w:fldCharType="end"/>
      </w:r>
      <w:r>
        <w:fldChar w:fldCharType="end"/>
      </w:r>
    </w:p>
    <w:p>
      <w:pPr>
        <w:pStyle w:val="20"/>
        <w:tabs>
          <w:tab w:val="right" w:leader="dot" w:pos="8788"/>
        </w:tabs>
        <w:spacing w:line="360" w:lineRule="auto"/>
      </w:pPr>
      <w:r>
        <w:fldChar w:fldCharType="begin"/>
      </w:r>
      <w:r>
        <w:instrText xml:space="preserve"> HYPERLINK \l "_Toc30726" </w:instrText>
      </w:r>
      <w:r>
        <w:fldChar w:fldCharType="separate"/>
      </w:r>
      <w:r>
        <w:t>10.需要补充的其他内容</w:t>
      </w:r>
      <w:r>
        <w:tab/>
      </w:r>
      <w:r>
        <w:fldChar w:fldCharType="begin"/>
      </w:r>
      <w:r>
        <w:instrText xml:space="preserve"> PAGEREF _Toc30726 </w:instrText>
      </w:r>
      <w:r>
        <w:fldChar w:fldCharType="separate"/>
      </w:r>
      <w:r>
        <w:t>29</w:t>
      </w:r>
      <w:r>
        <w:fldChar w:fldCharType="end"/>
      </w:r>
      <w:r>
        <w:fldChar w:fldCharType="end"/>
      </w:r>
    </w:p>
    <w:p>
      <w:pPr>
        <w:pStyle w:val="20"/>
        <w:tabs>
          <w:tab w:val="right" w:leader="dot" w:pos="8788"/>
        </w:tabs>
        <w:spacing w:line="360" w:lineRule="auto"/>
      </w:pPr>
      <w:r>
        <w:fldChar w:fldCharType="begin"/>
      </w:r>
      <w:r>
        <w:instrText xml:space="preserve"> HYPERLINK \l "_Toc6174" </w:instrText>
      </w:r>
      <w:r>
        <w:fldChar w:fldCharType="separate"/>
      </w:r>
      <w:r>
        <w:rPr>
          <w:rFonts w:hint="eastAsia"/>
        </w:rPr>
        <w:t>附表一：开标记录表</w:t>
      </w:r>
      <w:r>
        <w:tab/>
      </w:r>
      <w:r>
        <w:fldChar w:fldCharType="begin"/>
      </w:r>
      <w:r>
        <w:instrText xml:space="preserve"> PAGEREF _Toc6174 </w:instrText>
      </w:r>
      <w:r>
        <w:fldChar w:fldCharType="separate"/>
      </w:r>
      <w:r>
        <w:t>30</w:t>
      </w:r>
      <w:r>
        <w:fldChar w:fldCharType="end"/>
      </w:r>
      <w:r>
        <w:fldChar w:fldCharType="end"/>
      </w:r>
    </w:p>
    <w:p>
      <w:pPr>
        <w:pStyle w:val="20"/>
        <w:tabs>
          <w:tab w:val="right" w:leader="dot" w:pos="8788"/>
        </w:tabs>
        <w:spacing w:line="360" w:lineRule="auto"/>
      </w:pPr>
      <w:r>
        <w:fldChar w:fldCharType="begin"/>
      </w:r>
      <w:r>
        <w:instrText xml:space="preserve"> HYPERLINK \l "_Toc27616" </w:instrText>
      </w:r>
      <w:r>
        <w:fldChar w:fldCharType="separate"/>
      </w:r>
      <w:r>
        <w:rPr>
          <w:rFonts w:hint="eastAsia"/>
        </w:rPr>
        <w:t>附表二：问题澄清通知</w:t>
      </w:r>
      <w:r>
        <w:tab/>
      </w:r>
      <w:r>
        <w:fldChar w:fldCharType="begin"/>
      </w:r>
      <w:r>
        <w:instrText xml:space="preserve"> PAGEREF _Toc27616 </w:instrText>
      </w:r>
      <w:r>
        <w:fldChar w:fldCharType="separate"/>
      </w:r>
      <w:r>
        <w:t>31</w:t>
      </w:r>
      <w:r>
        <w:fldChar w:fldCharType="end"/>
      </w:r>
      <w:r>
        <w:fldChar w:fldCharType="end"/>
      </w:r>
    </w:p>
    <w:p>
      <w:pPr>
        <w:pStyle w:val="20"/>
        <w:tabs>
          <w:tab w:val="right" w:leader="dot" w:pos="8788"/>
        </w:tabs>
        <w:spacing w:line="360" w:lineRule="auto"/>
      </w:pPr>
      <w:r>
        <w:fldChar w:fldCharType="begin"/>
      </w:r>
      <w:r>
        <w:instrText xml:space="preserve"> HYPERLINK \l "_Toc26538" </w:instrText>
      </w:r>
      <w:r>
        <w:fldChar w:fldCharType="separate"/>
      </w:r>
      <w:r>
        <w:rPr>
          <w:rFonts w:hint="eastAsia"/>
        </w:rPr>
        <w:t>附表三：问题的澄清</w:t>
      </w:r>
      <w:r>
        <w:tab/>
      </w:r>
      <w:r>
        <w:fldChar w:fldCharType="begin"/>
      </w:r>
      <w:r>
        <w:instrText xml:space="preserve"> PAGEREF _Toc26538 </w:instrText>
      </w:r>
      <w:r>
        <w:fldChar w:fldCharType="separate"/>
      </w:r>
      <w:r>
        <w:t>32</w:t>
      </w:r>
      <w:r>
        <w:fldChar w:fldCharType="end"/>
      </w:r>
      <w:r>
        <w:fldChar w:fldCharType="end"/>
      </w:r>
    </w:p>
    <w:p>
      <w:pPr>
        <w:pStyle w:val="20"/>
        <w:tabs>
          <w:tab w:val="right" w:leader="dot" w:pos="8788"/>
        </w:tabs>
        <w:spacing w:line="360" w:lineRule="auto"/>
      </w:pPr>
      <w:r>
        <w:fldChar w:fldCharType="begin"/>
      </w:r>
      <w:r>
        <w:instrText xml:space="preserve"> HYPERLINK \l "_Toc5517" </w:instrText>
      </w:r>
      <w:r>
        <w:fldChar w:fldCharType="separate"/>
      </w:r>
      <w:r>
        <w:rPr>
          <w:rFonts w:hint="eastAsia"/>
        </w:rPr>
        <w:t>附表四：中标通知书</w:t>
      </w:r>
      <w:r>
        <w:tab/>
      </w:r>
      <w:r>
        <w:fldChar w:fldCharType="begin"/>
      </w:r>
      <w:r>
        <w:instrText xml:space="preserve"> PAGEREF _Toc5517 </w:instrText>
      </w:r>
      <w:r>
        <w:fldChar w:fldCharType="separate"/>
      </w:r>
      <w:r>
        <w:t>33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"_Toc30292" </w:instrText>
      </w:r>
      <w:r>
        <w:fldChar w:fldCharType="separate"/>
      </w:r>
      <w:r>
        <w:t>第三章 评标办法（综合评估法）</w:t>
      </w:r>
      <w:r>
        <w:tab/>
      </w:r>
      <w:r>
        <w:fldChar w:fldCharType="begin"/>
      </w:r>
      <w:r>
        <w:instrText xml:space="preserve"> PAGEREF _Toc30292 </w:instrText>
      </w:r>
      <w:r>
        <w:fldChar w:fldCharType="separate"/>
      </w:r>
      <w:r>
        <w:t>36</w:t>
      </w:r>
      <w:r>
        <w:fldChar w:fldCharType="end"/>
      </w:r>
      <w:r>
        <w:fldChar w:fldCharType="end"/>
      </w:r>
    </w:p>
    <w:p>
      <w:pPr>
        <w:pStyle w:val="20"/>
        <w:tabs>
          <w:tab w:val="right" w:leader="dot" w:pos="8788"/>
        </w:tabs>
        <w:spacing w:line="360" w:lineRule="auto"/>
      </w:pPr>
      <w:r>
        <w:fldChar w:fldCharType="begin"/>
      </w:r>
      <w:r>
        <w:instrText xml:space="preserve"> HYPERLINK \l "_Toc1577" </w:instrText>
      </w:r>
      <w:r>
        <w:fldChar w:fldCharType="separate"/>
      </w:r>
      <w:r>
        <w:rPr>
          <w:rFonts w:hint="eastAsia"/>
        </w:rPr>
        <w:t>评标办法前附表</w:t>
      </w:r>
      <w:r>
        <w:tab/>
      </w:r>
      <w:r>
        <w:fldChar w:fldCharType="begin"/>
      </w:r>
      <w:r>
        <w:instrText xml:space="preserve"> PAGEREF _Toc1577 </w:instrText>
      </w:r>
      <w:r>
        <w:fldChar w:fldCharType="separate"/>
      </w:r>
      <w:r>
        <w:t>36</w:t>
      </w:r>
      <w:r>
        <w:fldChar w:fldCharType="end"/>
      </w:r>
      <w:r>
        <w:fldChar w:fldCharType="end"/>
      </w:r>
    </w:p>
    <w:p>
      <w:pPr>
        <w:pStyle w:val="20"/>
        <w:tabs>
          <w:tab w:val="right" w:leader="dot" w:pos="8788"/>
        </w:tabs>
        <w:spacing w:line="360" w:lineRule="auto"/>
      </w:pPr>
      <w:r>
        <w:fldChar w:fldCharType="begin"/>
      </w:r>
      <w:r>
        <w:instrText xml:space="preserve"> HYPERLINK \l "_Toc701" </w:instrText>
      </w:r>
      <w:r>
        <w:fldChar w:fldCharType="separate"/>
      </w:r>
      <w:r>
        <w:rPr>
          <w:rFonts w:hint="eastAsia"/>
          <w:bCs/>
        </w:rPr>
        <w:t>附表1</w:t>
      </w:r>
      <w:r>
        <w:tab/>
      </w:r>
      <w:r>
        <w:fldChar w:fldCharType="begin"/>
      </w:r>
      <w:r>
        <w:instrText xml:space="preserve"> PAGEREF _Toc701 </w:instrText>
      </w:r>
      <w:r>
        <w:fldChar w:fldCharType="separate"/>
      </w:r>
      <w:r>
        <w:t>42</w:t>
      </w:r>
      <w:r>
        <w:fldChar w:fldCharType="end"/>
      </w:r>
      <w:r>
        <w:fldChar w:fldCharType="end"/>
      </w:r>
    </w:p>
    <w:p>
      <w:pPr>
        <w:pStyle w:val="20"/>
        <w:tabs>
          <w:tab w:val="right" w:leader="dot" w:pos="8788"/>
        </w:tabs>
        <w:spacing w:line="360" w:lineRule="auto"/>
      </w:pPr>
      <w:r>
        <w:fldChar w:fldCharType="begin"/>
      </w:r>
      <w:r>
        <w:instrText xml:space="preserve"> HYPERLINK \l "_Toc11378" </w:instrText>
      </w:r>
      <w:r>
        <w:fldChar w:fldCharType="separate"/>
      </w:r>
      <w:r>
        <w:t>附</w:t>
      </w:r>
      <w:r>
        <w:rPr>
          <w:rFonts w:hint="eastAsia"/>
        </w:rPr>
        <w:t>表2：</w:t>
      </w:r>
      <w:r>
        <w:t>拟投入监理人员</w:t>
      </w:r>
      <w:r>
        <w:rPr>
          <w:rFonts w:hint="eastAsia"/>
        </w:rPr>
        <w:t>配置</w:t>
      </w:r>
      <w:r>
        <w:t>一览表</w:t>
      </w:r>
      <w:r>
        <w:tab/>
      </w:r>
      <w:r>
        <w:fldChar w:fldCharType="begin"/>
      </w:r>
      <w:r>
        <w:instrText xml:space="preserve"> PAGEREF _Toc11378 </w:instrText>
      </w:r>
      <w:r>
        <w:fldChar w:fldCharType="separate"/>
      </w:r>
      <w:r>
        <w:t>43</w:t>
      </w:r>
      <w:r>
        <w:fldChar w:fldCharType="end"/>
      </w:r>
      <w:r>
        <w:fldChar w:fldCharType="end"/>
      </w:r>
    </w:p>
    <w:p>
      <w:pPr>
        <w:pStyle w:val="20"/>
        <w:tabs>
          <w:tab w:val="right" w:leader="dot" w:pos="8788"/>
        </w:tabs>
        <w:spacing w:line="360" w:lineRule="auto"/>
      </w:pPr>
      <w:r>
        <w:fldChar w:fldCharType="begin"/>
      </w:r>
      <w:r>
        <w:instrText xml:space="preserve"> HYPERLINK \l "_Toc9714" </w:instrText>
      </w:r>
      <w:r>
        <w:fldChar w:fldCharType="separate"/>
      </w:r>
      <w:r>
        <w:t>附表</w:t>
      </w:r>
      <w:r>
        <w:rPr>
          <w:rFonts w:hint="eastAsia"/>
        </w:rPr>
        <w:t>3：</w:t>
      </w:r>
      <w:r>
        <w:t>拟投入监理工作条件要求</w:t>
      </w:r>
      <w:r>
        <w:tab/>
      </w:r>
      <w:r>
        <w:fldChar w:fldCharType="begin"/>
      </w:r>
      <w:r>
        <w:instrText xml:space="preserve"> PAGEREF _Toc9714 </w:instrText>
      </w:r>
      <w:r>
        <w:fldChar w:fldCharType="separate"/>
      </w:r>
      <w:r>
        <w:t>45</w:t>
      </w:r>
      <w:r>
        <w:fldChar w:fldCharType="end"/>
      </w:r>
      <w:r>
        <w:fldChar w:fldCharType="end"/>
      </w:r>
    </w:p>
    <w:p>
      <w:pPr>
        <w:pStyle w:val="20"/>
        <w:tabs>
          <w:tab w:val="right" w:leader="dot" w:pos="8788"/>
        </w:tabs>
        <w:spacing w:line="360" w:lineRule="auto"/>
      </w:pPr>
      <w:r>
        <w:fldChar w:fldCharType="begin"/>
      </w:r>
      <w:r>
        <w:instrText xml:space="preserve"> HYPERLINK \l "_Toc5832" </w:instrText>
      </w:r>
      <w:r>
        <w:fldChar w:fldCharType="separate"/>
      </w:r>
      <w:r>
        <w:t>1.评标方法</w:t>
      </w:r>
      <w:r>
        <w:tab/>
      </w:r>
      <w:r>
        <w:fldChar w:fldCharType="begin"/>
      </w:r>
      <w:r>
        <w:instrText xml:space="preserve"> PAGEREF _Toc5832 </w:instrText>
      </w:r>
      <w:r>
        <w:fldChar w:fldCharType="separate"/>
      </w:r>
      <w:r>
        <w:t>47</w:t>
      </w:r>
      <w:r>
        <w:fldChar w:fldCharType="end"/>
      </w:r>
      <w:r>
        <w:fldChar w:fldCharType="end"/>
      </w:r>
    </w:p>
    <w:p>
      <w:pPr>
        <w:pStyle w:val="20"/>
        <w:tabs>
          <w:tab w:val="right" w:leader="dot" w:pos="8788"/>
        </w:tabs>
        <w:spacing w:line="360" w:lineRule="auto"/>
      </w:pPr>
      <w:r>
        <w:fldChar w:fldCharType="begin"/>
      </w:r>
      <w:r>
        <w:instrText xml:space="preserve"> HYPERLINK \l "_Toc10423" </w:instrText>
      </w:r>
      <w:r>
        <w:fldChar w:fldCharType="separate"/>
      </w:r>
      <w:r>
        <w:t>2.评审标准</w:t>
      </w:r>
      <w:r>
        <w:tab/>
      </w:r>
      <w:r>
        <w:fldChar w:fldCharType="begin"/>
      </w:r>
      <w:r>
        <w:instrText xml:space="preserve"> PAGEREF _Toc10423 </w:instrText>
      </w:r>
      <w:r>
        <w:fldChar w:fldCharType="separate"/>
      </w:r>
      <w:r>
        <w:t>47</w:t>
      </w:r>
      <w:r>
        <w:fldChar w:fldCharType="end"/>
      </w:r>
      <w:r>
        <w:fldChar w:fldCharType="end"/>
      </w:r>
    </w:p>
    <w:p>
      <w:pPr>
        <w:pStyle w:val="20"/>
        <w:tabs>
          <w:tab w:val="right" w:leader="dot" w:pos="8788"/>
        </w:tabs>
        <w:spacing w:line="360" w:lineRule="auto"/>
      </w:pPr>
      <w:r>
        <w:fldChar w:fldCharType="begin"/>
      </w:r>
      <w:r>
        <w:instrText xml:space="preserve"> HYPERLINK \l "_Toc30244" </w:instrText>
      </w:r>
      <w:r>
        <w:fldChar w:fldCharType="separate"/>
      </w:r>
      <w:r>
        <w:t>3.评标程序</w:t>
      </w:r>
      <w:r>
        <w:tab/>
      </w:r>
      <w:r>
        <w:fldChar w:fldCharType="begin"/>
      </w:r>
      <w:r>
        <w:instrText xml:space="preserve"> PAGEREF _Toc30244 </w:instrText>
      </w:r>
      <w:r>
        <w:fldChar w:fldCharType="separate"/>
      </w:r>
      <w:r>
        <w:t>47</w:t>
      </w:r>
      <w:r>
        <w:fldChar w:fldCharType="end"/>
      </w:r>
      <w:r>
        <w:fldChar w:fldCharType="end"/>
      </w:r>
    </w:p>
    <w:p>
      <w:pPr>
        <w:pStyle w:val="20"/>
        <w:tabs>
          <w:tab w:val="right" w:leader="dot" w:pos="8788"/>
        </w:tabs>
        <w:spacing w:line="360" w:lineRule="auto"/>
      </w:pPr>
      <w:r>
        <w:fldChar w:fldCharType="begin"/>
      </w:r>
      <w:r>
        <w:instrText xml:space="preserve"> HYPERLINK \l "_Toc24584" </w:instrText>
      </w:r>
      <w:r>
        <w:fldChar w:fldCharType="separate"/>
      </w:r>
      <w:r>
        <w:t>附件A：评标详细程序</w:t>
      </w:r>
      <w:r>
        <w:tab/>
      </w:r>
      <w:r>
        <w:fldChar w:fldCharType="begin"/>
      </w:r>
      <w:r>
        <w:instrText xml:space="preserve"> PAGEREF _Toc24584 </w:instrText>
      </w:r>
      <w:r>
        <w:fldChar w:fldCharType="separate"/>
      </w:r>
      <w:r>
        <w:t>50</w:t>
      </w:r>
      <w:r>
        <w:fldChar w:fldCharType="end"/>
      </w:r>
      <w:r>
        <w:fldChar w:fldCharType="end"/>
      </w:r>
    </w:p>
    <w:p>
      <w:pPr>
        <w:pStyle w:val="20"/>
        <w:tabs>
          <w:tab w:val="right" w:leader="dot" w:pos="8788"/>
        </w:tabs>
        <w:spacing w:line="360" w:lineRule="auto"/>
      </w:pPr>
      <w:r>
        <w:fldChar w:fldCharType="begin"/>
      </w:r>
      <w:r>
        <w:instrText xml:space="preserve"> HYPERLINK \l "_Toc1256" </w:instrText>
      </w:r>
      <w:r>
        <w:fldChar w:fldCharType="separate"/>
      </w:r>
      <w:r>
        <w:t>附件B：</w:t>
      </w:r>
      <w:r>
        <w:rPr>
          <w:rFonts w:hint="eastAsia"/>
        </w:rPr>
        <w:t>否决投标</w:t>
      </w:r>
      <w:r>
        <w:t>条件</w:t>
      </w:r>
      <w:r>
        <w:tab/>
      </w:r>
      <w:r>
        <w:fldChar w:fldCharType="begin"/>
      </w:r>
      <w:r>
        <w:instrText xml:space="preserve"> PAGEREF _Toc1256 </w:instrText>
      </w:r>
      <w:r>
        <w:fldChar w:fldCharType="separate"/>
      </w:r>
      <w:r>
        <w:t>53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"_Toc1221" </w:instrText>
      </w:r>
      <w:r>
        <w:fldChar w:fldCharType="separate"/>
      </w:r>
      <w:r>
        <w:rPr>
          <w:rFonts w:hint="eastAsia"/>
        </w:rPr>
        <w:t xml:space="preserve">第四章 </w:t>
      </w:r>
      <w:r>
        <w:t>合同条款及格式</w:t>
      </w:r>
      <w:r>
        <w:tab/>
      </w:r>
      <w:r>
        <w:fldChar w:fldCharType="begin"/>
      </w:r>
      <w:r>
        <w:instrText xml:space="preserve"> PAGEREF _Toc1221 </w:instrText>
      </w:r>
      <w:r>
        <w:fldChar w:fldCharType="separate"/>
      </w:r>
      <w:r>
        <w:t>54</w:t>
      </w:r>
      <w:r>
        <w:fldChar w:fldCharType="end"/>
      </w:r>
      <w:r>
        <w:fldChar w:fldCharType="end"/>
      </w:r>
    </w:p>
    <w:p>
      <w:pPr>
        <w:pStyle w:val="20"/>
        <w:tabs>
          <w:tab w:val="right" w:leader="dot" w:pos="8788"/>
        </w:tabs>
        <w:spacing w:line="360" w:lineRule="auto"/>
      </w:pPr>
      <w:r>
        <w:fldChar w:fldCharType="begin"/>
      </w:r>
      <w:r>
        <w:instrText xml:space="preserve"> HYPERLINK \l "_Toc27849" </w:instrText>
      </w:r>
      <w:r>
        <w:fldChar w:fldCharType="separate"/>
      </w:r>
      <w:r>
        <w:rPr>
          <w:rFonts w:hint="eastAsia"/>
        </w:rPr>
        <w:t>第一部分  协议书</w:t>
      </w:r>
      <w:r>
        <w:tab/>
      </w:r>
      <w:r>
        <w:fldChar w:fldCharType="begin"/>
      </w:r>
      <w:r>
        <w:instrText xml:space="preserve"> PAGEREF _Toc27849 </w:instrText>
      </w:r>
      <w:r>
        <w:fldChar w:fldCharType="separate"/>
      </w:r>
      <w:r>
        <w:t>54</w:t>
      </w:r>
      <w:r>
        <w:fldChar w:fldCharType="end"/>
      </w:r>
      <w:r>
        <w:fldChar w:fldCharType="end"/>
      </w:r>
    </w:p>
    <w:p>
      <w:pPr>
        <w:pStyle w:val="20"/>
        <w:tabs>
          <w:tab w:val="right" w:leader="dot" w:pos="8788"/>
        </w:tabs>
        <w:spacing w:line="360" w:lineRule="auto"/>
      </w:pPr>
      <w:r>
        <w:fldChar w:fldCharType="begin"/>
      </w:r>
      <w:r>
        <w:instrText xml:space="preserve"> HYPERLINK \l "_Toc2105" </w:instrText>
      </w:r>
      <w:r>
        <w:fldChar w:fldCharType="separate"/>
      </w:r>
      <w:r>
        <w:rPr>
          <w:rFonts w:hint="eastAsia"/>
        </w:rPr>
        <w:t>第二部分  通用条件</w:t>
      </w:r>
      <w:r>
        <w:tab/>
      </w:r>
      <w:r>
        <w:fldChar w:fldCharType="begin"/>
      </w:r>
      <w:r>
        <w:instrText xml:space="preserve"> PAGEREF _Toc2105 </w:instrText>
      </w:r>
      <w:r>
        <w:fldChar w:fldCharType="separate"/>
      </w:r>
      <w:r>
        <w:t>56</w:t>
      </w:r>
      <w:r>
        <w:fldChar w:fldCharType="end"/>
      </w:r>
      <w:r>
        <w:fldChar w:fldCharType="end"/>
      </w:r>
    </w:p>
    <w:p>
      <w:pPr>
        <w:pStyle w:val="20"/>
        <w:tabs>
          <w:tab w:val="right" w:leader="dot" w:pos="8788"/>
        </w:tabs>
        <w:spacing w:line="360" w:lineRule="auto"/>
      </w:pPr>
      <w:r>
        <w:fldChar w:fldCharType="begin"/>
      </w:r>
      <w:r>
        <w:instrText xml:space="preserve"> HYPERLINK \l "_Toc26054" </w:instrText>
      </w:r>
      <w:r>
        <w:fldChar w:fldCharType="separate"/>
      </w:r>
      <w:r>
        <w:rPr>
          <w:rFonts w:hint="eastAsia"/>
        </w:rPr>
        <w:t>第三部分  专用条件</w:t>
      </w:r>
      <w:r>
        <w:tab/>
      </w:r>
      <w:r>
        <w:fldChar w:fldCharType="begin"/>
      </w:r>
      <w:r>
        <w:instrText xml:space="preserve"> PAGEREF _Toc26054 </w:instrText>
      </w:r>
      <w:r>
        <w:fldChar w:fldCharType="separate"/>
      </w:r>
      <w:r>
        <w:t>64</w:t>
      </w:r>
      <w:r>
        <w:fldChar w:fldCharType="end"/>
      </w:r>
      <w:r>
        <w:fldChar w:fldCharType="end"/>
      </w:r>
    </w:p>
    <w:p>
      <w:pPr>
        <w:pStyle w:val="20"/>
        <w:tabs>
          <w:tab w:val="right" w:leader="dot" w:pos="8788"/>
        </w:tabs>
        <w:spacing w:line="360" w:lineRule="auto"/>
      </w:pPr>
      <w:r>
        <w:fldChar w:fldCharType="begin"/>
      </w:r>
      <w:r>
        <w:instrText xml:space="preserve"> HYPERLINK \l "_Toc5068" </w:instrText>
      </w:r>
      <w:r>
        <w:fldChar w:fldCharType="separate"/>
      </w:r>
      <w:r>
        <w:rPr>
          <w:rFonts w:hint="eastAsia"/>
        </w:rPr>
        <w:t>附录A相关服务的范围和内容</w:t>
      </w:r>
      <w:r>
        <w:tab/>
      </w:r>
      <w:r>
        <w:fldChar w:fldCharType="begin"/>
      </w:r>
      <w:r>
        <w:instrText xml:space="preserve"> PAGEREF _Toc5068 </w:instrText>
      </w:r>
      <w:r>
        <w:fldChar w:fldCharType="separate"/>
      </w:r>
      <w:r>
        <w:t>82</w:t>
      </w:r>
      <w:r>
        <w:fldChar w:fldCharType="end"/>
      </w:r>
      <w:r>
        <w:fldChar w:fldCharType="end"/>
      </w:r>
    </w:p>
    <w:p>
      <w:pPr>
        <w:pStyle w:val="20"/>
        <w:tabs>
          <w:tab w:val="right" w:leader="dot" w:pos="8788"/>
        </w:tabs>
        <w:spacing w:line="360" w:lineRule="auto"/>
      </w:pPr>
      <w:r>
        <w:fldChar w:fldCharType="begin"/>
      </w:r>
      <w:r>
        <w:instrText xml:space="preserve"> HYPERLINK \l "_Toc4758" </w:instrText>
      </w:r>
      <w:r>
        <w:fldChar w:fldCharType="separate"/>
      </w:r>
      <w:r>
        <w:rPr>
          <w:rFonts w:hint="eastAsia"/>
        </w:rPr>
        <w:t>附录B委托人派遣的人员和提供的房屋、资料、设备</w:t>
      </w:r>
      <w:r>
        <w:tab/>
      </w:r>
      <w:r>
        <w:fldChar w:fldCharType="begin"/>
      </w:r>
      <w:r>
        <w:instrText xml:space="preserve"> PAGEREF _Toc4758 </w:instrText>
      </w:r>
      <w:r>
        <w:fldChar w:fldCharType="separate"/>
      </w:r>
      <w:r>
        <w:t>83</w:t>
      </w:r>
      <w:r>
        <w:fldChar w:fldCharType="end"/>
      </w:r>
      <w:r>
        <w:fldChar w:fldCharType="end"/>
      </w:r>
    </w:p>
    <w:p>
      <w:pPr>
        <w:pStyle w:val="20"/>
        <w:tabs>
          <w:tab w:val="right" w:leader="dot" w:pos="8788"/>
        </w:tabs>
        <w:spacing w:line="360" w:lineRule="auto"/>
      </w:pPr>
      <w:r>
        <w:fldChar w:fldCharType="begin"/>
      </w:r>
      <w:r>
        <w:instrText xml:space="preserve"> HYPERLINK \l "_Toc7113" </w:instrText>
      </w:r>
      <w:r>
        <w:fldChar w:fldCharType="separate"/>
      </w:r>
      <w:r>
        <w:rPr>
          <w:rFonts w:hint="eastAsia"/>
        </w:rPr>
        <w:t>附录C廉洁从业合同格式</w:t>
      </w:r>
      <w:r>
        <w:tab/>
      </w:r>
      <w:r>
        <w:fldChar w:fldCharType="begin"/>
      </w:r>
      <w:r>
        <w:instrText xml:space="preserve"> PAGEREF _Toc7113 </w:instrText>
      </w:r>
      <w:r>
        <w:fldChar w:fldCharType="separate"/>
      </w:r>
      <w:r>
        <w:t>84</w:t>
      </w:r>
      <w:r>
        <w:fldChar w:fldCharType="end"/>
      </w:r>
      <w:r>
        <w:fldChar w:fldCharType="end"/>
      </w:r>
    </w:p>
    <w:p>
      <w:pPr>
        <w:pStyle w:val="20"/>
        <w:tabs>
          <w:tab w:val="right" w:leader="dot" w:pos="8788"/>
        </w:tabs>
        <w:spacing w:line="360" w:lineRule="auto"/>
      </w:pPr>
      <w:r>
        <w:fldChar w:fldCharType="begin"/>
      </w:r>
      <w:r>
        <w:instrText xml:space="preserve"> HYPERLINK \l "_Toc8172" </w:instrText>
      </w:r>
      <w:r>
        <w:fldChar w:fldCharType="separate"/>
      </w:r>
      <w:r>
        <w:rPr>
          <w:rFonts w:hint="eastAsia"/>
        </w:rPr>
        <w:t>附录D安全责任保证书</w:t>
      </w:r>
      <w:r>
        <w:tab/>
      </w:r>
      <w:r>
        <w:fldChar w:fldCharType="begin"/>
      </w:r>
      <w:r>
        <w:instrText xml:space="preserve"> PAGEREF _Toc8172 </w:instrText>
      </w:r>
      <w:r>
        <w:fldChar w:fldCharType="separate"/>
      </w:r>
      <w:r>
        <w:t>86</w:t>
      </w:r>
      <w:r>
        <w:fldChar w:fldCharType="end"/>
      </w:r>
      <w:r>
        <w:fldChar w:fldCharType="end"/>
      </w:r>
    </w:p>
    <w:p>
      <w:pPr>
        <w:pStyle w:val="20"/>
        <w:tabs>
          <w:tab w:val="right" w:leader="dot" w:pos="8788"/>
        </w:tabs>
        <w:spacing w:line="360" w:lineRule="auto"/>
      </w:pPr>
      <w:r>
        <w:fldChar w:fldCharType="begin"/>
      </w:r>
      <w:r>
        <w:instrText xml:space="preserve"> HYPERLINK \l "_Toc24384" </w:instrText>
      </w:r>
      <w:r>
        <w:fldChar w:fldCharType="separate"/>
      </w:r>
      <w:r>
        <w:rPr>
          <w:rFonts w:hint="eastAsia"/>
        </w:rPr>
        <w:t>附录E履约保函格式</w:t>
      </w:r>
      <w:r>
        <w:tab/>
      </w:r>
      <w:r>
        <w:fldChar w:fldCharType="begin"/>
      </w:r>
      <w:r>
        <w:instrText xml:space="preserve"> PAGEREF _Toc24384 </w:instrText>
      </w:r>
      <w:r>
        <w:fldChar w:fldCharType="separate"/>
      </w:r>
      <w:r>
        <w:t>93</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"_Toc15933" </w:instrText>
      </w:r>
      <w:r>
        <w:fldChar w:fldCharType="separate"/>
      </w:r>
      <w:r>
        <w:rPr>
          <w:rFonts w:hint="eastAsia"/>
        </w:rPr>
        <w:t>第五章 监理服务内容、技术标准和要求</w:t>
      </w:r>
      <w:r>
        <w:tab/>
      </w:r>
      <w:r>
        <w:fldChar w:fldCharType="begin"/>
      </w:r>
      <w:r>
        <w:instrText xml:space="preserve"> PAGEREF _Toc15933 </w:instrText>
      </w:r>
      <w:r>
        <w:fldChar w:fldCharType="separate"/>
      </w:r>
      <w:r>
        <w:t>94</w:t>
      </w:r>
      <w:r>
        <w:fldChar w:fldCharType="end"/>
      </w:r>
      <w:r>
        <w:fldChar w:fldCharType="end"/>
      </w:r>
    </w:p>
    <w:p>
      <w:pPr>
        <w:pStyle w:val="17"/>
        <w:tabs>
          <w:tab w:val="right" w:leader="dot" w:pos="8788"/>
          <w:tab w:val="clear" w:pos="8778"/>
        </w:tabs>
        <w:spacing w:line="360" w:lineRule="auto"/>
      </w:pPr>
      <w:r>
        <w:fldChar w:fldCharType="begin"/>
      </w:r>
      <w:r>
        <w:instrText xml:space="preserve"> HYPERLINK \l "_Toc31099" </w:instrText>
      </w:r>
      <w:r>
        <w:fldChar w:fldCharType="separate"/>
      </w:r>
      <w:r>
        <w:rPr>
          <w:rFonts w:hint="eastAsia"/>
        </w:rPr>
        <w:t>第六章 投标文件格式</w:t>
      </w:r>
      <w:r>
        <w:tab/>
      </w:r>
      <w:r>
        <w:fldChar w:fldCharType="begin"/>
      </w:r>
      <w:r>
        <w:instrText xml:space="preserve"> PAGEREF _Toc31099 </w:instrText>
      </w:r>
      <w:r>
        <w:fldChar w:fldCharType="separate"/>
      </w:r>
      <w:r>
        <w:t>95</w:t>
      </w:r>
      <w:r>
        <w:fldChar w:fldCharType="end"/>
      </w:r>
      <w:r>
        <w:fldChar w:fldCharType="end"/>
      </w:r>
    </w:p>
    <w:p>
      <w:pPr>
        <w:pStyle w:val="20"/>
        <w:tabs>
          <w:tab w:val="right" w:leader="dot" w:pos="8788"/>
        </w:tabs>
        <w:spacing w:line="360" w:lineRule="auto"/>
      </w:pPr>
      <w:r>
        <w:fldChar w:fldCharType="begin"/>
      </w:r>
      <w:r>
        <w:instrText xml:space="preserve"> HYPERLINK \l "_Toc1233" </w:instrText>
      </w:r>
      <w:r>
        <w:fldChar w:fldCharType="separate"/>
      </w:r>
      <w:r>
        <w:rPr>
          <w:rFonts w:hint="eastAsia"/>
        </w:rPr>
        <w:t>一、投标函及投标函附录</w:t>
      </w:r>
      <w:r>
        <w:tab/>
      </w:r>
      <w:r>
        <w:fldChar w:fldCharType="begin"/>
      </w:r>
      <w:r>
        <w:instrText xml:space="preserve"> PAGEREF _Toc1233 </w:instrText>
      </w:r>
      <w:r>
        <w:fldChar w:fldCharType="separate"/>
      </w:r>
      <w:r>
        <w:t>97</w:t>
      </w:r>
      <w:r>
        <w:fldChar w:fldCharType="end"/>
      </w:r>
      <w:r>
        <w:fldChar w:fldCharType="end"/>
      </w:r>
    </w:p>
    <w:p>
      <w:pPr>
        <w:pStyle w:val="20"/>
        <w:tabs>
          <w:tab w:val="right" w:leader="dot" w:pos="8788"/>
        </w:tabs>
        <w:spacing w:line="360" w:lineRule="auto"/>
      </w:pPr>
      <w:r>
        <w:fldChar w:fldCharType="begin"/>
      </w:r>
      <w:r>
        <w:instrText xml:space="preserve"> HYPERLINK \l "_Toc6802" </w:instrText>
      </w:r>
      <w:r>
        <w:fldChar w:fldCharType="separate"/>
      </w:r>
      <w:r>
        <w:rPr>
          <w:rFonts w:hint="eastAsia"/>
        </w:rPr>
        <w:t>二、法定代表人身份证明及授权委托书</w:t>
      </w:r>
      <w:r>
        <w:tab/>
      </w:r>
      <w:r>
        <w:fldChar w:fldCharType="begin"/>
      </w:r>
      <w:r>
        <w:instrText xml:space="preserve"> PAGEREF _Toc6802 </w:instrText>
      </w:r>
      <w:r>
        <w:fldChar w:fldCharType="separate"/>
      </w:r>
      <w:r>
        <w:t>99</w:t>
      </w:r>
      <w:r>
        <w:fldChar w:fldCharType="end"/>
      </w:r>
      <w:r>
        <w:fldChar w:fldCharType="end"/>
      </w:r>
    </w:p>
    <w:p>
      <w:pPr>
        <w:pStyle w:val="20"/>
        <w:tabs>
          <w:tab w:val="right" w:leader="dot" w:pos="8788"/>
        </w:tabs>
        <w:spacing w:line="360" w:lineRule="auto"/>
      </w:pPr>
      <w:r>
        <w:fldChar w:fldCharType="begin"/>
      </w:r>
      <w:r>
        <w:instrText xml:space="preserve"> HYPERLINK \l "_Toc9526" </w:instrText>
      </w:r>
      <w:r>
        <w:fldChar w:fldCharType="separate"/>
      </w:r>
      <w:r>
        <w:rPr>
          <w:rFonts w:hint="eastAsia"/>
        </w:rPr>
        <w:t>三、投标保证金</w:t>
      </w:r>
      <w:r>
        <w:tab/>
      </w:r>
      <w:r>
        <w:fldChar w:fldCharType="begin"/>
      </w:r>
      <w:r>
        <w:instrText xml:space="preserve"> PAGEREF _Toc9526 </w:instrText>
      </w:r>
      <w:r>
        <w:fldChar w:fldCharType="separate"/>
      </w:r>
      <w:r>
        <w:t>101</w:t>
      </w:r>
      <w:r>
        <w:fldChar w:fldCharType="end"/>
      </w:r>
      <w:r>
        <w:fldChar w:fldCharType="end"/>
      </w:r>
    </w:p>
    <w:p>
      <w:pPr>
        <w:pStyle w:val="20"/>
        <w:tabs>
          <w:tab w:val="right" w:leader="dot" w:pos="8788"/>
        </w:tabs>
        <w:spacing w:line="360" w:lineRule="auto"/>
      </w:pPr>
      <w:r>
        <w:fldChar w:fldCharType="begin"/>
      </w:r>
      <w:r>
        <w:instrText xml:space="preserve"> HYPERLINK \l "_Toc2051" </w:instrText>
      </w:r>
      <w:r>
        <w:fldChar w:fldCharType="separate"/>
      </w:r>
      <w:r>
        <w:rPr>
          <w:rFonts w:hint="eastAsia"/>
          <w:szCs w:val="21"/>
        </w:rPr>
        <w:t>四</w:t>
      </w:r>
      <w:r>
        <w:rPr>
          <w:rFonts w:hint="eastAsia"/>
        </w:rPr>
        <w:t>、项目管理机构</w:t>
      </w:r>
      <w:r>
        <w:tab/>
      </w:r>
      <w:r>
        <w:fldChar w:fldCharType="begin"/>
      </w:r>
      <w:r>
        <w:instrText xml:space="preserve"> PAGEREF _Toc2051 </w:instrText>
      </w:r>
      <w:r>
        <w:fldChar w:fldCharType="separate"/>
      </w:r>
      <w:r>
        <w:t>102</w:t>
      </w:r>
      <w:r>
        <w:fldChar w:fldCharType="end"/>
      </w:r>
      <w:r>
        <w:fldChar w:fldCharType="end"/>
      </w:r>
    </w:p>
    <w:p>
      <w:pPr>
        <w:pStyle w:val="20"/>
        <w:tabs>
          <w:tab w:val="right" w:leader="dot" w:pos="8788"/>
        </w:tabs>
        <w:spacing w:line="360" w:lineRule="auto"/>
      </w:pPr>
      <w:r>
        <w:fldChar w:fldCharType="begin"/>
      </w:r>
      <w:r>
        <w:instrText xml:space="preserve"> HYPERLINK \l "_Toc5885" </w:instrText>
      </w:r>
      <w:r>
        <w:fldChar w:fldCharType="separate"/>
      </w:r>
      <w:r>
        <w:rPr>
          <w:rFonts w:hint="eastAsia"/>
        </w:rPr>
        <w:t>五、资格审查资料</w:t>
      </w:r>
      <w:r>
        <w:tab/>
      </w:r>
      <w:r>
        <w:fldChar w:fldCharType="begin"/>
      </w:r>
      <w:r>
        <w:instrText xml:space="preserve"> PAGEREF _Toc5885 </w:instrText>
      </w:r>
      <w:r>
        <w:fldChar w:fldCharType="separate"/>
      </w:r>
      <w:r>
        <w:t>106</w:t>
      </w:r>
      <w:r>
        <w:fldChar w:fldCharType="end"/>
      </w:r>
      <w:r>
        <w:fldChar w:fldCharType="end"/>
      </w:r>
    </w:p>
    <w:p>
      <w:pPr>
        <w:pStyle w:val="20"/>
        <w:tabs>
          <w:tab w:val="right" w:leader="dot" w:pos="8788"/>
        </w:tabs>
        <w:spacing w:line="360" w:lineRule="auto"/>
      </w:pPr>
      <w:r>
        <w:fldChar w:fldCharType="begin"/>
      </w:r>
      <w:r>
        <w:instrText xml:space="preserve"> HYPERLINK \l "_Toc15501" </w:instrText>
      </w:r>
      <w:r>
        <w:fldChar w:fldCharType="separate"/>
      </w:r>
      <w:r>
        <w:rPr>
          <w:rFonts w:hint="eastAsia"/>
        </w:rPr>
        <w:t>六、拟投入本工程监理工作条件一览表</w:t>
      </w:r>
      <w:r>
        <w:tab/>
      </w:r>
      <w:r>
        <w:fldChar w:fldCharType="begin"/>
      </w:r>
      <w:r>
        <w:instrText xml:space="preserve"> PAGEREF _Toc15501 </w:instrText>
      </w:r>
      <w:r>
        <w:fldChar w:fldCharType="separate"/>
      </w:r>
      <w:r>
        <w:t>114</w:t>
      </w:r>
      <w:r>
        <w:fldChar w:fldCharType="end"/>
      </w:r>
      <w:r>
        <w:fldChar w:fldCharType="end"/>
      </w:r>
    </w:p>
    <w:p>
      <w:pPr>
        <w:pStyle w:val="20"/>
        <w:tabs>
          <w:tab w:val="right" w:leader="dot" w:pos="8788"/>
        </w:tabs>
        <w:spacing w:line="360" w:lineRule="auto"/>
      </w:pPr>
      <w:r>
        <w:fldChar w:fldCharType="begin"/>
      </w:r>
      <w:r>
        <w:instrText xml:space="preserve"> HYPERLINK \l "_Toc13502" </w:instrText>
      </w:r>
      <w:r>
        <w:fldChar w:fldCharType="separate"/>
      </w:r>
      <w:r>
        <w:rPr>
          <w:rFonts w:hint="eastAsia"/>
        </w:rPr>
        <w:t>七、不良行为记录</w:t>
      </w:r>
      <w:r>
        <w:tab/>
      </w:r>
      <w:r>
        <w:fldChar w:fldCharType="begin"/>
      </w:r>
      <w:r>
        <w:instrText xml:space="preserve"> PAGEREF _Toc13502 </w:instrText>
      </w:r>
      <w:r>
        <w:fldChar w:fldCharType="separate"/>
      </w:r>
      <w:r>
        <w:t>115</w:t>
      </w:r>
      <w:r>
        <w:fldChar w:fldCharType="end"/>
      </w:r>
      <w:r>
        <w:fldChar w:fldCharType="end"/>
      </w:r>
    </w:p>
    <w:p>
      <w:pPr>
        <w:pStyle w:val="20"/>
        <w:tabs>
          <w:tab w:val="right" w:leader="dot" w:pos="8788"/>
        </w:tabs>
        <w:spacing w:line="360" w:lineRule="auto"/>
      </w:pPr>
      <w:r>
        <w:fldChar w:fldCharType="begin"/>
      </w:r>
      <w:r>
        <w:instrText xml:space="preserve"> HYPERLINK \l "_Toc10126" </w:instrText>
      </w:r>
      <w:r>
        <w:fldChar w:fldCharType="separate"/>
      </w:r>
      <w:r>
        <w:rPr>
          <w:rFonts w:hint="eastAsia"/>
        </w:rPr>
        <w:t>八、信用情况</w:t>
      </w:r>
      <w:r>
        <w:tab/>
      </w:r>
      <w:r>
        <w:fldChar w:fldCharType="begin"/>
      </w:r>
      <w:r>
        <w:instrText xml:space="preserve"> PAGEREF _Toc10126 </w:instrText>
      </w:r>
      <w:r>
        <w:fldChar w:fldCharType="separate"/>
      </w:r>
      <w:r>
        <w:t>115</w:t>
      </w:r>
      <w:r>
        <w:fldChar w:fldCharType="end"/>
      </w:r>
      <w:r>
        <w:fldChar w:fldCharType="end"/>
      </w:r>
    </w:p>
    <w:p>
      <w:pPr>
        <w:pStyle w:val="20"/>
        <w:tabs>
          <w:tab w:val="right" w:leader="dot" w:pos="8788"/>
        </w:tabs>
        <w:spacing w:line="360" w:lineRule="auto"/>
      </w:pPr>
      <w:r>
        <w:fldChar w:fldCharType="begin"/>
      </w:r>
      <w:r>
        <w:instrText xml:space="preserve"> HYPERLINK \l "_Toc20326" </w:instrText>
      </w:r>
      <w:r>
        <w:fldChar w:fldCharType="separate"/>
      </w:r>
      <w:r>
        <w:rPr>
          <w:rFonts w:hint="eastAsia"/>
        </w:rPr>
        <w:t>九、监理大纲</w:t>
      </w:r>
      <w:r>
        <w:tab/>
      </w:r>
      <w:r>
        <w:fldChar w:fldCharType="begin"/>
      </w:r>
      <w:r>
        <w:instrText xml:space="preserve"> PAGEREF _Toc20326 </w:instrText>
      </w:r>
      <w:r>
        <w:fldChar w:fldCharType="separate"/>
      </w:r>
      <w:r>
        <w:t>116</w:t>
      </w:r>
      <w:r>
        <w:fldChar w:fldCharType="end"/>
      </w:r>
      <w:r>
        <w:fldChar w:fldCharType="end"/>
      </w:r>
    </w:p>
    <w:p>
      <w:pPr>
        <w:pStyle w:val="20"/>
        <w:tabs>
          <w:tab w:val="right" w:leader="dot" w:pos="8788"/>
        </w:tabs>
        <w:spacing w:line="360" w:lineRule="auto"/>
      </w:pPr>
      <w:r>
        <w:fldChar w:fldCharType="begin"/>
      </w:r>
      <w:r>
        <w:instrText xml:space="preserve"> HYPERLINK \l "_Toc24495" </w:instrText>
      </w:r>
      <w:r>
        <w:fldChar w:fldCharType="separate"/>
      </w:r>
      <w:r>
        <w:rPr>
          <w:rFonts w:hint="eastAsia"/>
        </w:rPr>
        <w:t>十、其他材料</w:t>
      </w:r>
      <w:r>
        <w:tab/>
      </w:r>
      <w:r>
        <w:fldChar w:fldCharType="begin"/>
      </w:r>
      <w:r>
        <w:instrText xml:space="preserve"> PAGEREF _Toc24495 </w:instrText>
      </w:r>
      <w:r>
        <w:fldChar w:fldCharType="separate"/>
      </w:r>
      <w:r>
        <w:t>117</w:t>
      </w:r>
      <w:r>
        <w:fldChar w:fldCharType="end"/>
      </w:r>
      <w:r>
        <w:fldChar w:fldCharType="end"/>
      </w:r>
    </w:p>
    <w:p>
      <w:pPr>
        <w:pStyle w:val="20"/>
        <w:tabs>
          <w:tab w:val="right" w:leader="dot" w:pos="8788"/>
        </w:tabs>
        <w:spacing w:line="360" w:lineRule="auto"/>
      </w:pPr>
      <w:r>
        <w:fldChar w:fldCharType="begin"/>
      </w:r>
      <w:r>
        <w:instrText xml:space="preserve"> HYPERLINK \l "_Toc15698" </w:instrText>
      </w:r>
      <w:r>
        <w:fldChar w:fldCharType="separate"/>
      </w:r>
      <w:r>
        <w:rPr>
          <w:rFonts w:hint="eastAsia"/>
        </w:rPr>
        <w:t>十一、投标人递交资料原件清单</w:t>
      </w:r>
      <w:r>
        <w:tab/>
      </w:r>
      <w:r>
        <w:fldChar w:fldCharType="begin"/>
      </w:r>
      <w:r>
        <w:instrText xml:space="preserve"> PAGEREF _Toc15698 </w:instrText>
      </w:r>
      <w:r>
        <w:fldChar w:fldCharType="separate"/>
      </w:r>
      <w:r>
        <w:t>118</w:t>
      </w:r>
      <w:r>
        <w:fldChar w:fldCharType="end"/>
      </w:r>
      <w:r>
        <w:fldChar w:fldCharType="end"/>
      </w:r>
    </w:p>
    <w:p>
      <w:pPr>
        <w:pStyle w:val="9"/>
        <w:spacing w:line="360" w:lineRule="auto"/>
      </w:pPr>
      <w:r>
        <w:fldChar w:fldCharType="end"/>
      </w:r>
    </w:p>
    <w:p>
      <w:pPr>
        <w:pStyle w:val="9"/>
      </w:pPr>
    </w:p>
    <w:p>
      <w:pPr>
        <w:pStyle w:val="9"/>
      </w:pPr>
    </w:p>
    <w:p>
      <w:pPr>
        <w:pStyle w:val="9"/>
      </w:pPr>
    </w:p>
    <w:p>
      <w:pPr>
        <w:pStyle w:val="9"/>
      </w:pPr>
    </w:p>
    <w:p>
      <w:pPr>
        <w:pStyle w:val="9"/>
      </w:pPr>
    </w:p>
    <w:p>
      <w:pPr>
        <w:pStyle w:val="9"/>
      </w:pPr>
    </w:p>
    <w:p>
      <w:pPr>
        <w:pStyle w:val="9"/>
      </w:pPr>
    </w:p>
    <w:p>
      <w:pPr>
        <w:pStyle w:val="3"/>
      </w:pPr>
      <w:bookmarkStart w:id="0" w:name="_Toc14497"/>
      <w:r>
        <w:rPr>
          <w:rFonts w:hint="eastAsia"/>
        </w:rPr>
        <w:t>第一章 招标公告</w:t>
      </w:r>
      <w:bookmarkEnd w:id="0"/>
    </w:p>
    <w:p>
      <w:pPr>
        <w:widowControl/>
        <w:spacing w:line="312" w:lineRule="auto"/>
        <w:jc w:val="left"/>
        <w:rPr>
          <w:rFonts w:cs="宋体" w:asciiTheme="minorEastAsia" w:hAnsiTheme="minorEastAsia" w:eastAsiaTheme="minorEastAsia"/>
          <w:b/>
          <w:bCs/>
          <w:sz w:val="24"/>
        </w:rPr>
      </w:pPr>
      <w:bookmarkStart w:id="1" w:name="_Toc27003"/>
      <w:r>
        <w:rPr>
          <w:rFonts w:hint="eastAsia" w:cs="宋体" w:asciiTheme="minorEastAsia" w:hAnsiTheme="minorEastAsia" w:eastAsiaTheme="minorEastAsia"/>
          <w:b/>
          <w:bCs/>
          <w:sz w:val="24"/>
        </w:rPr>
        <w:t>1．招标条件</w:t>
      </w:r>
      <w:bookmarkEnd w:id="1"/>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本招标项目名称为</w:t>
      </w:r>
      <w:r>
        <w:rPr>
          <w:rFonts w:hint="eastAsia" w:cs="宋体" w:asciiTheme="minorEastAsia" w:hAnsiTheme="minorEastAsia" w:eastAsiaTheme="minorEastAsia"/>
          <w:sz w:val="24"/>
          <w:u w:val="single"/>
        </w:rPr>
        <w:t xml:space="preserve"> 郑州机场至许昌市域铁路工程许昌段建设项目(施工总承包)监理</w:t>
      </w:r>
      <w:r>
        <w:rPr>
          <w:rFonts w:hint="eastAsia" w:cs="宋体" w:asciiTheme="minorEastAsia" w:hAnsiTheme="minorEastAsia" w:eastAsiaTheme="minorEastAsia"/>
          <w:sz w:val="24"/>
        </w:rPr>
        <w:t>，项目业主为</w:t>
      </w:r>
      <w:r>
        <w:rPr>
          <w:rFonts w:hint="eastAsia" w:cs="宋体" w:asciiTheme="minorEastAsia" w:hAnsiTheme="minorEastAsia" w:eastAsiaTheme="minorEastAsia"/>
          <w:sz w:val="24"/>
          <w:u w:val="single"/>
        </w:rPr>
        <w:t>许昌市建设投资有限责任公司</w:t>
      </w:r>
      <w:r>
        <w:rPr>
          <w:rFonts w:hint="eastAsia" w:cs="宋体" w:asciiTheme="minorEastAsia" w:hAnsiTheme="minorEastAsia" w:eastAsiaTheme="minorEastAsia"/>
          <w:sz w:val="24"/>
        </w:rPr>
        <w:t>，建设资金为</w:t>
      </w:r>
      <w:r>
        <w:rPr>
          <w:rFonts w:hint="eastAsia" w:cs="宋体" w:asciiTheme="minorEastAsia" w:hAnsiTheme="minorEastAsia" w:eastAsiaTheme="minorEastAsia"/>
          <w:sz w:val="24"/>
          <w:u w:val="single"/>
        </w:rPr>
        <w:t xml:space="preserve"> 自筹资金</w:t>
      </w:r>
      <w:r>
        <w:rPr>
          <w:rFonts w:hint="eastAsia" w:cs="宋体" w:asciiTheme="minorEastAsia" w:hAnsiTheme="minorEastAsia" w:eastAsiaTheme="minorEastAsia"/>
          <w:sz w:val="24"/>
        </w:rPr>
        <w:t xml:space="preserve">，资金来源已确定。项目已具备招标条件，现对该项目进行公开招标。 </w:t>
      </w:r>
    </w:p>
    <w:p>
      <w:pPr>
        <w:widowControl/>
        <w:spacing w:line="312" w:lineRule="auto"/>
        <w:jc w:val="left"/>
        <w:rPr>
          <w:rFonts w:cs="宋体" w:asciiTheme="minorEastAsia" w:hAnsiTheme="minorEastAsia" w:eastAsiaTheme="minorEastAsia"/>
          <w:b/>
          <w:bCs/>
          <w:sz w:val="24"/>
        </w:rPr>
      </w:pPr>
      <w:bookmarkStart w:id="2" w:name="_Toc8532"/>
      <w:r>
        <w:rPr>
          <w:rFonts w:hint="eastAsia" w:cs="宋体" w:asciiTheme="minorEastAsia" w:hAnsiTheme="minorEastAsia" w:eastAsiaTheme="minorEastAsia"/>
          <w:b/>
          <w:bCs/>
          <w:sz w:val="24"/>
        </w:rPr>
        <w:t>2．项目概况与招标范围</w:t>
      </w:r>
      <w:bookmarkEnd w:id="2"/>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2.1项目编号：XCGC-F2017257</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2.2建设地点：许昌市。</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项目概况：郑州机场至许昌市域铁路是中原城市群城际轨道交通网的骨干线路，线路衔接郑州机场、郑州航空港区、长葛、许昌，贯穿中原城市群郑州-许昌产业带的核心区域，郑州机场至许昌市域铁路工程根据行政边界范围，分郑州段和许昌段两段分别进行建设。本次招标范围为许昌段；郑州机场至许昌市域铁路（许昌段）北起郑州、许昌市界经华夏幸福城站，南至许昌东站，线路全长33.78km。设站11座，其中高架站9座，地下站2站，平均站间距约3.6km，设梅庄停车场1座，在颍川大道站、永兴东路站附近设主变2座。本段线路初、近期采用B型车4辆编组，远期采用B型车6辆编组，设计时速为120KM/h，本项目概算投资额约98.79亿元。</w:t>
      </w:r>
    </w:p>
    <w:p>
      <w:pPr>
        <w:widowControl/>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2.4标段划分：本项目监理共划分为三个标段：每个投标人可对三个标段作出投标申请，但最多只能中一个标段。</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一标段：包含6站6区间及1座主变，6站分别为：许昌东站、永昌大道站、永兴东路站、昌盛路站、新元大道站、农大路站；6区间分别为：许昌东站～永昌大道站区间（含盾构区间）、永昌大道站～永兴东路站区间（含高架、U型槽、明挖及盾构区间）、永兴东路站～昌盛路站区间、昌盛路站～新元大道站区间、新元大道站～农大路站区间、农大路站～北苑大道站区间；1座主变为：永兴东路主变；投资额约为21.9亿元；</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标段：包含5站5区间、1个停车场和1座主变，5站分别为：北苑大道站、葛天大道站、颍川大道站、大周西站、华夏幸福城站；5区间分别为：北苑大道站～葛天大道站区间、葛天大道站～颖川大道站区间、颖川大道站～大周西站区间、大周西站～华夏幸福城站区间、华夏幸福城站～郑州、许昌市界区间；1个停车场为：梅庄停车场（含停车场出入场线)；1座主变为：颍川大道主变，投资额约为24.61亿元；</w:t>
      </w:r>
    </w:p>
    <w:p>
      <w:pPr>
        <w:spacing w:line="312"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第三标段：郑州机场至许昌市域铁路工程许昌段建设项目</w:t>
      </w:r>
      <w:r>
        <w:rPr>
          <w:rFonts w:hint="eastAsia" w:asciiTheme="minorEastAsia" w:hAnsiTheme="minorEastAsia" w:eastAsiaTheme="minorEastAsia"/>
          <w:sz w:val="24"/>
        </w:rPr>
        <w:t>工程“四电”</w:t>
      </w:r>
      <w:r>
        <w:rPr>
          <w:rFonts w:hint="eastAsia" w:cs="宋体" w:asciiTheme="minorEastAsia" w:hAnsiTheme="minorEastAsia" w:eastAsiaTheme="minorEastAsia"/>
          <w:sz w:val="24"/>
        </w:rPr>
        <w:t>（</w:t>
      </w:r>
      <w:r>
        <w:rPr>
          <w:rFonts w:hint="eastAsia" w:cs="宋体" w:asciiTheme="minorEastAsia" w:hAnsiTheme="minorEastAsia" w:eastAsiaTheme="minorEastAsia"/>
          <w:b/>
          <w:bCs/>
          <w:sz w:val="24"/>
        </w:rPr>
        <w:t>通信系统、信号系统、牵引供电系统、电力供电系统，下同</w:t>
      </w:r>
      <w:r>
        <w:rPr>
          <w:rFonts w:hint="eastAsia" w:cs="宋体" w:asciiTheme="minorEastAsia" w:hAnsiTheme="minorEastAsia" w:eastAsiaTheme="minorEastAsia"/>
          <w:sz w:val="24"/>
        </w:rPr>
        <w:t>）</w:t>
      </w:r>
      <w:r>
        <w:rPr>
          <w:rFonts w:hint="eastAsia" w:asciiTheme="minorEastAsia" w:hAnsiTheme="minorEastAsia" w:eastAsiaTheme="minorEastAsia"/>
          <w:sz w:val="24"/>
        </w:rPr>
        <w:t>等系统施工安装及相关系统供货商实施的全部工作的监理服务，</w:t>
      </w:r>
      <w:r>
        <w:rPr>
          <w:rFonts w:hint="eastAsia" w:cs="宋体" w:asciiTheme="minorEastAsia" w:hAnsiTheme="minorEastAsia" w:eastAsiaTheme="minorEastAsia"/>
          <w:sz w:val="24"/>
        </w:rPr>
        <w:t>投资额约为19.95亿元</w:t>
      </w:r>
      <w:r>
        <w:rPr>
          <w:rFonts w:hint="eastAsia" w:asciiTheme="minorEastAsia" w:hAnsiTheme="minorEastAsia" w:eastAsiaTheme="minorEastAsia"/>
          <w:sz w:val="24"/>
        </w:rPr>
        <w:t>。</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2.5招标范围：</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一标段：对应标段范围内的土建工程、轨道工程、人防工程、建筑装饰工程、部分系统设备采购及安装工程、车站范围内的动力和照明、通风空调、给排水及消防工程、导向系统、附属设施、车站附属设施（标志导向、路引系统）站前广场及停车场、车站绿化工程等与本工程相关的监理；</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二标段：对应标段范围内的土建工程、轨道工程、人防工程、建筑装饰工程、部分系统设备采购及安装工程、车站范围内的动力和照明、通风空调、给排水及消防工程、导向系统、附属设施、车站附属设施（标志导向、路引系统）站前广场及停车场、车站绿化工程等与本工程相关的监理；</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三标段：对应标段范围内的“四电”等系统施工安装及相关系统供货商实施的全部工作的监理服务，主要包括全线通信系统、信号系统、牵引供电系统、电力供电系统、主变电所及外部电源引入、接触网、动力照明及综合监控系统、防灾报警、环境与设备监控系统、安防与门禁系统、气体灭火系统、自动售检票系统、停车场设备、电扶梯系统、站台门系统、广告灯箱设备材料供货、检验、施工安装、调试、系统试运行等与本工程相关的监理。</w:t>
      </w:r>
    </w:p>
    <w:p>
      <w:pPr>
        <w:spacing w:line="312" w:lineRule="auto"/>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2.6监理服务期限：</w:t>
      </w:r>
      <w:r>
        <w:rPr>
          <w:rFonts w:hint="eastAsia" w:cs="宋体" w:asciiTheme="minorEastAsia" w:hAnsiTheme="minorEastAsia" w:eastAsiaTheme="minorEastAsia"/>
          <w:bCs/>
          <w:sz w:val="24"/>
        </w:rPr>
        <w:t>本工程的施工准备阶段、施工阶段及缺陷责任期结束且通过验收、移交及保修期内的全部监理服务。计划工期暂定38个月，缺陷责任期24个月。开始时间以招标人发出的进场通知书为准。</w:t>
      </w:r>
    </w:p>
    <w:p>
      <w:pPr>
        <w:widowControl/>
        <w:spacing w:line="312" w:lineRule="auto"/>
        <w:jc w:val="left"/>
        <w:rPr>
          <w:rFonts w:cs="宋体" w:asciiTheme="minorEastAsia" w:hAnsiTheme="minorEastAsia" w:eastAsiaTheme="minorEastAsia"/>
          <w:b/>
          <w:bCs/>
          <w:sz w:val="24"/>
        </w:rPr>
      </w:pPr>
      <w:bookmarkStart w:id="3" w:name="_Toc18655"/>
      <w:r>
        <w:rPr>
          <w:rFonts w:hint="eastAsia" w:cs="宋体" w:asciiTheme="minorEastAsia" w:hAnsiTheme="minorEastAsia" w:eastAsiaTheme="minorEastAsia"/>
          <w:b/>
          <w:bCs/>
          <w:sz w:val="24"/>
        </w:rPr>
        <w:t>3．投标人资格要求</w:t>
      </w:r>
      <w:bookmarkEnd w:id="3"/>
    </w:p>
    <w:p>
      <w:pPr>
        <w:spacing w:line="312"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3.1投标人应是在中华人民共和国境内注册的企业法人，且具有有效的企业法人营业执照。</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color w:val="000000"/>
          <w:sz w:val="24"/>
        </w:rPr>
        <w:t>3.2投标人须具备住</w:t>
      </w:r>
      <w:r>
        <w:rPr>
          <w:rFonts w:hint="eastAsia" w:cs="宋体" w:asciiTheme="minorEastAsia" w:hAnsiTheme="minorEastAsia" w:eastAsiaTheme="minorEastAsia"/>
          <w:sz w:val="24"/>
        </w:rPr>
        <w:t>房城乡建设主管部门颁发的工程监理综合资质</w:t>
      </w:r>
      <w:r>
        <w:rPr>
          <w:rStyle w:val="27"/>
          <w:rFonts w:hint="eastAsia" w:cs="宋体" w:asciiTheme="minorEastAsia" w:hAnsiTheme="minorEastAsia" w:eastAsiaTheme="minorEastAsia"/>
          <w:sz w:val="24"/>
          <w:szCs w:val="24"/>
        </w:rPr>
        <w:t>或</w:t>
      </w:r>
      <w:r>
        <w:rPr>
          <w:rFonts w:hint="eastAsia" w:cs="宋体" w:asciiTheme="minorEastAsia" w:hAnsiTheme="minorEastAsia" w:eastAsiaTheme="minorEastAsia"/>
          <w:bCs/>
          <w:kern w:val="0"/>
          <w:sz w:val="24"/>
        </w:rPr>
        <w:t>铁路工程监理甲级资质或市政公用工程监理甲级资质，且证书合法有效，资质许可的业务范围应满足本工程的需要。</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w:t>
      </w:r>
      <w:r>
        <w:rPr>
          <w:rFonts w:hint="eastAsia" w:cs="宋体" w:asciiTheme="minorEastAsia" w:hAnsiTheme="minorEastAsia" w:eastAsiaTheme="minorEastAsia"/>
          <w:bCs/>
        </w:rPr>
        <w:t>投标人拟派</w:t>
      </w:r>
      <w:r>
        <w:rPr>
          <w:rFonts w:hint="eastAsia" w:cs="宋体" w:asciiTheme="minorEastAsia" w:hAnsiTheme="minorEastAsia" w:eastAsiaTheme="minorEastAsia"/>
        </w:rPr>
        <w:t>项目总监理工程师资格：</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3.3.1投标人拟投第一、二标段的：投标人拟派项目总监理工程师须具备注册于投标人本单位的铁路工程或市政公用工程专业注册监理工程师资格，具有相关专业高级技术职称，至少担任过一项类似项目的总监理工程师职务，为投标人在职正式员工，与投标人单位签订了劳动合同，自投标文件递交截止时间之前，投标人已为其缴纳连续6个月及以上的养老保险，不得担任其他在建建设工程项目的总监理工程师；</w:t>
      </w:r>
    </w:p>
    <w:p>
      <w:pPr>
        <w:pStyle w:val="22"/>
        <w:widowControl w:val="0"/>
        <w:tabs>
          <w:tab w:val="left" w:pos="720"/>
          <w:tab w:val="left" w:pos="737"/>
          <w:tab w:val="left" w:pos="1135"/>
        </w:tabs>
        <w:autoSpaceDE w:val="0"/>
        <w:autoSpaceDN w:val="0"/>
        <w:adjustRightInd w:val="0"/>
        <w:spacing w:before="0" w:beforeAutospacing="0" w:after="0" w:afterAutospacing="0" w:line="312"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3.3.2投标人拟投第三标段的：投标人拟派项目总监理工程师须具备注册于投标人本单位的铁路工程或机电安装工程专业注册监理工程师资格，具有相关专业高级技术职称</w:t>
      </w:r>
      <w:r>
        <w:rPr>
          <w:rFonts w:hint="eastAsia" w:cs="宋体" w:asciiTheme="minorEastAsia" w:hAnsiTheme="minorEastAsia" w:eastAsiaTheme="minorEastAsia"/>
          <w:color w:val="000000"/>
        </w:rPr>
        <w:t>，至少担任过一项类似项目的总监理工程师职务，为投标人在职正式员工，与投标人单位签订了劳动合同，自投标文件递交截止时间之前，投标人已为其缴纳连续6个月及以上的养老保险，不得担任其他在建建设工程项目的总监理工程师。</w:t>
      </w:r>
    </w:p>
    <w:p>
      <w:pPr>
        <w:spacing w:line="312"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3.4业绩要求：</w:t>
      </w:r>
      <w:r>
        <w:rPr>
          <w:rFonts w:hint="eastAsia" w:cs="宋体" w:asciiTheme="minorEastAsia" w:hAnsiTheme="minorEastAsia" w:eastAsiaTheme="minorEastAsia"/>
          <w:sz w:val="24"/>
        </w:rPr>
        <w:t>投标人自2012年1月1日至今至少具有一项中华人民共和国境内合同金额1000万元人民币及以上类似项目监理业绩（不含联合体和分包合同）。</w:t>
      </w:r>
    </w:p>
    <w:p>
      <w:pPr>
        <w:spacing w:line="312" w:lineRule="auto"/>
        <w:ind w:firstLine="480" w:firstLineChars="200"/>
      </w:pPr>
      <w:r>
        <w:rPr>
          <w:rFonts w:hint="eastAsia" w:cs="宋体" w:asciiTheme="minorEastAsia" w:hAnsiTheme="minorEastAsia" w:eastAsiaTheme="minorEastAsia"/>
          <w:sz w:val="24"/>
        </w:rPr>
        <w:t>3.5单位负责人为同一人或者存在控股、管理关系的不同单位，不得同时参加同一标段投标，否则相关投标均无效。</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3.6信誉要求：投标人没有处于破产、被责令停产、停业、投标资格被限制状态。</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信用要求：根据执行《关于在招标投标活动中对失信被执行人实施联合惩戒的通知》法（2016）285号文件的规定，投标人在“信用中国”网站（www.creditchina.gov.cn）上，没有被列为“失信被执行人”、“重大税收违法案件当事人名单”、 “政府采购严重违法失信名单”。</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3.8财务要求：企业近三年财务状况良好，连续三年盈利，审计报告中无否定意见或无法表示意见，提供2014、2015、2016年度经会计师事务所审计后的财务报告。</w:t>
      </w:r>
    </w:p>
    <w:p>
      <w:pPr>
        <w:pStyle w:val="9"/>
        <w:spacing w:after="0"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3.9本次招标不接受联合体投标。</w:t>
      </w:r>
    </w:p>
    <w:p>
      <w:pPr>
        <w:pStyle w:val="9"/>
        <w:spacing w:after="0" w:line="312" w:lineRule="auto"/>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注：</w:t>
      </w:r>
      <w:r>
        <w:rPr>
          <w:rFonts w:hint="eastAsia" w:cs="宋体" w:asciiTheme="minorEastAsia" w:hAnsiTheme="minorEastAsia" w:eastAsiaTheme="minorEastAsia"/>
          <w:b/>
          <w:bCs/>
          <w:sz w:val="24"/>
        </w:rPr>
        <w:t>1）本招标项目第一标段类似项目指自2012年01月01日至投标截止时间前（以合同签订时间为准），依法招标的合同包含高架站、地下车站、盾构工法、明挖区间及高架区间的城市轨道交通工程或铁路工程土建施工监理项目，高架站、地下车站、盾构工法、明挖区间及高架区间不在同一个合同项下的可以累加，但一个合同只能累加一次；</w:t>
      </w:r>
    </w:p>
    <w:p>
      <w:pPr>
        <w:pStyle w:val="9"/>
        <w:spacing w:after="0" w:line="312"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本招标项目第二标段类似项目指自2012年01月01日至投标截止时间前（以合同签订时间为准），依法招标的合同包含高架站、高架区间及停车场的城市轨道交通工程或铁路工程土建施工监理项目，高架站、高架区间及停车场不在同一个合同项下的可以累加，但一个合同只能累加一次；</w:t>
      </w:r>
    </w:p>
    <w:p>
      <w:pPr>
        <w:pStyle w:val="9"/>
        <w:spacing w:after="0" w:line="312"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3）本招标项目第三标段类似项目指自2012年01月01日至投标截止时间前（以合同签订时间为准），依法招标的合同包含</w:t>
      </w:r>
      <w:r>
        <w:rPr>
          <w:rFonts w:hint="eastAsia" w:cs="宋体" w:asciiTheme="minorEastAsia" w:hAnsiTheme="minorEastAsia" w:eastAsiaTheme="minorEastAsia"/>
          <w:b/>
          <w:bCs/>
          <w:sz w:val="24"/>
        </w:rPr>
        <w:t>“四电”系统的城市轨道交通工程或铁路工程施工监理项目，“四电”系统不在同一个合同项下</w:t>
      </w:r>
      <w:r>
        <w:rPr>
          <w:rFonts w:hint="eastAsia" w:cs="宋体" w:asciiTheme="minorEastAsia" w:hAnsiTheme="minorEastAsia" w:eastAsiaTheme="minorEastAsia"/>
          <w:b/>
          <w:sz w:val="24"/>
        </w:rPr>
        <w:t>的可以累加，但一个合同只能累加一次。</w:t>
      </w:r>
    </w:p>
    <w:p>
      <w:pPr>
        <w:spacing w:line="312" w:lineRule="auto"/>
        <w:rPr>
          <w:rFonts w:cs="宋体" w:asciiTheme="minorEastAsia" w:hAnsiTheme="minorEastAsia" w:eastAsiaTheme="minorEastAsia"/>
          <w:b/>
          <w:bCs/>
          <w:sz w:val="24"/>
        </w:rPr>
      </w:pPr>
      <w:bookmarkStart w:id="4" w:name="_Toc12968"/>
      <w:r>
        <w:rPr>
          <w:rFonts w:hint="eastAsia" w:cs="宋体" w:asciiTheme="minorEastAsia" w:hAnsiTheme="minorEastAsia" w:eastAsiaTheme="minorEastAsia"/>
          <w:b/>
          <w:bCs/>
          <w:sz w:val="24"/>
        </w:rPr>
        <w:t>4.</w:t>
      </w:r>
      <w:bookmarkStart w:id="5" w:name="_Toc16386"/>
      <w:r>
        <w:rPr>
          <w:rFonts w:hint="eastAsia" w:cs="宋体" w:asciiTheme="minorEastAsia" w:hAnsiTheme="minorEastAsia" w:eastAsiaTheme="minorEastAsia"/>
          <w:b/>
          <w:bCs/>
          <w:sz w:val="24"/>
        </w:rPr>
        <w:t>网上下载招标文件</w:t>
      </w:r>
      <w:bookmarkEnd w:id="4"/>
    </w:p>
    <w:p>
      <w:pPr>
        <w:kinsoku w:val="0"/>
        <w:spacing w:line="312" w:lineRule="auto"/>
        <w:ind w:right="-252" w:rightChars="-120"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（二）在投标截止时间前登录【全国公共资源交易平台（河南省·许昌市）】“投标人/供应商登录”入口（http://221.14.6.70:8088/ggzy/）自行下载招标文件（详见“常见问题解答-交易系统操作手册”）。</w:t>
      </w:r>
    </w:p>
    <w:bookmarkEnd w:id="5"/>
    <w:p>
      <w:pPr>
        <w:spacing w:line="312" w:lineRule="auto"/>
        <w:ind w:firstLine="480" w:firstLineChars="200"/>
        <w:rPr>
          <w:rFonts w:cs="宋体" w:asciiTheme="minorEastAsia" w:hAnsiTheme="minorEastAsia" w:eastAsiaTheme="minorEastAsia"/>
          <w:sz w:val="24"/>
        </w:rPr>
      </w:pPr>
      <w:bookmarkStart w:id="6" w:name="_Toc4255"/>
      <w:bookmarkStart w:id="7" w:name="_Toc21181"/>
      <w:r>
        <w:rPr>
          <w:rFonts w:hint="eastAsia" w:cs="宋体" w:asciiTheme="minorEastAsia" w:hAnsiTheme="minorEastAsia" w:eastAsiaTheme="minorEastAsia"/>
          <w:sz w:val="24"/>
        </w:rPr>
        <w:t>（三）投标人在递交纸质投标文件时向代理公司缴纳招标文件费用，本项目招标文件费用为3</w:t>
      </w:r>
      <w:r>
        <w:rPr>
          <w:rFonts w:cs="宋体" w:asciiTheme="minorEastAsia" w:hAnsiTheme="minorEastAsia" w:eastAsiaTheme="minorEastAsia"/>
          <w:sz w:val="24"/>
        </w:rPr>
        <w:t>00元/套</w:t>
      </w:r>
      <w:r>
        <w:rPr>
          <w:rFonts w:hint="eastAsia" w:cs="宋体" w:asciiTheme="minorEastAsia" w:hAnsiTheme="minorEastAsia" w:eastAsiaTheme="minorEastAsia"/>
          <w:sz w:val="24"/>
        </w:rPr>
        <w:t>，售后不退。</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（四）未通过《全国公共资源交易平台(河南省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)》下载招标文件的投标人，其投标文件将拒收。</w:t>
      </w:r>
    </w:p>
    <w:p>
      <w:pPr>
        <w:spacing w:line="312" w:lineRule="auto"/>
        <w:rPr>
          <w:rFonts w:cs="宋体" w:asciiTheme="minorEastAsia" w:hAnsiTheme="minorEastAsia" w:eastAsiaTheme="minorEastAsia"/>
          <w:b/>
          <w:bCs/>
          <w:sz w:val="24"/>
        </w:rPr>
      </w:pPr>
      <w:bookmarkStart w:id="8" w:name="_Toc11010"/>
      <w:r>
        <w:rPr>
          <w:rFonts w:hint="eastAsia" w:cs="宋体" w:asciiTheme="minorEastAsia" w:hAnsiTheme="minorEastAsia" w:eastAsiaTheme="minorEastAsia"/>
          <w:b/>
          <w:bCs/>
          <w:sz w:val="24"/>
        </w:rPr>
        <w:t>5．投标文件的递交</w:t>
      </w:r>
      <w:bookmarkEnd w:id="6"/>
      <w:bookmarkEnd w:id="7"/>
      <w:bookmarkEnd w:id="8"/>
    </w:p>
    <w:p>
      <w:pPr>
        <w:spacing w:line="312" w:lineRule="auto"/>
        <w:ind w:firstLine="480" w:firstLineChars="200"/>
        <w:rPr>
          <w:rFonts w:cs="宋体" w:asciiTheme="minorEastAsia" w:hAnsiTheme="minorEastAsia" w:eastAsiaTheme="minorEastAsia"/>
          <w:sz w:val="24"/>
        </w:rPr>
      </w:pPr>
      <w:bookmarkStart w:id="9" w:name="_Toc16889"/>
      <w:bookmarkStart w:id="10" w:name="_Toc11662"/>
      <w:r>
        <w:rPr>
          <w:rFonts w:hint="eastAsia" w:cs="宋体" w:asciiTheme="minorEastAsia" w:hAnsiTheme="minorEastAsia" w:eastAsiaTheme="minorEastAsia"/>
          <w:sz w:val="24"/>
        </w:rPr>
        <w:t>（一）投标文件递交的截止时间及开标时间：2018年01月03日09时30分。</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（二）投标文件递交地点：许昌市公共资源交易中心（许昌市龙兴路竹林路交汇处公共资源大厦三楼）第一开标室。</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（三）逾期送达的或者未送达指定地点的投标文件，招标人不予受理。</w:t>
      </w:r>
    </w:p>
    <w:p>
      <w:pPr>
        <w:spacing w:line="312" w:lineRule="auto"/>
        <w:rPr>
          <w:rFonts w:cs="宋体" w:asciiTheme="minorEastAsia" w:hAnsiTheme="minorEastAsia" w:eastAsiaTheme="minorEastAsia"/>
          <w:b/>
          <w:bCs/>
          <w:sz w:val="24"/>
        </w:rPr>
      </w:pPr>
      <w:bookmarkStart w:id="11" w:name="_Toc23556"/>
      <w:r>
        <w:rPr>
          <w:rFonts w:hint="eastAsia" w:cs="宋体" w:asciiTheme="minorEastAsia" w:hAnsiTheme="minorEastAsia" w:eastAsiaTheme="minorEastAsia"/>
          <w:b/>
          <w:bCs/>
          <w:sz w:val="24"/>
        </w:rPr>
        <w:t>6．发布公告的媒介</w:t>
      </w:r>
      <w:bookmarkEnd w:id="9"/>
      <w:bookmarkEnd w:id="10"/>
      <w:bookmarkEnd w:id="11"/>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本公告同时在《中国采购与招标网》、《河南招标采购综合网》、</w:t>
      </w:r>
      <w:bookmarkStart w:id="12" w:name="_Toc1481"/>
      <w:bookmarkStart w:id="13" w:name="_Toc23152"/>
      <w:r>
        <w:rPr>
          <w:rFonts w:hint="eastAsia" w:cs="宋体" w:asciiTheme="minorEastAsia" w:hAnsiTheme="minorEastAsia" w:eastAsiaTheme="minorEastAsia"/>
          <w:sz w:val="24"/>
        </w:rPr>
        <w:t>《全国公共资源交易平台(河南省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)》上发布。</w:t>
      </w:r>
    </w:p>
    <w:p>
      <w:pPr>
        <w:spacing w:line="312" w:lineRule="auto"/>
        <w:rPr>
          <w:rFonts w:cs="宋体" w:asciiTheme="minorEastAsia" w:hAnsiTheme="minorEastAsia" w:eastAsiaTheme="minorEastAsia"/>
          <w:b/>
          <w:bCs/>
          <w:sz w:val="24"/>
        </w:rPr>
      </w:pPr>
      <w:bookmarkStart w:id="14" w:name="_Toc2363"/>
      <w:r>
        <w:rPr>
          <w:rFonts w:hint="eastAsia" w:cs="宋体" w:asciiTheme="minorEastAsia" w:hAnsiTheme="minorEastAsia" w:eastAsiaTheme="minorEastAsia"/>
          <w:b/>
          <w:bCs/>
          <w:sz w:val="24"/>
        </w:rPr>
        <w:t>7．联系方式</w:t>
      </w:r>
      <w:bookmarkEnd w:id="12"/>
      <w:bookmarkEnd w:id="13"/>
      <w:bookmarkEnd w:id="14"/>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招标人：许昌市建设投资有限责任公司</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址：许昌市魏文路与龙兴路交叉口创业服务中心A座19楼</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联系人：刘先生 常先生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  话：0374-2699366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招标代理机构：瑞和安惠项目管理集团有限公司                 </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址：郑州市金水区金水东路与东风南路交叉口绿地原盛国际1号楼A座12B层</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项目负责人：郭女士</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 系 人：郑女士  步女士  刘先生</w:t>
      </w:r>
    </w:p>
    <w:p>
      <w:pPr>
        <w:spacing w:line="312"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    话：0371-55001511  55001513  55001515</w:t>
      </w:r>
    </w:p>
    <w:p>
      <w:pPr>
        <w:spacing w:line="312" w:lineRule="auto"/>
        <w:ind w:firstLine="480" w:firstLineChars="200"/>
        <w:rPr>
          <w:rFonts w:cs="宋体" w:asciiTheme="minorEastAsia" w:hAnsiTheme="minorEastAsia" w:eastAsiaTheme="minorEastAsia"/>
          <w:sz w:val="24"/>
        </w:rPr>
      </w:pPr>
    </w:p>
    <w:p>
      <w:pPr>
        <w:pStyle w:val="9"/>
        <w:spacing w:after="0" w:line="312" w:lineRule="auto"/>
      </w:pPr>
    </w:p>
    <w:p>
      <w:pPr>
        <w:spacing w:line="312" w:lineRule="auto"/>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rPr>
        <w:t>许昌市建设投资有限责任公司</w:t>
      </w:r>
    </w:p>
    <w:p>
      <w:pPr>
        <w:pStyle w:val="9"/>
        <w:spacing w:after="0" w:line="312" w:lineRule="auto"/>
        <w:jc w:val="right"/>
        <w:rPr>
          <w:rFonts w:asciiTheme="minorEastAsia" w:hAnsiTheme="minorEastAsia" w:eastAsiaTheme="minorEastAsia"/>
          <w:sz w:val="24"/>
        </w:rPr>
      </w:pPr>
      <w:r>
        <w:rPr>
          <w:rFonts w:hint="eastAsia" w:cs="宋体" w:asciiTheme="minorEastAsia" w:hAnsiTheme="minorEastAsia" w:eastAsiaTheme="minorEastAsia"/>
          <w:sz w:val="24"/>
        </w:rPr>
        <w:t>2017年12月14日</w:t>
      </w:r>
    </w:p>
    <w:p>
      <w:pPr>
        <w:pStyle w:val="9"/>
      </w:pPr>
    </w:p>
    <w:p/>
    <w:p>
      <w:pPr>
        <w:pStyle w:val="9"/>
      </w:pPr>
    </w:p>
    <w:p>
      <w:pPr>
        <w:pStyle w:val="9"/>
      </w:pPr>
    </w:p>
    <w:p>
      <w:pPr>
        <w:pStyle w:val="9"/>
      </w:pPr>
    </w:p>
    <w:p>
      <w:pPr>
        <w:pStyle w:val="9"/>
      </w:pPr>
    </w:p>
    <w:p>
      <w:pPr>
        <w:pStyle w:val="9"/>
      </w:pPr>
    </w:p>
    <w:p>
      <w:pPr>
        <w:pStyle w:val="9"/>
      </w:pPr>
    </w:p>
    <w:p>
      <w:pPr>
        <w:pStyle w:val="3"/>
      </w:pPr>
      <w:bookmarkStart w:id="15" w:name="_Toc8989"/>
      <w:r>
        <w:rPr>
          <w:rFonts w:hint="eastAsia"/>
        </w:rPr>
        <w:t>第二章 投标人须知</w:t>
      </w:r>
      <w:bookmarkEnd w:id="15"/>
    </w:p>
    <w:p>
      <w:pPr>
        <w:pStyle w:val="2"/>
        <w:jc w:val="center"/>
      </w:pPr>
      <w:bookmarkStart w:id="16" w:name="_Toc5357"/>
      <w:r>
        <w:rPr>
          <w:rFonts w:hint="eastAsia"/>
        </w:rPr>
        <w:t>投标人须知前附表</w:t>
      </w:r>
      <w:bookmarkEnd w:id="16"/>
    </w:p>
    <w:tbl>
      <w:tblPr>
        <w:tblStyle w:val="28"/>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2"/>
        <w:gridCol w:w="1938"/>
        <w:gridCol w:w="290"/>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02"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招标人：许昌市建设投资有限责任公司</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  址：许昌市魏文路与龙兴路交叉口创业服务中心A座19楼</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联系人：刘先生 常先生 </w:t>
            </w:r>
          </w:p>
          <w:p>
            <w:pPr>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szCs w:val="21"/>
              </w:rPr>
              <w:t xml:space="preserve">电  话：0374-2699366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名称：瑞和安惠项目管理集团有限公司</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地址：郑州市金水区金水东路与东风南路交叉口绿地原盛国际1号楼A座12B层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项目负责人：郭女士</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联 系 人：郑女士  步女士  刘先生</w:t>
            </w:r>
          </w:p>
          <w:p>
            <w:pPr>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szCs w:val="21"/>
              </w:rPr>
              <w:t>电    话：0371-55001511、55001513 、55001515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工程名称</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郑州机场至许昌市域铁路工程许昌段建设项目(施工总承包)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项目</w:t>
            </w:r>
            <w:r>
              <w:rPr>
                <w:rFonts w:asciiTheme="minorEastAsia" w:hAnsiTheme="minorEastAsia" w:eastAsiaTheme="minorEastAsia"/>
                <w:szCs w:val="21"/>
              </w:rPr>
              <w:t>名称</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郑州机场至许昌市域铁路工程许昌段建设项目(施工总承包)监理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建设地点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许昌</w:t>
            </w:r>
            <w:r>
              <w:rPr>
                <w:rFonts w:asciiTheme="minorEastAsia" w:hAnsiTheme="minorEastAsia" w:eastAsiaTheme="minorEastAsia"/>
                <w:szCs w:val="21"/>
              </w:rPr>
              <w:t>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资金来源</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自筹</w:t>
            </w:r>
            <w:r>
              <w:rPr>
                <w:rFonts w:hint="eastAsia" w:asciiTheme="minorEastAsia" w:hAnsiTheme="minorEastAsia" w:eastAsiaTheme="minorEastAsia"/>
                <w:szCs w:val="21"/>
              </w:rPr>
              <w:t>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资金落实情况</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资金来源</w:t>
            </w:r>
            <w:r>
              <w:rPr>
                <w:rFonts w:asciiTheme="minorEastAsia" w:hAnsiTheme="minorEastAsia" w:eastAsiaTheme="minorEastAsia"/>
                <w:szCs w:val="21"/>
              </w:rPr>
              <w:t>已</w:t>
            </w:r>
            <w:r>
              <w:rPr>
                <w:rFonts w:hint="eastAsia" w:asciiTheme="minorEastAsia" w:hAnsiTheme="minorEastAsia" w:eastAsiaTheme="minorEastAsia"/>
                <w:szCs w:val="21"/>
              </w:rPr>
              <w:t>确定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标段划分及</w:t>
            </w:r>
            <w:r>
              <w:rPr>
                <w:rFonts w:asciiTheme="minorEastAsia" w:hAnsiTheme="minorEastAsia" w:eastAsiaTheme="minorEastAsia"/>
                <w:szCs w:val="21"/>
              </w:rPr>
              <w:t>招标范围</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监理服务期限</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投标人资格要求</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是否接受联合体投标</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踏勘现场</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分包</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偏离</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投标人要求澄清招标文件的截止时间</w:t>
            </w:r>
          </w:p>
        </w:tc>
        <w:tc>
          <w:tcPr>
            <w:tcW w:w="6102" w:type="dxa"/>
            <w:gridSpan w:val="2"/>
            <w:vAlign w:val="center"/>
          </w:tcPr>
          <w:p>
            <w:pPr>
              <w:kinsoku w:val="0"/>
              <w:autoSpaceDE w:val="0"/>
              <w:autoSpaceDN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递交投标文件的截止之日10日前，如有疑问，应在2017年12月24日17:00前登录《</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》，凭企业身份认证锁网上提交问题，要求招标人对招标文件予以澄清。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投标截止时间</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2018年01月03日09时30分（北京时间，下同）。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招标文件的修改</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u w:val="single"/>
              </w:rPr>
              <w:t>120</w:t>
            </w:r>
            <w:r>
              <w:rPr>
                <w:rFonts w:hint="eastAsia" w:asciiTheme="minorEastAsia" w:hAnsiTheme="minorEastAsia" w:eastAsiaTheme="minorEastAsia"/>
                <w:szCs w:val="21"/>
              </w:rPr>
              <w:t>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3.4.1.1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投标保证金须知</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1、因投标人的原因无法及时退还投标保证金、滞留三年以上的，投标（保证金上缴财政。</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2、自文件发布之日起，投标人需进行基本户备案（建设工程项目），已备案的基本户开户银行、账户发生变化的，须重新办理备案手续。备案后方可提交投标保证金。</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4、特殊情况处理</w:t>
            </w:r>
          </w:p>
          <w:p>
            <w:pPr>
              <w:adjustRightInd w:val="0"/>
              <w:spacing w:line="400" w:lineRule="exact"/>
              <w:textAlignment w:val="baseline"/>
              <w:rPr>
                <w:rFonts w:asciiTheme="minorEastAsia" w:hAnsiTheme="minorEastAsia" w:eastAsiaTheme="minorEastAsia"/>
                <w:szCs w:val="21"/>
                <w:u w:val="single"/>
              </w:rPr>
            </w:pPr>
            <w:r>
              <w:rPr>
                <w:rFonts w:hint="eastAsia" w:cs="宋体" w:asciiTheme="minorEastAsia" w:hAnsiTheme="minorEastAsia" w:eastAsiaTheme="minorEastAsia"/>
                <w:szCs w:val="21"/>
              </w:rPr>
              <w:t xml:space="preserve">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1.2</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6102" w:type="dxa"/>
            <w:gridSpan w:val="2"/>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投标保证金递交截止时间：投标截止时间前。</w:t>
            </w:r>
          </w:p>
          <w:p>
            <w:pPr>
              <w:spacing w:line="400" w:lineRule="exact"/>
              <w:rPr>
                <w:rFonts w:asciiTheme="minorEastAsia" w:hAnsiTheme="minorEastAsia" w:eastAsiaTheme="minorEastAsia"/>
                <w:b/>
                <w:szCs w:val="21"/>
              </w:rPr>
            </w:pPr>
            <w:r>
              <w:rPr>
                <w:rFonts w:asciiTheme="minorEastAsia" w:hAnsiTheme="minorEastAsia" w:eastAsiaTheme="minorEastAsia"/>
                <w:b/>
                <w:szCs w:val="21"/>
              </w:rPr>
              <w:t>投标保证金金额：</w:t>
            </w:r>
          </w:p>
          <w:p>
            <w:pPr>
              <w:spacing w:line="400" w:lineRule="exact"/>
              <w:rPr>
                <w:rFonts w:asciiTheme="minorEastAsia" w:hAnsiTheme="minorEastAsia" w:eastAsiaTheme="minorEastAsia"/>
                <w:bCs/>
                <w:szCs w:val="21"/>
              </w:rPr>
            </w:pPr>
            <w:r>
              <w:rPr>
                <w:rFonts w:hint="eastAsia" w:asciiTheme="minorEastAsia" w:hAnsiTheme="minorEastAsia" w:eastAsiaTheme="minorEastAsia"/>
                <w:b/>
                <w:szCs w:val="21"/>
              </w:rPr>
              <w:t>第一标段：</w:t>
            </w:r>
            <w:r>
              <w:rPr>
                <w:rFonts w:asciiTheme="minorEastAsia" w:hAnsiTheme="minorEastAsia" w:eastAsiaTheme="minorEastAsia"/>
                <w:szCs w:val="21"/>
              </w:rPr>
              <w:t>人民币</w:t>
            </w:r>
            <w:r>
              <w:rPr>
                <w:rFonts w:hint="eastAsia" w:asciiTheme="minorEastAsia" w:hAnsiTheme="minorEastAsia" w:eastAsiaTheme="minorEastAsia"/>
                <w:bCs/>
                <w:szCs w:val="21"/>
                <w:u w:val="single"/>
              </w:rPr>
              <w:t>40</w:t>
            </w:r>
            <w:r>
              <w:rPr>
                <w:rFonts w:asciiTheme="minorEastAsia" w:hAnsiTheme="minorEastAsia" w:eastAsiaTheme="minorEastAsia"/>
                <w:bCs/>
                <w:szCs w:val="21"/>
              </w:rPr>
              <w:t>万元</w:t>
            </w:r>
            <w:r>
              <w:rPr>
                <w:rFonts w:hint="eastAsia" w:asciiTheme="minorEastAsia" w:hAnsiTheme="minorEastAsia" w:eastAsiaTheme="minorEastAsia"/>
                <w:bCs/>
                <w:szCs w:val="21"/>
              </w:rPr>
              <w:t>，</w:t>
            </w:r>
            <w:r>
              <w:rPr>
                <w:rFonts w:hint="eastAsia" w:asciiTheme="minorEastAsia" w:hAnsiTheme="minorEastAsia" w:eastAsiaTheme="minorEastAsia"/>
                <w:b/>
                <w:szCs w:val="21"/>
              </w:rPr>
              <w:t>第二标段：</w:t>
            </w:r>
            <w:r>
              <w:rPr>
                <w:rFonts w:asciiTheme="minorEastAsia" w:hAnsiTheme="minorEastAsia" w:eastAsiaTheme="minorEastAsia"/>
                <w:szCs w:val="21"/>
              </w:rPr>
              <w:t>人民币</w:t>
            </w:r>
            <w:r>
              <w:rPr>
                <w:rFonts w:hint="eastAsia" w:asciiTheme="minorEastAsia" w:hAnsiTheme="minorEastAsia" w:eastAsiaTheme="minorEastAsia"/>
                <w:bCs/>
                <w:szCs w:val="21"/>
                <w:u w:val="single"/>
              </w:rPr>
              <w:t>40</w:t>
            </w:r>
            <w:r>
              <w:rPr>
                <w:rFonts w:asciiTheme="minorEastAsia" w:hAnsiTheme="minorEastAsia" w:eastAsiaTheme="minorEastAsia"/>
                <w:bCs/>
                <w:szCs w:val="21"/>
              </w:rPr>
              <w:t>万元</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1、投标保证金的递交方式：银行转帐、银行电汇（均需从投标人的基本账户汇出）。</w:t>
            </w:r>
          </w:p>
          <w:p>
            <w:pPr>
              <w:spacing w:line="400" w:lineRule="exac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保证金缴纳方式：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2.1投标人网上报名后，登录</w:t>
            </w:r>
            <w:r>
              <w:fldChar w:fldCharType="begin"/>
            </w:r>
            <w:r>
              <w:instrText xml:space="preserve"> HYPERLINK "http://221.14.6.70:8088/ggzy" </w:instrText>
            </w:r>
            <w:r>
              <w:fldChar w:fldCharType="separate"/>
            </w:r>
            <w:r>
              <w:rPr>
                <w:rFonts w:hint="eastAsia" w:cs="宋体" w:asciiTheme="minorEastAsia" w:hAnsiTheme="minorEastAsia" w:eastAsiaTheme="minorEastAsia"/>
                <w:szCs w:val="21"/>
              </w:rPr>
              <w:t>http://221.14.6.70:8088/ggzy</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系统，依次点击“会员向导”→“参与投标”→“费用缴纳说明”→“保证金缴纳说明单”，获取缴费说明单，根据每个标段的缴纳说明单在缴纳截止时间前缴纳；</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2.2成功缴纳后重新登录前述系统，依次点击“会员向导”→“参与投标”→“保证金绑定”→“绑定”进行投标保证金绑定。</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2.4 每个投标人每个项目每个标段只有唯一缴纳账号，切勿重复缴纳或错误缴纳。</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3、未按上述规定操作引起的无效投标，由投标人自行负责。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4、汇款凭证无须备注项目编号和项目名称。</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5、出现以下情形造成的投标保证金无效，由投标人自行负责。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(1)投标保证金未从投标人的基本账户转出；</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(2)投标保证金未按照招标文件划分的标段依次转账。</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6、《保证金缴纳绑定操作指南》获取方法：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登录全国公共资源交易平台（河南省</w:t>
            </w:r>
            <w:r>
              <w:rPr>
                <w:rFonts w:hint="eastAsia" w:ascii="MS Mincho" w:hAnsi="MS Mincho" w:eastAsia="MS Mincho" w:cs="MS Mincho"/>
                <w:szCs w:val="21"/>
              </w:rPr>
              <w:t>▪</w:t>
            </w:r>
            <w:r>
              <w:rPr>
                <w:rFonts w:hint="eastAsia" w:ascii="宋体" w:hAnsi="宋体" w:cs="宋体"/>
                <w:szCs w:val="21"/>
              </w:rPr>
              <w:t>许昌市）系统</w:t>
            </w:r>
            <w:r>
              <w:rPr>
                <w:rFonts w:hint="eastAsia" w:cs="宋体" w:asciiTheme="minorEastAsia" w:hAnsiTheme="minorEastAsia" w:eastAsiaTheme="minorEastAsia"/>
                <w:szCs w:val="21"/>
              </w:rPr>
              <w:t>-组件下载-《保证金缴纳绑定操作指南》</w:t>
            </w:r>
          </w:p>
          <w:p>
            <w:pPr>
              <w:spacing w:line="400" w:lineRule="exact"/>
              <w:rPr>
                <w:rFonts w:asciiTheme="minorEastAsia" w:hAnsiTheme="minorEastAsia" w:eastAsiaTheme="minorEastAsia"/>
                <w:bCs/>
                <w:szCs w:val="21"/>
              </w:rPr>
            </w:pPr>
            <w:r>
              <w:rPr>
                <w:rFonts w:hint="eastAsia" w:cs="宋体" w:asciiTheme="minorEastAsia" w:hAnsiTheme="minorEastAsia" w:eastAsiaTheme="minorEastAsia"/>
                <w:szCs w:val="21"/>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近三年</w:t>
            </w:r>
            <w:r>
              <w:rPr>
                <w:rFonts w:hint="eastAsia" w:asciiTheme="minorEastAsia" w:hAnsiTheme="minorEastAsia" w:eastAsiaTheme="minorEastAsia"/>
                <w:szCs w:val="21"/>
              </w:rPr>
              <w:t>度指2014年度、2015年度、2016年度。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近年安全、质量情况的年份要求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2012</w:t>
            </w:r>
            <w:r>
              <w:rPr>
                <w:rFonts w:asciiTheme="minorEastAsia" w:hAnsiTheme="minorEastAsia" w:eastAsiaTheme="minorEastAsia"/>
                <w:szCs w:val="21"/>
              </w:rPr>
              <w:t>年01月01日起至投标截止时间</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近年承担的类似</w:t>
            </w:r>
            <w:r>
              <w:rPr>
                <w:rFonts w:hint="eastAsia" w:asciiTheme="minorEastAsia" w:hAnsiTheme="minorEastAsia" w:eastAsiaTheme="minorEastAsia"/>
                <w:szCs w:val="21"/>
              </w:rPr>
              <w:t>项目业绩</w:t>
            </w:r>
            <w:r>
              <w:rPr>
                <w:rFonts w:asciiTheme="minorEastAsia" w:hAnsiTheme="minorEastAsia" w:eastAsiaTheme="minorEastAsia"/>
                <w:szCs w:val="21"/>
              </w:rPr>
              <w:t>的年份要求</w:t>
            </w:r>
          </w:p>
        </w:tc>
        <w:tc>
          <w:tcPr>
            <w:tcW w:w="6102" w:type="dxa"/>
            <w:gridSpan w:val="2"/>
            <w:vAlign w:val="center"/>
          </w:tcPr>
          <w:p>
            <w:pPr>
              <w:adjustRightInd w:val="0"/>
              <w:spacing w:line="400" w:lineRule="exact"/>
              <w:textAlignment w:val="baseline"/>
            </w:pPr>
            <w:r>
              <w:rPr>
                <w:rFonts w:hint="eastAsia"/>
              </w:rPr>
              <w:t>企业业绩时间要求：</w:t>
            </w:r>
          </w:p>
          <w:p>
            <w:pPr>
              <w:adjustRightInd w:val="0"/>
              <w:spacing w:line="400" w:lineRule="exact"/>
              <w:textAlignment w:val="baseline"/>
            </w:pPr>
            <w:r>
              <w:rPr>
                <w:rFonts w:hint="eastAsia"/>
              </w:rPr>
              <w:t>2012</w:t>
            </w:r>
            <w:r>
              <w:t>年01月01日起至投标截止时间</w:t>
            </w:r>
            <w:r>
              <w:rPr>
                <w:rFonts w:hint="eastAsia"/>
              </w:rPr>
              <w:t>（以合同签订时间为准）。</w:t>
            </w:r>
          </w:p>
          <w:p>
            <w:pPr>
              <w:pStyle w:val="2"/>
              <w:rPr>
                <w:rFonts w:ascii="Times New Roman" w:hAnsi="Times New Roman" w:eastAsia="宋体" w:cs="Times New Roman"/>
                <w:b w:val="0"/>
                <w:bCs w:val="0"/>
                <w:sz w:val="21"/>
              </w:rPr>
            </w:pPr>
            <w:bookmarkStart w:id="17" w:name="_Toc31973"/>
            <w:bookmarkStart w:id="18" w:name="_Toc5381"/>
            <w:bookmarkStart w:id="19" w:name="_Toc13448"/>
            <w:r>
              <w:rPr>
                <w:rFonts w:hint="eastAsia" w:ascii="Times New Roman" w:hAnsi="Times New Roman" w:eastAsia="宋体" w:cs="Times New Roman"/>
                <w:b w:val="0"/>
                <w:bCs w:val="0"/>
                <w:sz w:val="21"/>
              </w:rPr>
              <w:t>总监理工程师及总监理工程师代表业绩时间要求：</w:t>
            </w:r>
            <w:bookmarkEnd w:id="17"/>
            <w:bookmarkEnd w:id="18"/>
            <w:bookmarkEnd w:id="19"/>
          </w:p>
          <w:p>
            <w:pPr>
              <w:pStyle w:val="2"/>
            </w:pPr>
            <w:bookmarkStart w:id="20" w:name="_Toc26117"/>
            <w:bookmarkStart w:id="21" w:name="_Toc4512"/>
            <w:bookmarkStart w:id="22" w:name="_Toc22836"/>
            <w:r>
              <w:rPr>
                <w:rFonts w:hint="eastAsia" w:ascii="Times New Roman" w:hAnsi="Times New Roman" w:eastAsia="宋体" w:cs="Times New Roman"/>
                <w:b w:val="0"/>
                <w:bCs w:val="0"/>
                <w:sz w:val="21"/>
              </w:rPr>
              <w:t>2007年01月01日起至投标截止时间（以合同签订时间为准）</w:t>
            </w:r>
            <w:bookmarkEnd w:id="20"/>
            <w:bookmarkEnd w:id="21"/>
            <w:r>
              <w:rPr>
                <w:rFonts w:hint="eastAsia" w:ascii="Times New Roman" w:hAnsi="Times New Roman" w:eastAsia="宋体" w:cs="Times New Roman"/>
                <w:b w:val="0"/>
                <w:bCs w:val="0"/>
                <w:sz w:val="21"/>
              </w:rPr>
              <w:t>。</w:t>
            </w:r>
            <w:bookmarkEnd w:id="2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7</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近年发生的诉讼及仲裁情况的年份要求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2014</w:t>
            </w:r>
            <w:r>
              <w:rPr>
                <w:rFonts w:asciiTheme="minorEastAsia" w:hAnsiTheme="minorEastAsia" w:eastAsiaTheme="minorEastAsia"/>
                <w:szCs w:val="21"/>
              </w:rPr>
              <w:t>年01月01日起至投标截止时间</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按照招标文件对投标文件格式的要求签字或盖章。盖章指加盖单位公章；签字指由法人代表或其委托代理人签字；法定代表人盖章指盖法定代表人章。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投标文件份数</w:t>
            </w:r>
          </w:p>
        </w:tc>
        <w:tc>
          <w:tcPr>
            <w:tcW w:w="6102" w:type="dxa"/>
            <w:gridSpan w:val="2"/>
            <w:vAlign w:val="center"/>
          </w:tcPr>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纸质文件：正本</w:t>
            </w:r>
            <w:r>
              <w:rPr>
                <w:rFonts w:hint="eastAsia"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套，副本</w:t>
            </w:r>
            <w:r>
              <w:rPr>
                <w:rFonts w:hint="eastAsia" w:cs="宋体" w:asciiTheme="minorEastAsia" w:hAnsiTheme="minorEastAsia" w:eastAsiaTheme="minorEastAsia"/>
                <w:kern w:val="0"/>
                <w:szCs w:val="21"/>
                <w:u w:val="single"/>
              </w:rPr>
              <w:t xml:space="preserve"> 6 </w:t>
            </w:r>
            <w:r>
              <w:rPr>
                <w:rFonts w:hint="eastAsia" w:cs="宋体" w:asciiTheme="minorEastAsia" w:hAnsiTheme="minorEastAsia" w:eastAsiaTheme="minorEastAsia"/>
                <w:kern w:val="0"/>
                <w:szCs w:val="21"/>
              </w:rPr>
              <w:t>套</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电子文件：要求，投标单位需提供投标文件正本全部内容的电子版(U盘)。</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投标文件电子版内容：投标文件正本全部内容</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投标文件电子版份数：</w:t>
            </w:r>
            <w:r>
              <w:rPr>
                <w:rFonts w:hint="eastAsia" w:cs="宋体" w:asciiTheme="minorEastAsia" w:hAnsiTheme="minorEastAsia" w:eastAsiaTheme="minorEastAsia"/>
                <w:kern w:val="0"/>
                <w:szCs w:val="21"/>
                <w:u w:val="single"/>
              </w:rPr>
              <w:t xml:space="preserve">  2份  </w:t>
            </w:r>
            <w:r>
              <w:rPr>
                <w:rFonts w:hint="eastAsia" w:cs="宋体" w:asciiTheme="minorEastAsia" w:hAnsiTheme="minorEastAsia" w:eastAsiaTheme="minorEastAsia"/>
                <w:kern w:val="0"/>
                <w:szCs w:val="21"/>
              </w:rPr>
              <w:t xml:space="preserve">； </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投标文件电子版形式：WORD或EXCEL格式电子文档，并保证能正常打开。</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投标文件电子版密封方式：2份电子版分别单独密封，加贴封条，并在封套封口处加盖投标人单位章，在封套上标记“投标文件电子版”字样。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装订要求</w:t>
            </w:r>
          </w:p>
        </w:tc>
        <w:tc>
          <w:tcPr>
            <w:tcW w:w="6102" w:type="dxa"/>
            <w:gridSpan w:val="2"/>
            <w:vAlign w:val="center"/>
          </w:tcPr>
          <w:p>
            <w:pPr>
              <w:adjustRightInd w:val="0"/>
              <w:spacing w:line="400" w:lineRule="exact"/>
              <w:textAlignment w:val="baseline"/>
              <w:rPr>
                <w:rFonts w:asciiTheme="minorEastAsia" w:hAnsiTheme="minorEastAsia" w:eastAsiaTheme="minorEastAsia"/>
                <w:b/>
                <w:szCs w:val="21"/>
              </w:rPr>
            </w:pPr>
            <w:r>
              <w:rPr>
                <w:rFonts w:hint="eastAsia" w:asciiTheme="minorEastAsia" w:hAnsiTheme="minorEastAsia" w:eastAsiaTheme="minorEastAsia"/>
                <w:b/>
                <w:szCs w:val="21"/>
              </w:rPr>
              <w:t>本项目划分为3个标段，且投标人投多个标段时，应按标段分别编制并递交各个标段的投标文件。</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投标文件正本和副本均应采用胶粘方式装订，不得采用活页夹等可随时拆换的方式装订，否则视为无效标书。提倡软皮封面、双面打印，编制目录及连续页码。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密封要求</w:t>
            </w:r>
          </w:p>
        </w:tc>
        <w:tc>
          <w:tcPr>
            <w:tcW w:w="6102" w:type="dxa"/>
            <w:gridSpan w:val="2"/>
            <w:vAlign w:val="center"/>
          </w:tcPr>
          <w:p>
            <w:pPr>
              <w:spacing w:line="400" w:lineRule="exact"/>
              <w:rPr>
                <w:rFonts w:asciiTheme="minorEastAsia" w:hAnsiTheme="minorEastAsia" w:eastAsiaTheme="minorEastAsia"/>
                <w:szCs w:val="21"/>
              </w:rPr>
            </w:pPr>
            <w:bookmarkStart w:id="23" w:name="_Toc270670958"/>
            <w:bookmarkStart w:id="24" w:name="_Toc271529612"/>
            <w:bookmarkStart w:id="25" w:name="_Toc270601507"/>
            <w:r>
              <w:rPr>
                <w:rFonts w:asciiTheme="minorEastAsia" w:hAnsiTheme="minorEastAsia" w:eastAsiaTheme="minorEastAsia"/>
                <w:szCs w:val="21"/>
              </w:rPr>
              <w:t>投标文件的正本、副本一起包装，加贴封条，并在封套的封口处加盖投标人单位公章。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投标文件的电子版一起包装，</w:t>
            </w:r>
            <w:r>
              <w:rPr>
                <w:rFonts w:asciiTheme="minorEastAsia" w:hAnsiTheme="minorEastAsia" w:eastAsiaTheme="minorEastAsia"/>
                <w:szCs w:val="21"/>
              </w:rPr>
              <w:t>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原件单独包装，随投标文件一起递交，附原件清单，</w:t>
            </w:r>
            <w:r>
              <w:rPr>
                <w:rFonts w:asciiTheme="minorEastAsia" w:hAnsiTheme="minorEastAsia" w:eastAsiaTheme="minorEastAsia"/>
                <w:szCs w:val="21"/>
              </w:rPr>
              <w:t>加贴封条，并在封套的封口处加盖投标人单位公章</w:t>
            </w:r>
            <w:r>
              <w:rPr>
                <w:rFonts w:hint="eastAsia" w:asciiTheme="minorEastAsia" w:hAnsiTheme="minorEastAsia" w:eastAsiaTheme="minorEastAsia"/>
                <w:b/>
                <w:szCs w:val="21"/>
              </w:rPr>
              <w:t>（投多个标段的投标人，原件密封在一个包装袋内）</w:t>
            </w:r>
            <w:r>
              <w:rPr>
                <w:rFonts w:asciiTheme="minorEastAsia" w:hAnsiTheme="minorEastAsia" w:eastAsiaTheme="minorEastAsia"/>
                <w:szCs w:val="21"/>
              </w:rPr>
              <w:t>。</w:t>
            </w:r>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封套上写明</w:t>
            </w:r>
          </w:p>
        </w:tc>
        <w:tc>
          <w:tcPr>
            <w:tcW w:w="6102" w:type="dxa"/>
            <w:gridSpan w:val="2"/>
            <w:vAlign w:val="center"/>
          </w:tcPr>
          <w:p>
            <w:pPr>
              <w:adjustRightInd w:val="0"/>
              <w:spacing w:line="400" w:lineRule="exact"/>
              <w:ind w:firstLine="2" w:firstLineChars="1"/>
              <w:textAlignment w:val="baseline"/>
              <w:rPr>
                <w:rFonts w:asciiTheme="minorEastAsia" w:hAnsiTheme="minorEastAsia" w:eastAsiaTheme="minorEastAsia"/>
                <w:szCs w:val="21"/>
              </w:rPr>
            </w:pPr>
            <w:r>
              <w:rPr>
                <w:rFonts w:asciiTheme="minorEastAsia" w:hAnsiTheme="minorEastAsia" w:eastAsiaTheme="minorEastAsia"/>
                <w:szCs w:val="21"/>
              </w:rPr>
              <w:t>招标人的地址：</w:t>
            </w:r>
            <w:r>
              <w:rPr>
                <w:rFonts w:hint="eastAsia" w:asciiTheme="minorEastAsia" w:hAnsiTheme="minorEastAsia" w:eastAsiaTheme="minorEastAsia"/>
                <w:szCs w:val="21"/>
              </w:rPr>
              <w:t>许昌市魏文路与龙兴路交叉口创业服务中心A座19楼</w:t>
            </w:r>
          </w:p>
          <w:p>
            <w:pPr>
              <w:adjustRightInd w:val="0"/>
              <w:spacing w:line="400" w:lineRule="exact"/>
              <w:ind w:firstLine="2" w:firstLineChars="1"/>
              <w:textAlignment w:val="baseline"/>
              <w:rPr>
                <w:rFonts w:asciiTheme="minorEastAsia" w:hAnsiTheme="minorEastAsia" w:eastAsiaTheme="minorEastAsia"/>
                <w:szCs w:val="21"/>
              </w:rPr>
            </w:pPr>
            <w:r>
              <w:rPr>
                <w:rFonts w:asciiTheme="minorEastAsia" w:hAnsiTheme="minorEastAsia" w:eastAsiaTheme="minorEastAsia"/>
                <w:szCs w:val="21"/>
              </w:rPr>
              <w:t>招标人名称：</w:t>
            </w:r>
            <w:r>
              <w:rPr>
                <w:rFonts w:hint="eastAsia" w:asciiTheme="minorEastAsia" w:hAnsiTheme="minorEastAsia" w:eastAsiaTheme="minorEastAsia"/>
                <w:szCs w:val="21"/>
              </w:rPr>
              <w:t>许昌市建设投资有限责任公司</w:t>
            </w:r>
          </w:p>
          <w:p>
            <w:pPr>
              <w:adjustRightInd w:val="0"/>
              <w:spacing w:line="400" w:lineRule="exact"/>
              <w:ind w:firstLine="2" w:firstLineChars="1"/>
              <w:textAlignment w:val="baseline"/>
              <w:rPr>
                <w:rFonts w:asciiTheme="minorEastAsia" w:hAnsiTheme="minorEastAsia" w:eastAsiaTheme="minorEastAsia"/>
                <w:szCs w:val="21"/>
              </w:rPr>
            </w:pPr>
            <w:r>
              <w:rPr>
                <w:rFonts w:hint="eastAsia" w:asciiTheme="minorEastAsia" w:hAnsiTheme="minorEastAsia" w:eastAsiaTheme="minorEastAsia"/>
                <w:szCs w:val="21"/>
              </w:rPr>
              <w:t>投标人名称：</w:t>
            </w:r>
          </w:p>
          <w:p>
            <w:pPr>
              <w:adjustRightInd w:val="0"/>
              <w:spacing w:line="400" w:lineRule="exact"/>
              <w:ind w:firstLine="2" w:firstLineChars="1"/>
              <w:textAlignment w:val="baseline"/>
              <w:rPr>
                <w:rFonts w:asciiTheme="minorEastAsia" w:hAnsiTheme="minorEastAsia" w:eastAsiaTheme="minorEastAsia"/>
                <w:szCs w:val="21"/>
              </w:rPr>
            </w:pPr>
            <w:r>
              <w:rPr>
                <w:rFonts w:hint="eastAsia" w:asciiTheme="minorEastAsia" w:hAnsiTheme="minorEastAsia" w:eastAsiaTheme="minorEastAsia"/>
                <w:szCs w:val="21"/>
                <w:u w:val="single"/>
              </w:rPr>
              <w:t>郑州机场至许昌市域铁路工程许昌段建设项目(施工总承包)监理第   标段</w:t>
            </w:r>
            <w:r>
              <w:rPr>
                <w:rFonts w:asciiTheme="minorEastAsia" w:hAnsiTheme="minorEastAsia" w:eastAsiaTheme="minorEastAsia"/>
                <w:szCs w:val="21"/>
              </w:rPr>
              <w:t>投标文件</w:t>
            </w:r>
          </w:p>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在</w:t>
            </w:r>
            <w:r>
              <w:rPr>
                <w:rFonts w:hint="eastAsia" w:asciiTheme="minorEastAsia" w:hAnsiTheme="minorEastAsia" w:eastAsiaTheme="minorEastAsia"/>
                <w:szCs w:val="21"/>
                <w:u w:val="single"/>
              </w:rPr>
              <w:t>2018</w:t>
            </w:r>
            <w:r>
              <w:rPr>
                <w:rFonts w:asciiTheme="minorEastAsia" w:hAnsiTheme="minorEastAsia" w:eastAsiaTheme="minorEastAsia"/>
                <w:szCs w:val="21"/>
              </w:rPr>
              <w:t>年</w:t>
            </w:r>
            <w:r>
              <w:rPr>
                <w:rFonts w:hint="eastAsia" w:asciiTheme="minorEastAsia" w:hAnsiTheme="minorEastAsia" w:eastAsiaTheme="minorEastAsia"/>
                <w:szCs w:val="21"/>
              </w:rPr>
              <w:t>01</w:t>
            </w:r>
            <w:r>
              <w:rPr>
                <w:rFonts w:asciiTheme="minorEastAsia" w:hAnsiTheme="minorEastAsia" w:eastAsiaTheme="minorEastAsia"/>
                <w:szCs w:val="21"/>
              </w:rPr>
              <w:t>月</w:t>
            </w:r>
            <w:r>
              <w:rPr>
                <w:rFonts w:hint="eastAsia" w:asciiTheme="minorEastAsia" w:hAnsiTheme="minorEastAsia" w:eastAsiaTheme="minorEastAsia"/>
                <w:szCs w:val="21"/>
              </w:rPr>
              <w:t>03</w:t>
            </w:r>
            <w:r>
              <w:rPr>
                <w:rFonts w:asciiTheme="minorEastAsia" w:hAnsiTheme="minorEastAsia" w:eastAsiaTheme="minorEastAsia"/>
                <w:szCs w:val="21"/>
              </w:rPr>
              <w:t>日</w:t>
            </w:r>
            <w:r>
              <w:rPr>
                <w:rFonts w:hint="eastAsia" w:asciiTheme="minorEastAsia" w:hAnsiTheme="minorEastAsia" w:eastAsiaTheme="minorEastAsia"/>
                <w:szCs w:val="21"/>
              </w:rPr>
              <w:t>09</w:t>
            </w:r>
            <w:r>
              <w:rPr>
                <w:rFonts w:asciiTheme="minorEastAsia" w:hAnsiTheme="minorEastAsia" w:eastAsiaTheme="minorEastAsia"/>
                <w:szCs w:val="21"/>
              </w:rPr>
              <w:t>时</w:t>
            </w:r>
            <w:r>
              <w:rPr>
                <w:rFonts w:hint="eastAsia" w:asciiTheme="minorEastAsia" w:hAnsiTheme="minorEastAsia" w:eastAsiaTheme="minorEastAsia"/>
                <w:szCs w:val="21"/>
              </w:rPr>
              <w:t>30</w:t>
            </w:r>
            <w:r>
              <w:rPr>
                <w:rFonts w:asciiTheme="minorEastAsia" w:hAnsiTheme="minorEastAsia" w:eastAsiaTheme="minorEastAsia"/>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02" w:type="dxa"/>
            <w:gridSpan w:val="2"/>
            <w:vAlign w:val="cente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许昌市公共资源交易中心第一开标室（许昌市龙兴路与竹林路交汇处公共资源大厦三楼）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开标时间：同投标截止时间</w:t>
            </w:r>
          </w:p>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开标地点：</w:t>
            </w:r>
            <w:r>
              <w:rPr>
                <w:rFonts w:hint="eastAsia" w:asciiTheme="minorEastAsia" w:hAnsiTheme="minorEastAsia" w:eastAsiaTheme="minorEastAsia"/>
                <w:szCs w:val="21"/>
              </w:rPr>
              <w:t>许昌市公共资源交易中心</w:t>
            </w:r>
            <w:r>
              <w:rPr>
                <w:rFonts w:hint="eastAsia" w:cs="宋体" w:asciiTheme="minorEastAsia" w:hAnsiTheme="minorEastAsia" w:eastAsiaTheme="minorEastAsia"/>
                <w:szCs w:val="21"/>
              </w:rPr>
              <w:t>第一</w:t>
            </w:r>
            <w:r>
              <w:rPr>
                <w:rFonts w:hint="eastAsia" w:asciiTheme="minorEastAsia" w:hAnsiTheme="minorEastAsia" w:eastAsiaTheme="minorEastAsia"/>
                <w:szCs w:val="21"/>
              </w:rPr>
              <w:t>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（4）密封情况检查：由投标人法定代表人或其授权委托人检查投标文件的密封情况；投标人的法定代表人或其授权委托人在密封情况检查表上签字确认。</w:t>
            </w:r>
          </w:p>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（5）开标顺序：按投标人递交投标文件逆顺序（先递交的后开，后递交的先开）。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6.1.1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rPr>
              <w:t>7</w:t>
            </w:r>
            <w:r>
              <w:rPr>
                <w:rFonts w:asciiTheme="minorEastAsia" w:hAnsiTheme="minorEastAsia" w:eastAsiaTheme="minorEastAsia"/>
                <w:szCs w:val="21"/>
              </w:rPr>
              <w:t>人</w:t>
            </w:r>
            <w:r>
              <w:rPr>
                <w:rFonts w:hint="eastAsia" w:asciiTheme="minorEastAsia" w:hAnsiTheme="minorEastAsia" w:eastAsiaTheme="minorEastAsia"/>
                <w:szCs w:val="21"/>
              </w:rPr>
              <w:t>；其中：</w:t>
            </w:r>
            <w:r>
              <w:rPr>
                <w:rFonts w:asciiTheme="minorEastAsia" w:hAnsiTheme="minorEastAsia" w:eastAsiaTheme="minorEastAsia"/>
                <w:szCs w:val="21"/>
              </w:rPr>
              <w:t>招标人代表</w:t>
            </w:r>
            <w:r>
              <w:rPr>
                <w:rFonts w:hint="eastAsia" w:asciiTheme="minorEastAsia" w:hAnsiTheme="minorEastAsia" w:eastAsiaTheme="minorEastAsia"/>
                <w:szCs w:val="21"/>
                <w:u w:val="single"/>
              </w:rPr>
              <w:t>2</w:t>
            </w:r>
            <w:r>
              <w:rPr>
                <w:rFonts w:asciiTheme="minorEastAsia" w:hAnsiTheme="minorEastAsia" w:eastAsiaTheme="minorEastAsia"/>
                <w:szCs w:val="21"/>
              </w:rPr>
              <w:t>人、技术</w:t>
            </w:r>
            <w:r>
              <w:rPr>
                <w:rFonts w:hint="eastAsia" w:asciiTheme="minorEastAsia" w:hAnsiTheme="minorEastAsia" w:eastAsiaTheme="minorEastAsia"/>
                <w:szCs w:val="21"/>
              </w:rPr>
              <w:t>、</w:t>
            </w:r>
            <w:r>
              <w:rPr>
                <w:rFonts w:asciiTheme="minorEastAsia" w:hAnsiTheme="minorEastAsia" w:eastAsiaTheme="minorEastAsia"/>
                <w:szCs w:val="21"/>
              </w:rPr>
              <w:t>经济专家</w:t>
            </w:r>
            <w:r>
              <w:rPr>
                <w:rFonts w:hint="eastAsia" w:asciiTheme="minorEastAsia" w:hAnsiTheme="minorEastAsia" w:eastAsiaTheme="minorEastAsia"/>
                <w:szCs w:val="21"/>
                <w:u w:val="single"/>
              </w:rPr>
              <w:t>5</w:t>
            </w:r>
            <w:r>
              <w:rPr>
                <w:rFonts w:asciiTheme="minorEastAsia" w:hAnsiTheme="minorEastAsia" w:eastAsiaTheme="minorEastAsia"/>
                <w:szCs w:val="21"/>
              </w:rPr>
              <w:t>人。</w:t>
            </w:r>
          </w:p>
          <w:p>
            <w:pPr>
              <w:pStyle w:val="2"/>
            </w:pPr>
            <w:bookmarkStart w:id="26" w:name="_Toc25170"/>
            <w:bookmarkStart w:id="27" w:name="_Toc24283"/>
            <w:bookmarkStart w:id="28" w:name="_Toc29635"/>
            <w:r>
              <w:rPr>
                <w:sz w:val="21"/>
                <w:szCs w:val="21"/>
              </w:rPr>
              <w:t>评标专家确定方式：</w:t>
            </w:r>
            <w:r>
              <w:rPr>
                <w:sz w:val="21"/>
                <w:szCs w:val="21"/>
                <w:u w:val="single"/>
              </w:rPr>
              <w:t>从</w:t>
            </w:r>
            <w:r>
              <w:rPr>
                <w:rFonts w:hint="eastAsia"/>
                <w:sz w:val="21"/>
                <w:szCs w:val="21"/>
                <w:u w:val="single"/>
              </w:rPr>
              <w:t>河南省综合评标</w:t>
            </w:r>
            <w:r>
              <w:rPr>
                <w:sz w:val="21"/>
                <w:szCs w:val="21"/>
                <w:u w:val="single"/>
              </w:rPr>
              <w:t>专家库</w:t>
            </w:r>
            <w:r>
              <w:rPr>
                <w:rFonts w:hint="eastAsia"/>
                <w:sz w:val="21"/>
                <w:szCs w:val="21"/>
                <w:u w:val="single"/>
              </w:rPr>
              <w:t>中随机</w:t>
            </w:r>
            <w:r>
              <w:rPr>
                <w:sz w:val="21"/>
                <w:szCs w:val="21"/>
                <w:u w:val="single"/>
              </w:rPr>
              <w:t>抽取</w:t>
            </w:r>
            <w:r>
              <w:rPr>
                <w:sz w:val="21"/>
                <w:szCs w:val="21"/>
              </w:rPr>
              <w:t>。</w:t>
            </w:r>
            <w:bookmarkEnd w:id="26"/>
            <w:bookmarkEnd w:id="27"/>
            <w:bookmarkEnd w:id="2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否，推荐的中标候选人数：</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3</w:t>
            </w:r>
            <w:r>
              <w:rPr>
                <w:rFonts w:hint="eastAsia" w:asciiTheme="minorEastAsia" w:hAnsiTheme="minorEastAsia" w:eastAsiaTheme="minorEastAsia"/>
                <w:szCs w:val="21"/>
              </w:rPr>
              <w:t>名</w:t>
            </w:r>
          </w:p>
          <w:p>
            <w:pPr>
              <w:spacing w:line="40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本招标项目第一至第三标段中，投标人可报名任意标段，但最多允许中标1个标段。</w:t>
            </w:r>
          </w:p>
          <w:p>
            <w:pPr>
              <w:spacing w:line="40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.本项目按照第一至第三标段自然顺序推荐中标候选人。</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3.如果同一投标人同时在多个标段评审中综合评分均排名第一时，按照其在《投标函》中承诺的顺序选择一个标段作为该标段的第一中标候选人，并自动放弃其他标段的中标候选人资格，其他标段排名依次递补。</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4.如果投标人被推荐为1个标段的第一中标候选人，视为放弃其他标段的中标候选人资格，其他标段排名依次递补。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7.3.1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履约担保</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履约保证金递交方式：现金或保函形式递交；</w:t>
            </w:r>
            <w:r>
              <w:rPr>
                <w:rFonts w:asciiTheme="minorEastAsia" w:hAnsiTheme="minorEastAsia" w:eastAsiaTheme="minorEastAsia"/>
                <w:szCs w:val="21"/>
              </w:rPr>
              <w:t>如为保函形式，</w:t>
            </w:r>
            <w:r>
              <w:rPr>
                <w:rFonts w:hint="eastAsia" w:asciiTheme="minorEastAsia" w:hAnsiTheme="minorEastAsia" w:eastAsiaTheme="minorEastAsia"/>
                <w:szCs w:val="21"/>
              </w:rPr>
              <w:t>应由银行开具</w:t>
            </w:r>
            <w:r>
              <w:rPr>
                <w:rFonts w:asciiTheme="minorEastAsia" w:hAnsiTheme="minorEastAsia" w:eastAsiaTheme="minorEastAsia"/>
                <w:szCs w:val="21"/>
              </w:rPr>
              <w:t>，</w:t>
            </w:r>
            <w:r>
              <w:rPr>
                <w:rFonts w:hint="eastAsia" w:asciiTheme="minorEastAsia" w:hAnsiTheme="minorEastAsia" w:eastAsiaTheme="minorEastAsia"/>
                <w:szCs w:val="21"/>
              </w:rPr>
              <w:t>格式应参照招标文件中给定的格式或经委托人批准的格式</w:t>
            </w:r>
            <w:r>
              <w:rPr>
                <w:rFonts w:asciiTheme="minorEastAsia" w:hAnsiTheme="minorEastAsia" w:eastAsiaTheme="minorEastAsia"/>
                <w:szCs w:val="21"/>
              </w:rPr>
              <w:t>；如为</w:t>
            </w:r>
            <w:r>
              <w:rPr>
                <w:rFonts w:hint="eastAsia" w:asciiTheme="minorEastAsia" w:hAnsiTheme="minorEastAsia" w:eastAsiaTheme="minorEastAsia"/>
                <w:szCs w:val="21"/>
              </w:rPr>
              <w:t>现金</w:t>
            </w:r>
            <w:r>
              <w:rPr>
                <w:rFonts w:asciiTheme="minorEastAsia" w:hAnsiTheme="minorEastAsia" w:eastAsiaTheme="minorEastAsia"/>
                <w:szCs w:val="21"/>
              </w:rPr>
              <w:t>形式，可采用电汇或网银的形式，须由投标人基本账户汇出</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履约保证金若现金方式递交时间：中标通知书发出之日起7个工作日内缴纳至招标人指定账户；</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履约保证金若保函方式递交时间：中标通知书发出之日起7个工作日内；</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履约保证金金额：按合同价的5%。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10.1招标控制价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招标控制价</w:t>
            </w:r>
          </w:p>
        </w:tc>
        <w:tc>
          <w:tcPr>
            <w:tcW w:w="5812" w:type="dxa"/>
            <w:vAlign w:val="center"/>
          </w:tcPr>
          <w:p>
            <w:pPr>
              <w:spacing w:line="400" w:lineRule="exact"/>
              <w:rPr>
                <w:rFonts w:asciiTheme="minorEastAsia" w:hAnsiTheme="minorEastAsia" w:eastAsiaTheme="minorEastAsia"/>
                <w:color w:val="FF0000"/>
                <w:szCs w:val="21"/>
                <w:highlight w:val="yellow"/>
              </w:rPr>
            </w:pPr>
            <w:r>
              <w:rPr>
                <w:rFonts w:hint="eastAsia" w:cs="宋体" w:asciiTheme="minorEastAsia" w:hAnsiTheme="minorEastAsia" w:eastAsiaTheme="minorEastAsia"/>
                <w:szCs w:val="21"/>
              </w:rPr>
              <w:t>以经政府财政主管部门评审的施工合同结算金额为基数。各投标人的投标费率不得高于招标人的招标控制费率，否则按废标处理。</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第一标段：控制费率1.10%；</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第二标段：控制费率1.10%。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color w:val="FF0000"/>
                <w:szCs w:val="21"/>
                <w:highlight w:val="yellow"/>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9"/>
              <w:spacing w:after="0" w:line="400" w:lineRule="exact"/>
              <w:ind w:right="63"/>
              <w:rPr>
                <w:rFonts w:cs="宋体" w:asciiTheme="minorEastAsia" w:hAnsiTheme="minorEastAsia" w:eastAsiaTheme="minorEastAsia"/>
                <w:szCs w:val="21"/>
              </w:rPr>
            </w:pPr>
            <w:r>
              <w:rPr>
                <w:rFonts w:hint="eastAsia" w:cs="宋体" w:asciiTheme="minorEastAsia" w:hAnsiTheme="minorEastAsia" w:eastAsiaTheme="minorEastAsia"/>
                <w:szCs w:val="21"/>
              </w:rPr>
              <w:t>1）本招标项目第一标段类似项目指自2012年01月01日至投标截止时间前（以合同签订时间为准），依法招标的合同包含高架站、地下车站、盾构工法、明挖区间及高架区间的城市轨道交通工程或铁路工程土建施工监理项目，高架站、地下车站、盾构工法、明挖区间及高架区间不在同一个合同项下的可以累加，但一个合同只能累加一次；</w:t>
            </w:r>
          </w:p>
          <w:p>
            <w:pPr>
              <w:pStyle w:val="9"/>
              <w:spacing w:after="0" w:line="400" w:lineRule="exact"/>
              <w:ind w:right="63"/>
              <w:rPr>
                <w:rFonts w:cs="宋体" w:asciiTheme="minorEastAsia" w:hAnsiTheme="minorEastAsia" w:eastAsiaTheme="minorEastAsia"/>
                <w:szCs w:val="21"/>
              </w:rPr>
            </w:pPr>
            <w:r>
              <w:rPr>
                <w:rFonts w:hint="eastAsia" w:cs="宋体" w:asciiTheme="minorEastAsia" w:hAnsiTheme="minorEastAsia" w:eastAsiaTheme="minorEastAsia"/>
                <w:szCs w:val="21"/>
              </w:rPr>
              <w:t>2）本招标项目第二标段类似项目指自2012年01月01日至投标截止时间前（以合同签订时间为准），依法招标的合同包含高架站、高架区间及停车场的城市轨道交通工程或铁路工程土建施工监理项目，高架站、高架区间及停车场不在同一个合同项下的可以累加，但一个合同只能累加一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ind w:firstLine="24"/>
              <w:rPr>
                <w:rFonts w:asciiTheme="minorEastAsia" w:hAnsiTheme="minorEastAsia" w:eastAsiaTheme="minorEastAsia"/>
                <w:szCs w:val="21"/>
              </w:rPr>
            </w:pPr>
            <w:r>
              <w:rPr>
                <w:rFonts w:hint="eastAsia" w:asciiTheme="minorEastAsia" w:hAnsiTheme="minorEastAsia" w:eastAsiaTheme="minorEastAsia"/>
                <w:szCs w:val="21"/>
              </w:rPr>
              <w:t>（1）投标人的类似项目业绩，需提供中标通知书或</w:t>
            </w:r>
            <w:r>
              <w:rPr>
                <w:rFonts w:asciiTheme="minorEastAsia" w:hAnsiTheme="minorEastAsia" w:eastAsiaTheme="minorEastAsia"/>
                <w:szCs w:val="21"/>
              </w:rPr>
              <w:t>合同协议书</w:t>
            </w:r>
            <w:r>
              <w:rPr>
                <w:rFonts w:hint="eastAsia" w:asciiTheme="minorEastAsia" w:hAnsiTheme="minorEastAsia" w:eastAsiaTheme="minorEastAsia"/>
                <w:szCs w:val="21"/>
              </w:rPr>
              <w:t>或</w:t>
            </w:r>
            <w:r>
              <w:rPr>
                <w:rFonts w:asciiTheme="minorEastAsia" w:hAnsiTheme="minorEastAsia" w:eastAsiaTheme="minorEastAsia"/>
                <w:szCs w:val="21"/>
              </w:rPr>
              <w:t>工程接收证书（</w:t>
            </w:r>
            <w:r>
              <w:rPr>
                <w:rFonts w:hint="eastAsia" w:asciiTheme="minorEastAsia" w:hAnsiTheme="minorEastAsia" w:eastAsiaTheme="minorEastAsia"/>
                <w:szCs w:val="21"/>
              </w:rPr>
              <w:t>或</w:t>
            </w:r>
            <w:r>
              <w:rPr>
                <w:rFonts w:asciiTheme="minorEastAsia" w:hAnsiTheme="minorEastAsia" w:eastAsiaTheme="minorEastAsia"/>
                <w:szCs w:val="21"/>
              </w:rPr>
              <w:t>工程竣工验收证书</w:t>
            </w:r>
            <w:r>
              <w:rPr>
                <w:rFonts w:hint="eastAsia" w:asciiTheme="minorEastAsia" w:hAnsiTheme="minorEastAsia" w:eastAsiaTheme="minorEastAsia"/>
                <w:szCs w:val="21"/>
              </w:rPr>
              <w:t>或业主开具的证明文件</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400" w:lineRule="exact"/>
              <w:ind w:left="-6" w:leftChars="-3" w:firstLine="21" w:firstLineChars="10"/>
              <w:rPr>
                <w:rFonts w:asciiTheme="minorEastAsia" w:hAnsiTheme="minorEastAsia" w:eastAsiaTheme="minorEastAsia"/>
                <w:szCs w:val="21"/>
              </w:rPr>
            </w:pPr>
            <w:r>
              <w:rPr>
                <w:rFonts w:hint="eastAsia" w:asciiTheme="minorEastAsia" w:hAnsiTheme="minorEastAsia" w:eastAsiaTheme="minorEastAsia"/>
                <w:szCs w:val="21"/>
              </w:rPr>
              <w:t>（2）总监理工程师的类似项目业绩，需提供中标通知书、合同协议书及工程接收证书（或工程竣工验收证书或业主开具的证明文件），缺少其中任何一项证明材料的，均视为无效业绩；且须至少有一项能体现其姓名</w:t>
            </w:r>
            <w:r>
              <w:rPr>
                <w:rFonts w:asciiTheme="minorEastAsia" w:hAnsiTheme="minorEastAsia" w:eastAsiaTheme="minorEastAsia"/>
                <w:szCs w:val="21"/>
              </w:rPr>
              <w:t>及所担任的职务等信息</w:t>
            </w:r>
            <w:r>
              <w:rPr>
                <w:rFonts w:hint="eastAsia" w:asciiTheme="minorEastAsia" w:hAnsiTheme="minorEastAsia" w:eastAsiaTheme="minorEastAsia"/>
                <w:b/>
                <w:bCs/>
                <w:szCs w:val="21"/>
              </w:rPr>
              <w:t>（若以上多项证明材料体现的姓名及所担任的职务等信息不一致的，还须出具业主或行政监管部门开具的证明材料）</w:t>
            </w:r>
            <w:r>
              <w:rPr>
                <w:rFonts w:hint="eastAsia" w:asciiTheme="minorEastAsia" w:hAnsiTheme="minorEastAsia" w:eastAsiaTheme="minorEastAsia"/>
                <w:szCs w:val="21"/>
              </w:rPr>
              <w:t>。</w:t>
            </w:r>
          </w:p>
          <w:p>
            <w:pPr>
              <w:pStyle w:val="9"/>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（3）业主开具的证明文件须加盖业主单位公章，加盖项目部印章、部门印章等其他印章的为无效证明文件。</w:t>
            </w:r>
          </w:p>
          <w:p>
            <w:pPr>
              <w:pStyle w:val="9"/>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（4）企业业绩与项目总监理工程师业绩可以重复使用。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55"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10.2.2</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不良行为记录</w:t>
            </w:r>
          </w:p>
        </w:tc>
        <w:tc>
          <w:tcPr>
            <w:tcW w:w="5812" w:type="dxa"/>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良行为记录是指：建筑市场各方主体在工程建设过程中违反有关工程建设的法律、法规、规章或强制性标准和执业行为规范，经省级以上建设行政主管部门或其委托的执法监督机构查实和行政处罚，形成的不良行为记录。</w:t>
            </w:r>
          </w:p>
          <w:p>
            <w:pPr>
              <w:spacing w:line="400" w:lineRule="exact"/>
              <w:rPr>
                <w:rFonts w:asciiTheme="minorEastAsia" w:hAnsiTheme="minorEastAsia" w:eastAsiaTheme="minorEastAsia"/>
                <w:color w:val="FF0000"/>
                <w:szCs w:val="21"/>
                <w:highlight w:val="yellow"/>
              </w:rPr>
            </w:pPr>
            <w:r>
              <w:rPr>
                <w:rFonts w:hint="eastAsia" w:cs="宋体" w:asciiTheme="minorEastAsia" w:hAnsiTheme="minorEastAsia" w:eastAsiaTheme="minorEastAsia"/>
                <w:b/>
                <w:bCs/>
                <w:szCs w:val="21"/>
              </w:rPr>
              <w:t>提供投标人在全国建筑市场监管公共服务平台中的企业不良行为记录查询页。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10.3结果公示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1、在中标通知书发出前，招标人将中标候选人的情况在《中国采购与招标网》、《河南招标采购综合网》和《全国公共资源交易平台(河南省·许昌市)》予以公示，公示期不少于3日。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10.4同义词语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10.5监  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Style w:val="38"/>
                <w:rFonts w:hint="eastAsia" w:cs="宋体" w:asciiTheme="minorEastAsia" w:hAnsiTheme="minorEastAsia" w:eastAsiaTheme="minorEastAsia"/>
                <w:sz w:val="21"/>
                <w:szCs w:val="21"/>
              </w:rPr>
              <w:t>10.8合同授予的条件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10.9知识产权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10.10投标人代表出席开标会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2"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1、开标时各投标人的法定代表人或授权委托人持身份证及授权委托书原件，到开标现场签到，缺席或逾期不到者视为放弃。各投标单位参加会议人数不得多于三人。</w:t>
            </w:r>
          </w:p>
          <w:p>
            <w:pPr>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2、拟派项目总监理工程师携带本人身份证原件参加开标会议。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1、评标委员会界定为不合格标或否决投标后，因有效投标人不足3个使得投标明显缺乏竞争，评标委员会决定否决全部投标的。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10.12提醒各投标人关于“评标委员会审查原件”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提醒各投标人关于“评标委员会审查原件”：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（1）投标人递交投标文件时，须同时递交招标文件第六章 《投标人递交资料原件清单》表及其所提到的全部资料的原件，评标委员会依据投标人提供的清单表及原件对其进行评审。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10.13投标文件的拒收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5.开标时拟派项目总监理工程师未携带本人身份证原件到开标现场并签到的；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6.未按照规定支付招标文件费用的；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10.14特别提示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78"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1.潜在投标人应仔细阅读招标文件，若发现有遗漏，请在规定时间内在《全国公共资源交易平台(河南省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)》上提出。</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2.潜在投标人如对招标文件有异议，请在规定时间内在许昌市公共资源交易系统平台上提出，以其他方式递交的异议不予接受。</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3.投标人在投标截止时间前应随时关注全国公共资源交易平台(河南省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)交易系统平台发出的有关本工程的答疑、修改等相关内容。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4.商务标投标文件制作过程中如遇操作或技术问题请咨询：0374-2961598。</w:t>
            </w:r>
          </w:p>
        </w:tc>
      </w:tr>
    </w:tbl>
    <w:p>
      <w:pPr>
        <w:spacing w:line="360" w:lineRule="auto"/>
        <w:rPr>
          <w:rFonts w:ascii="新宋体" w:hAnsi="新宋体" w:eastAsia="新宋体"/>
          <w:b/>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2"/>
      </w:pPr>
      <w:bookmarkStart w:id="29" w:name="_Toc7367"/>
      <w:bookmarkStart w:id="30" w:name="_Toc498502944"/>
      <w:r>
        <w:t>1.总则</w:t>
      </w:r>
      <w:bookmarkEnd w:id="29"/>
      <w:bookmarkEnd w:id="30"/>
    </w:p>
    <w:p>
      <w:pPr>
        <w:pStyle w:val="4"/>
      </w:pPr>
      <w:bookmarkStart w:id="31" w:name="_Toc14982"/>
      <w:bookmarkStart w:id="32" w:name="_Toc25173"/>
      <w:bookmarkStart w:id="33" w:name="_Toc273358856"/>
      <w:bookmarkStart w:id="34" w:name="_Toc281225096"/>
      <w:bookmarkStart w:id="35" w:name="_Toc144974498"/>
      <w:bookmarkStart w:id="36" w:name="_Toc3807"/>
      <w:bookmarkStart w:id="37" w:name="_Toc269324687"/>
      <w:bookmarkStart w:id="38" w:name="_Toc270670928"/>
      <w:bookmarkStart w:id="39" w:name="_Toc152042306"/>
      <w:bookmarkStart w:id="40" w:name="_Toc7212"/>
      <w:bookmarkStart w:id="41" w:name="_Toc499204853"/>
      <w:bookmarkStart w:id="42" w:name="_Toc152045530"/>
      <w:bookmarkStart w:id="43" w:name="_Toc498502945"/>
      <w:r>
        <w:t>1.1 项目概况</w:t>
      </w:r>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1.1.1根据《中华人民共和国招标投标法》等有关法律、法规和规章的规定，本招标项目已具备招标条件，现对本项目进行招标。</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1.1.2 本项目招标人：见投标人须知前附表。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1.1.3 本</w:t>
      </w:r>
      <w:r>
        <w:rPr>
          <w:rFonts w:hint="eastAsia" w:asciiTheme="minorEastAsia" w:hAnsiTheme="minorEastAsia" w:eastAsiaTheme="minorEastAsia"/>
          <w:sz w:val="24"/>
        </w:rPr>
        <w:t>项目</w:t>
      </w:r>
      <w:r>
        <w:rPr>
          <w:rFonts w:asciiTheme="minorEastAsia" w:hAnsiTheme="minorEastAsia" w:eastAsiaTheme="minorEastAsia"/>
          <w:sz w:val="24"/>
        </w:rPr>
        <w:t>招标代理机构：见投标人须知前附表。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 xml:space="preserve">4 </w:t>
      </w:r>
      <w:r>
        <w:rPr>
          <w:rFonts w:asciiTheme="minorEastAsia" w:hAnsiTheme="minorEastAsia" w:eastAsiaTheme="minorEastAsia"/>
          <w:sz w:val="24"/>
        </w:rPr>
        <w:t>本</w:t>
      </w:r>
      <w:r>
        <w:rPr>
          <w:rFonts w:hint="eastAsia" w:asciiTheme="minorEastAsia" w:hAnsiTheme="minorEastAsia" w:eastAsiaTheme="minorEastAsia"/>
          <w:sz w:val="24"/>
        </w:rPr>
        <w:t>项目工程名称</w:t>
      </w:r>
      <w:r>
        <w:rPr>
          <w:rFonts w:asciiTheme="minorEastAsia" w:hAnsiTheme="minorEastAsia" w:eastAsiaTheme="minorEastAsia"/>
          <w:sz w:val="24"/>
        </w:rPr>
        <w:t>：见投标人须知前附表。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 xml:space="preserve">5 </w:t>
      </w:r>
      <w:r>
        <w:rPr>
          <w:rFonts w:asciiTheme="minorEastAsia" w:hAnsiTheme="minorEastAsia" w:eastAsiaTheme="minorEastAsia"/>
          <w:sz w:val="24"/>
        </w:rPr>
        <w:t>本招标项目名称：见投标人须知前附表。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6</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建设地点：见投标人须知前附表。</w:t>
      </w:r>
    </w:p>
    <w:p>
      <w:pPr>
        <w:pStyle w:val="4"/>
      </w:pPr>
      <w:bookmarkStart w:id="44" w:name="_Toc498502946"/>
      <w:bookmarkStart w:id="45" w:name="_Toc144974499"/>
      <w:bookmarkStart w:id="46" w:name="_Toc152042307"/>
      <w:bookmarkStart w:id="47" w:name="_Toc269324688"/>
      <w:bookmarkStart w:id="48" w:name="_Toc20419"/>
      <w:bookmarkStart w:id="49" w:name="_Toc281225097"/>
      <w:bookmarkStart w:id="50" w:name="_Toc499204854"/>
      <w:bookmarkStart w:id="51" w:name="_Toc152045531"/>
      <w:bookmarkStart w:id="52" w:name="_Toc3947"/>
      <w:bookmarkStart w:id="53" w:name="_Toc270670929"/>
      <w:bookmarkStart w:id="54" w:name="_Toc16670"/>
      <w:bookmarkStart w:id="55" w:name="_Toc273358857"/>
      <w:bookmarkStart w:id="56" w:name="_Toc15111"/>
      <w:r>
        <w:t>1.2 资金来源、落实情况</w:t>
      </w:r>
      <w:bookmarkEnd w:id="44"/>
      <w:bookmarkEnd w:id="45"/>
      <w:bookmarkEnd w:id="46"/>
      <w:bookmarkEnd w:id="47"/>
      <w:bookmarkEnd w:id="48"/>
      <w:bookmarkEnd w:id="49"/>
      <w:bookmarkEnd w:id="50"/>
      <w:bookmarkEnd w:id="51"/>
      <w:bookmarkEnd w:id="52"/>
      <w:bookmarkEnd w:id="53"/>
      <w:bookmarkEnd w:id="54"/>
      <w:bookmarkEnd w:id="55"/>
      <w:bookmarkEnd w:id="5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1.2.1 本招标项目的资金来源：见投标人须知前附表。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w:t>
      </w:r>
      <w:r>
        <w:rPr>
          <w:rFonts w:asciiTheme="minorEastAsia" w:hAnsiTheme="minorEastAsia" w:eastAsiaTheme="minorEastAsia"/>
          <w:sz w:val="24"/>
        </w:rPr>
        <w:t xml:space="preserve"> 本招标项目的资金落实情况：见投标人须知前附表。</w:t>
      </w:r>
    </w:p>
    <w:p>
      <w:pPr>
        <w:pStyle w:val="4"/>
      </w:pPr>
      <w:bookmarkStart w:id="57" w:name="_Toc26948"/>
      <w:bookmarkStart w:id="58" w:name="_Toc499204855"/>
      <w:bookmarkStart w:id="59" w:name="_Toc6807"/>
      <w:bookmarkStart w:id="60" w:name="_Toc32479"/>
      <w:bookmarkStart w:id="61" w:name="_Toc498502947"/>
      <w:bookmarkStart w:id="62" w:name="_Toc325550667"/>
      <w:bookmarkStart w:id="63" w:name="_Toc281225102"/>
      <w:bookmarkStart w:id="64" w:name="_Toc152045534"/>
      <w:bookmarkStart w:id="65" w:name="_Toc270670931"/>
      <w:bookmarkStart w:id="66" w:name="_Toc8391"/>
      <w:bookmarkStart w:id="67" w:name="_Toc273358859"/>
      <w:bookmarkStart w:id="68" w:name="_Toc269324690"/>
      <w:bookmarkStart w:id="69" w:name="_Toc152042310"/>
      <w:bookmarkStart w:id="70" w:name="_Toc144974502"/>
      <w:r>
        <w:t>1.3招标范围、服务周期和质量要求</w:t>
      </w:r>
      <w:bookmarkEnd w:id="57"/>
      <w:bookmarkEnd w:id="58"/>
      <w:bookmarkEnd w:id="59"/>
      <w:bookmarkEnd w:id="60"/>
      <w:bookmarkEnd w:id="61"/>
      <w:bookmarkEnd w:id="62"/>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1</w:t>
      </w:r>
      <w:r>
        <w:rPr>
          <w:rFonts w:asciiTheme="minorEastAsia" w:hAnsiTheme="minorEastAsia" w:eastAsiaTheme="minorEastAsia"/>
          <w:sz w:val="24"/>
        </w:rPr>
        <w:t xml:space="preserve"> 本次</w:t>
      </w:r>
      <w:r>
        <w:rPr>
          <w:rFonts w:hint="eastAsia" w:asciiTheme="minorEastAsia" w:hAnsiTheme="minorEastAsia" w:eastAsiaTheme="minorEastAsia"/>
          <w:sz w:val="24"/>
        </w:rPr>
        <w:t>标段划分及</w:t>
      </w:r>
      <w:r>
        <w:rPr>
          <w:rFonts w:asciiTheme="minorEastAsia" w:hAnsiTheme="minorEastAsia" w:eastAsiaTheme="minorEastAsia"/>
          <w:sz w:val="24"/>
        </w:rPr>
        <w:t>招标范围：见投标人须知前附表。</w:t>
      </w:r>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的</w:t>
      </w:r>
      <w:r>
        <w:rPr>
          <w:rFonts w:hint="eastAsia" w:asciiTheme="minorEastAsia" w:hAnsiTheme="minorEastAsia" w:eastAsiaTheme="minorEastAsia"/>
          <w:sz w:val="24"/>
        </w:rPr>
        <w:t>监理服务期限</w:t>
      </w:r>
      <w:r>
        <w:rPr>
          <w:rFonts w:asciiTheme="minorEastAsia" w:hAnsiTheme="minorEastAsia" w:eastAsiaTheme="minorEastAsia"/>
          <w:sz w:val="24"/>
        </w:rPr>
        <w:t>：见投标人须知前附表。</w:t>
      </w:r>
    </w:p>
    <w:p>
      <w:pPr>
        <w:spacing w:line="360" w:lineRule="auto"/>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 xml:space="preserve">3 </w:t>
      </w:r>
      <w:r>
        <w:rPr>
          <w:rFonts w:asciiTheme="minorEastAsia" w:hAnsiTheme="minorEastAsia" w:eastAsiaTheme="minorEastAsia"/>
          <w:sz w:val="24"/>
        </w:rPr>
        <w:t>本</w:t>
      </w:r>
      <w:r>
        <w:rPr>
          <w:rFonts w:hint="eastAsia" w:asciiTheme="minorEastAsia" w:hAnsiTheme="minorEastAsia" w:eastAsiaTheme="minorEastAsia"/>
          <w:sz w:val="24"/>
        </w:rPr>
        <w:t>项目</w:t>
      </w:r>
      <w:r>
        <w:rPr>
          <w:rFonts w:asciiTheme="minorEastAsia" w:hAnsiTheme="minorEastAsia" w:eastAsiaTheme="minorEastAsia"/>
          <w:sz w:val="24"/>
        </w:rPr>
        <w:t>的质量要求：见投标人须知前附表。</w:t>
      </w:r>
    </w:p>
    <w:p>
      <w:pPr>
        <w:pStyle w:val="4"/>
      </w:pPr>
      <w:bookmarkStart w:id="71" w:name="_Toc22463"/>
      <w:bookmarkStart w:id="72" w:name="_Toc499204856"/>
      <w:bookmarkStart w:id="73" w:name="_Toc24624"/>
      <w:bookmarkStart w:id="74" w:name="_Toc16688"/>
      <w:bookmarkStart w:id="75" w:name="_Toc498502948"/>
      <w:r>
        <w:t>1.4 投标人资格要求</w:t>
      </w:r>
      <w:bookmarkEnd w:id="63"/>
      <w:bookmarkEnd w:id="64"/>
      <w:bookmarkEnd w:id="65"/>
      <w:bookmarkEnd w:id="66"/>
      <w:bookmarkEnd w:id="67"/>
      <w:bookmarkEnd w:id="68"/>
      <w:bookmarkEnd w:id="69"/>
      <w:bookmarkEnd w:id="70"/>
      <w:bookmarkEnd w:id="71"/>
      <w:bookmarkEnd w:id="72"/>
      <w:bookmarkEnd w:id="73"/>
      <w:bookmarkEnd w:id="74"/>
      <w:bookmarkEnd w:id="7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1.4.1投标人资格要求见投标人须知前附表。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1.4.2是否接受联合体投标：见投标人须知前附表。</w:t>
      </w:r>
    </w:p>
    <w:p>
      <w:pPr>
        <w:spacing w:line="360" w:lineRule="auto"/>
        <w:ind w:firstLine="420"/>
        <w:rPr>
          <w:rFonts w:asciiTheme="minorEastAsia" w:hAnsiTheme="minorEastAsia" w:eastAsiaTheme="minorEastAsia"/>
          <w:b/>
          <w:sz w:val="24"/>
        </w:rPr>
      </w:pPr>
      <w:bookmarkStart w:id="76" w:name="_Toc280800694"/>
      <w:bookmarkStart w:id="77" w:name="_Toc291080496"/>
      <w:bookmarkStart w:id="78" w:name="_Toc281225103"/>
      <w:bookmarkStart w:id="79" w:name="_Toc280876749"/>
      <w:r>
        <w:rPr>
          <w:rFonts w:asciiTheme="minorEastAsia" w:hAnsiTheme="minorEastAsia" w:eastAsiaTheme="minorEastAsia"/>
          <w:sz w:val="24"/>
        </w:rPr>
        <w:t>1.4.3 投标人不得存在下列情形之一：</w:t>
      </w:r>
      <w:bookmarkEnd w:id="76"/>
      <w:bookmarkEnd w:id="77"/>
      <w:bookmarkEnd w:id="78"/>
      <w:bookmarkEnd w:id="79"/>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（1）为招标人不具有独立法人资格的附属机构（单位）；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（2）为本标段前期准备提供设计或咨询服务的；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（3）为本标段的施工单位；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（4）为本标段提供招标代理服务的；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（5）与本标段的施工单位或招标代理机构同为一个法定代表人的；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（6）与本标段的施工单位或招标代理机构相互控股或参股的；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（7）与本标段的施工单位或招标代理机构相互任职或工作的；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（8）被责令停业的；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 xml:space="preserve">（9）被暂停或取消投标资格的； </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（10）财产被接管或冻结的；</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（11）在最近三年内有骗取中标或严重违约或重大工程质量问题的。</w:t>
      </w:r>
    </w:p>
    <w:p>
      <w:pPr>
        <w:pStyle w:val="4"/>
      </w:pPr>
      <w:bookmarkStart w:id="80" w:name="_Toc30041"/>
      <w:bookmarkStart w:id="81" w:name="_Toc1595"/>
      <w:bookmarkStart w:id="82" w:name="_Toc273358860"/>
      <w:bookmarkStart w:id="83" w:name="_Toc281225104"/>
      <w:bookmarkStart w:id="84" w:name="_Toc270670932"/>
      <w:bookmarkStart w:id="85" w:name="_Toc22660"/>
      <w:bookmarkStart w:id="86" w:name="_Toc499204857"/>
      <w:bookmarkStart w:id="87" w:name="_Toc152042311"/>
      <w:bookmarkStart w:id="88" w:name="_Toc152045535"/>
      <w:bookmarkStart w:id="89" w:name="_Toc498502949"/>
      <w:bookmarkStart w:id="90" w:name="_Toc269324691"/>
      <w:bookmarkStart w:id="91" w:name="_Toc24884"/>
      <w:bookmarkStart w:id="92" w:name="_Toc144974503"/>
      <w:r>
        <w:t>1.5 费用承担</w:t>
      </w:r>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投标人准备和参加投标活动发生的一切费用自理，无论中标与否，均由投标人自行承担。</w:t>
      </w:r>
    </w:p>
    <w:p>
      <w:pPr>
        <w:pStyle w:val="4"/>
      </w:pPr>
      <w:bookmarkStart w:id="93" w:name="_Toc10693"/>
      <w:bookmarkStart w:id="94" w:name="_Toc152045536"/>
      <w:bookmarkStart w:id="95" w:name="_Toc499204858"/>
      <w:bookmarkStart w:id="96" w:name="_Toc9094"/>
      <w:bookmarkStart w:id="97" w:name="_Toc281225105"/>
      <w:bookmarkStart w:id="98" w:name="_Toc273358861"/>
      <w:bookmarkStart w:id="99" w:name="_Toc16706"/>
      <w:bookmarkStart w:id="100" w:name="_Toc144974504"/>
      <w:bookmarkStart w:id="101" w:name="_Toc269324692"/>
      <w:bookmarkStart w:id="102" w:name="_Toc498502950"/>
      <w:bookmarkStart w:id="103" w:name="_Toc270670933"/>
      <w:bookmarkStart w:id="104" w:name="_Toc152042312"/>
      <w:bookmarkStart w:id="105" w:name="_Toc5790"/>
      <w:r>
        <w:t>1.6 保密</w:t>
      </w:r>
      <w:bookmarkEnd w:id="93"/>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参与招标投标活动的各方应对招标文件和投标文件中的商业和技术等秘密保密，违者应对由此造成的后果承担法律责任。</w:t>
      </w:r>
    </w:p>
    <w:p>
      <w:pPr>
        <w:pStyle w:val="4"/>
      </w:pPr>
      <w:bookmarkStart w:id="106" w:name="_Toc144974505"/>
      <w:bookmarkStart w:id="107" w:name="_Toc499204859"/>
      <w:bookmarkStart w:id="108" w:name="_Toc269324693"/>
      <w:bookmarkStart w:id="109" w:name="_Toc8125"/>
      <w:bookmarkStart w:id="110" w:name="_Toc152042313"/>
      <w:bookmarkStart w:id="111" w:name="_Toc152045537"/>
      <w:bookmarkStart w:id="112" w:name="_Toc270670934"/>
      <w:bookmarkStart w:id="113" w:name="_Toc17661"/>
      <w:bookmarkStart w:id="114" w:name="_Toc273358862"/>
      <w:bookmarkStart w:id="115" w:name="_Toc281225106"/>
      <w:bookmarkStart w:id="116" w:name="_Toc498502951"/>
      <w:bookmarkStart w:id="117" w:name="_Toc31351"/>
      <w:bookmarkStart w:id="118" w:name="_Toc20769"/>
      <w:r>
        <w:t>1.7 语言</w:t>
      </w:r>
      <w:bookmarkEnd w:id="106"/>
      <w:r>
        <w:t>文字</w:t>
      </w:r>
      <w:bookmarkEnd w:id="107"/>
      <w:bookmarkEnd w:id="108"/>
      <w:bookmarkEnd w:id="109"/>
      <w:bookmarkEnd w:id="110"/>
      <w:bookmarkEnd w:id="111"/>
      <w:bookmarkEnd w:id="112"/>
      <w:bookmarkEnd w:id="113"/>
      <w:bookmarkEnd w:id="114"/>
      <w:bookmarkEnd w:id="115"/>
      <w:bookmarkEnd w:id="116"/>
      <w:bookmarkEnd w:id="117"/>
      <w:bookmarkEnd w:id="11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除专用术语外，与招标投标有关的语言均使用中文。必要时专用术语应附有中文注释，</w:t>
      </w:r>
      <w:r>
        <w:rPr>
          <w:rFonts w:asciiTheme="minorEastAsia" w:hAnsiTheme="minorEastAsia" w:eastAsiaTheme="minorEastAsia"/>
          <w:sz w:val="24"/>
          <w:lang w:bidi="en-US"/>
        </w:rPr>
        <w:t>对不同文字文本投标文件的解释发生异议的，以中文文本为准</w:t>
      </w:r>
      <w:r>
        <w:rPr>
          <w:rFonts w:asciiTheme="minorEastAsia" w:hAnsiTheme="minorEastAsia" w:eastAsiaTheme="minorEastAsia"/>
          <w:sz w:val="24"/>
        </w:rPr>
        <w:t>。</w:t>
      </w:r>
    </w:p>
    <w:p>
      <w:pPr>
        <w:pStyle w:val="4"/>
      </w:pPr>
      <w:bookmarkStart w:id="119" w:name="_Toc281225107"/>
      <w:bookmarkStart w:id="120" w:name="_Toc270670935"/>
      <w:bookmarkStart w:id="121" w:name="_Toc13737"/>
      <w:bookmarkStart w:id="122" w:name="_Toc15379"/>
      <w:bookmarkStart w:id="123" w:name="_Toc22992"/>
      <w:bookmarkStart w:id="124" w:name="_Toc499204860"/>
      <w:bookmarkStart w:id="125" w:name="_Toc269324694"/>
      <w:bookmarkStart w:id="126" w:name="_Toc152045538"/>
      <w:bookmarkStart w:id="127" w:name="_Toc273358863"/>
      <w:bookmarkStart w:id="128" w:name="_Toc144974506"/>
      <w:bookmarkStart w:id="129" w:name="_Toc498502952"/>
      <w:bookmarkStart w:id="130" w:name="_Toc152042314"/>
      <w:bookmarkStart w:id="131" w:name="_Toc20491"/>
      <w:r>
        <w:t>1.8 计量单位</w:t>
      </w:r>
      <w:bookmarkEnd w:id="119"/>
      <w:bookmarkEnd w:id="120"/>
      <w:bookmarkEnd w:id="121"/>
      <w:bookmarkEnd w:id="122"/>
      <w:bookmarkEnd w:id="123"/>
      <w:bookmarkEnd w:id="124"/>
      <w:bookmarkEnd w:id="125"/>
      <w:bookmarkEnd w:id="126"/>
      <w:bookmarkEnd w:id="127"/>
      <w:bookmarkEnd w:id="128"/>
      <w:bookmarkEnd w:id="129"/>
      <w:bookmarkEnd w:id="130"/>
      <w:bookmarkEnd w:id="13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除技术规范另有规定外，所有计量均采用中华人民共和国法定计量单位。</w:t>
      </w:r>
    </w:p>
    <w:p>
      <w:pPr>
        <w:pStyle w:val="4"/>
      </w:pPr>
      <w:bookmarkStart w:id="132" w:name="_Toc269324695"/>
      <w:bookmarkStart w:id="133" w:name="_Toc144974507"/>
      <w:bookmarkStart w:id="134" w:name="_Toc14034"/>
      <w:bookmarkStart w:id="135" w:name="_Toc270670936"/>
      <w:bookmarkStart w:id="136" w:name="_Toc30753"/>
      <w:bookmarkStart w:id="137" w:name="_Toc273358864"/>
      <w:bookmarkStart w:id="138" w:name="_Toc21341"/>
      <w:bookmarkStart w:id="139" w:name="_Toc281225108"/>
      <w:bookmarkStart w:id="140" w:name="_Toc499204861"/>
      <w:bookmarkStart w:id="141" w:name="_Toc152045539"/>
      <w:bookmarkStart w:id="142" w:name="_Toc498502953"/>
      <w:bookmarkStart w:id="143" w:name="_Toc152042315"/>
      <w:bookmarkStart w:id="144" w:name="_Toc23122"/>
      <w:r>
        <w:t>1.9 踏勘现场</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1.9.1投标人须知前附表规定组织踏勘现场的，招标人按投标人须知前附表规定的时间、地点将组织投标人踏勘项目现场。</w:t>
      </w:r>
    </w:p>
    <w:p>
      <w:pPr>
        <w:spacing w:line="360" w:lineRule="auto"/>
        <w:ind w:firstLine="420"/>
        <w:jc w:val="left"/>
        <w:rPr>
          <w:rFonts w:asciiTheme="minorEastAsia" w:hAnsiTheme="minorEastAsia" w:eastAsiaTheme="minorEastAsia"/>
          <w:sz w:val="24"/>
        </w:rPr>
      </w:pPr>
      <w:bookmarkStart w:id="145" w:name="_Toc291080502"/>
      <w:bookmarkStart w:id="146" w:name="_Toc281225109"/>
      <w:bookmarkStart w:id="147" w:name="_Toc280876755"/>
      <w:bookmarkStart w:id="148" w:name="_Toc280800700"/>
      <w:r>
        <w:rPr>
          <w:rFonts w:asciiTheme="minorEastAsia" w:hAnsiTheme="minorEastAsia" w:eastAsiaTheme="minorEastAsia"/>
          <w:sz w:val="24"/>
        </w:rPr>
        <w:t>1.9.2 投标人踏勘现场发生的费用自理。</w:t>
      </w:r>
      <w:bookmarkEnd w:id="145"/>
      <w:bookmarkEnd w:id="146"/>
      <w:bookmarkEnd w:id="147"/>
      <w:bookmarkEnd w:id="148"/>
    </w:p>
    <w:p>
      <w:pPr>
        <w:spacing w:line="360" w:lineRule="auto"/>
        <w:ind w:firstLine="420"/>
        <w:jc w:val="left"/>
        <w:rPr>
          <w:rFonts w:asciiTheme="minorEastAsia" w:hAnsiTheme="minorEastAsia" w:eastAsiaTheme="minorEastAsia"/>
          <w:sz w:val="24"/>
        </w:rPr>
      </w:pPr>
      <w:bookmarkStart w:id="149" w:name="_Toc291080503"/>
      <w:bookmarkStart w:id="150" w:name="_Toc280876756"/>
      <w:bookmarkStart w:id="151" w:name="_Toc281225110"/>
      <w:bookmarkStart w:id="152" w:name="_Toc280800701"/>
      <w:r>
        <w:rPr>
          <w:rFonts w:asciiTheme="minorEastAsia" w:hAnsiTheme="minorEastAsia" w:eastAsiaTheme="minorEastAsia"/>
          <w:sz w:val="24"/>
        </w:rPr>
        <w:t>1.9.3 除招标人的原因外，投标人自行负责在踏勘现场中所发生的人员伤亡和财产损失。</w:t>
      </w:r>
      <w:bookmarkEnd w:id="149"/>
      <w:bookmarkEnd w:id="150"/>
      <w:bookmarkEnd w:id="151"/>
      <w:bookmarkEnd w:id="15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1.9.4招标人在踏勘现场中介绍的工程场地和相关的周边环境情况，供投标人在编制投标文件时参考，招标人不对投标人据此做出的判断和决策负责。</w:t>
      </w:r>
    </w:p>
    <w:p>
      <w:pPr>
        <w:spacing w:line="360" w:lineRule="auto"/>
        <w:ind w:firstLine="420"/>
        <w:jc w:val="left"/>
        <w:rPr>
          <w:rFonts w:asciiTheme="minorEastAsia" w:hAnsiTheme="minorEastAsia" w:eastAsiaTheme="minorEastAsia"/>
          <w:sz w:val="24"/>
        </w:rPr>
      </w:pPr>
      <w:bookmarkStart w:id="153" w:name="_Toc280800702"/>
      <w:bookmarkStart w:id="154" w:name="_Toc281225111"/>
      <w:bookmarkStart w:id="155" w:name="_Toc280876757"/>
      <w:bookmarkStart w:id="156" w:name="_Toc291080504"/>
      <w:r>
        <w:rPr>
          <w:rFonts w:asciiTheme="minorEastAsia" w:hAnsiTheme="minorEastAsia" w:eastAsiaTheme="minorEastAsia"/>
          <w:sz w:val="24"/>
        </w:rPr>
        <w:t xml:space="preserve">1.9.5 </w:t>
      </w:r>
      <w:bookmarkEnd w:id="153"/>
      <w:bookmarkEnd w:id="154"/>
      <w:bookmarkEnd w:id="155"/>
      <w:bookmarkEnd w:id="156"/>
      <w:r>
        <w:rPr>
          <w:rFonts w:asciiTheme="minorEastAsia" w:hAnsiTheme="minorEastAsia" w:eastAsiaTheme="minorEastAsia"/>
          <w:sz w:val="24"/>
        </w:rPr>
        <w:t>投标人及其随员或代表不得因踏勘现场而损害招标人或第三人的合法权益，非因招标人的原因造成的投标人及其随员或代表的合法权益的损害，招标人不承担责任。</w:t>
      </w:r>
    </w:p>
    <w:p>
      <w:pPr>
        <w:pStyle w:val="4"/>
      </w:pPr>
      <w:bookmarkStart w:id="157" w:name="_Toc498502954"/>
      <w:bookmarkStart w:id="158" w:name="_Toc144974508"/>
      <w:bookmarkStart w:id="159" w:name="_Toc281225112"/>
      <w:bookmarkStart w:id="160" w:name="_Toc152045540"/>
      <w:bookmarkStart w:id="161" w:name="_Toc269324696"/>
      <w:bookmarkStart w:id="162" w:name="_Toc270670937"/>
      <w:bookmarkStart w:id="163" w:name="_Toc9610"/>
      <w:bookmarkStart w:id="164" w:name="_Toc12118"/>
      <w:bookmarkStart w:id="165" w:name="_Toc499204862"/>
      <w:bookmarkStart w:id="166" w:name="_Toc28032"/>
      <w:bookmarkStart w:id="167" w:name="_Toc273358865"/>
      <w:bookmarkStart w:id="168" w:name="_Toc152042316"/>
      <w:bookmarkStart w:id="169" w:name="_Toc21390"/>
      <w:r>
        <w:t>1.10 投标预备会</w:t>
      </w:r>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投标人须知前附表规定召开投标预备会的，招标人按投标人须知前附表规定的时间和地点召开投标预备会，澄清投标人提出的问题。</w:t>
      </w:r>
    </w:p>
    <w:p>
      <w:pPr>
        <w:pStyle w:val="4"/>
      </w:pPr>
      <w:bookmarkStart w:id="170" w:name="_Toc144974509"/>
      <w:bookmarkStart w:id="171" w:name="_Toc9088"/>
      <w:bookmarkStart w:id="172" w:name="_Toc281225113"/>
      <w:bookmarkStart w:id="173" w:name="_Toc269324697"/>
      <w:bookmarkStart w:id="174" w:name="_Toc17522"/>
      <w:bookmarkStart w:id="175" w:name="_Toc10333"/>
      <w:bookmarkStart w:id="176" w:name="_Toc498502955"/>
      <w:bookmarkStart w:id="177" w:name="_Toc21890"/>
      <w:bookmarkStart w:id="178" w:name="_Toc152042317"/>
      <w:bookmarkStart w:id="179" w:name="_Toc270670938"/>
      <w:bookmarkStart w:id="180" w:name="_Toc152045541"/>
      <w:bookmarkStart w:id="181" w:name="_Toc273358866"/>
      <w:bookmarkStart w:id="182" w:name="_Toc499204863"/>
      <w:r>
        <w:t>1.11 分包</w:t>
      </w:r>
      <w:bookmarkEnd w:id="170"/>
      <w:bookmarkEnd w:id="171"/>
      <w:bookmarkEnd w:id="172"/>
      <w:bookmarkEnd w:id="173"/>
      <w:bookmarkEnd w:id="174"/>
      <w:bookmarkEnd w:id="175"/>
      <w:bookmarkEnd w:id="176"/>
      <w:bookmarkEnd w:id="177"/>
      <w:bookmarkEnd w:id="178"/>
      <w:bookmarkEnd w:id="179"/>
      <w:bookmarkEnd w:id="180"/>
      <w:bookmarkEnd w:id="181"/>
      <w:bookmarkEnd w:id="18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是否允许分包：见投标人须知前附表。</w:t>
      </w:r>
    </w:p>
    <w:p>
      <w:pPr>
        <w:pStyle w:val="4"/>
      </w:pPr>
      <w:bookmarkStart w:id="183" w:name="_Toc17163"/>
      <w:bookmarkStart w:id="184" w:name="_Toc10545"/>
      <w:bookmarkStart w:id="185" w:name="_Toc270670939"/>
      <w:bookmarkStart w:id="186" w:name="_Toc14741"/>
      <w:bookmarkStart w:id="187" w:name="_Toc281225114"/>
      <w:bookmarkStart w:id="188" w:name="_Toc499204864"/>
      <w:bookmarkStart w:id="189" w:name="_Toc273358867"/>
      <w:bookmarkStart w:id="190" w:name="_Toc498502956"/>
      <w:bookmarkStart w:id="191" w:name="_Toc269324698"/>
      <w:bookmarkStart w:id="192" w:name="_Toc2558"/>
      <w:r>
        <w:t>1.12 偏离</w:t>
      </w:r>
      <w:bookmarkEnd w:id="183"/>
      <w:bookmarkEnd w:id="184"/>
      <w:bookmarkEnd w:id="185"/>
      <w:bookmarkEnd w:id="186"/>
      <w:bookmarkEnd w:id="187"/>
      <w:bookmarkEnd w:id="188"/>
      <w:bookmarkEnd w:id="189"/>
      <w:bookmarkEnd w:id="190"/>
      <w:bookmarkEnd w:id="191"/>
      <w:bookmarkEnd w:id="192"/>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投标人须知前附表允许投标文件偏离招标文件某些要求的，偏离应当符合招标文件规定的偏离范围和幅度。</w:t>
      </w:r>
    </w:p>
    <w:p>
      <w:pPr>
        <w:pStyle w:val="2"/>
      </w:pPr>
      <w:bookmarkStart w:id="193" w:name="_Toc152045542"/>
      <w:bookmarkStart w:id="194" w:name="_Toc14256"/>
      <w:bookmarkStart w:id="195" w:name="_Toc144974510"/>
      <w:bookmarkStart w:id="196" w:name="_Toc281225115"/>
      <w:bookmarkStart w:id="197" w:name="_Toc152042318"/>
      <w:bookmarkStart w:id="198" w:name="_Toc498502957"/>
      <w:bookmarkStart w:id="199" w:name="_Toc10736"/>
      <w:bookmarkStart w:id="200" w:name="_Toc273358868"/>
      <w:bookmarkStart w:id="201" w:name="_Toc269324699"/>
      <w:r>
        <w:t>2.招标文件</w:t>
      </w:r>
      <w:bookmarkEnd w:id="193"/>
      <w:bookmarkEnd w:id="194"/>
      <w:bookmarkEnd w:id="195"/>
      <w:bookmarkEnd w:id="196"/>
      <w:bookmarkEnd w:id="197"/>
      <w:bookmarkEnd w:id="198"/>
      <w:bookmarkEnd w:id="199"/>
      <w:bookmarkEnd w:id="200"/>
      <w:bookmarkEnd w:id="201"/>
    </w:p>
    <w:p>
      <w:pPr>
        <w:pStyle w:val="4"/>
      </w:pPr>
      <w:bookmarkStart w:id="202" w:name="_Toc12450"/>
      <w:bookmarkStart w:id="203" w:name="_Toc25095"/>
      <w:bookmarkStart w:id="204" w:name="_Toc498502958"/>
      <w:bookmarkStart w:id="205" w:name="_Toc499204866"/>
      <w:bookmarkStart w:id="206" w:name="_Toc273358869"/>
      <w:bookmarkStart w:id="207" w:name="_Toc152042319"/>
      <w:bookmarkStart w:id="208" w:name="_Toc152045543"/>
      <w:bookmarkStart w:id="209" w:name="_Toc281225116"/>
      <w:bookmarkStart w:id="210" w:name="_Toc21374"/>
      <w:bookmarkStart w:id="211" w:name="_Toc144974511"/>
      <w:bookmarkStart w:id="212" w:name="_Toc7834"/>
      <w:bookmarkStart w:id="213" w:name="_Toc269324700"/>
      <w:r>
        <w:t>2.1 招标文件的组成</w:t>
      </w:r>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　　本招标文件包括：</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（1）招标公告；</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（2）投标人须知；</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（3）评标办法；</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（4）合同条款及格式；</w:t>
      </w:r>
    </w:p>
    <w:p>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（5）监理服务内容、技术标准和要求；</w:t>
      </w:r>
    </w:p>
    <w:p>
      <w:pPr>
        <w:spacing w:line="360" w:lineRule="auto"/>
        <w:ind w:firstLine="410" w:firstLineChars="171"/>
        <w:jc w:val="left"/>
        <w:rPr>
          <w:rFonts w:asciiTheme="minorEastAsia" w:hAnsiTheme="minorEastAsia" w:eastAsiaTheme="minorEastAsia"/>
          <w:sz w:val="24"/>
        </w:rPr>
      </w:pPr>
      <w:r>
        <w:rPr>
          <w:rFonts w:asciiTheme="minorEastAsia" w:hAnsiTheme="minorEastAsia" w:eastAsiaTheme="minorEastAsia"/>
          <w:sz w:val="24"/>
        </w:rPr>
        <w:t>（6）投标文件格式</w:t>
      </w:r>
      <w:r>
        <w:rPr>
          <w:rFonts w:hint="eastAsia" w:asciiTheme="minorEastAsia" w:hAnsiTheme="minorEastAsia" w:eastAsiaTheme="minorEastAsia"/>
          <w:sz w:val="24"/>
        </w:rPr>
        <w:t>。</w:t>
      </w:r>
    </w:p>
    <w:p>
      <w:pPr>
        <w:spacing w:line="360" w:lineRule="auto"/>
        <w:ind w:firstLine="410" w:firstLineChars="171"/>
        <w:jc w:val="left"/>
        <w:rPr>
          <w:rFonts w:asciiTheme="minorEastAsia" w:hAnsiTheme="minorEastAsia" w:eastAsiaTheme="minorEastAsia"/>
          <w:sz w:val="24"/>
        </w:rPr>
      </w:pPr>
      <w:r>
        <w:rPr>
          <w:rFonts w:asciiTheme="minorEastAsia" w:hAnsiTheme="minorEastAsia" w:eastAsiaTheme="minorEastAsia"/>
          <w:sz w:val="24"/>
        </w:rPr>
        <w:t>根据本章第1.10款、第2.2款和第2.3款对招标文件所作的澄清、修改，构成招标文件的组成部分。</w:t>
      </w:r>
    </w:p>
    <w:p>
      <w:pPr>
        <w:pStyle w:val="4"/>
      </w:pPr>
      <w:bookmarkStart w:id="214" w:name="_Toc498502959"/>
      <w:bookmarkStart w:id="215" w:name="_Toc14660"/>
      <w:bookmarkStart w:id="216" w:name="_Toc281225117"/>
      <w:bookmarkStart w:id="217" w:name="_Toc29952"/>
      <w:bookmarkStart w:id="218" w:name="_Toc25998"/>
      <w:bookmarkStart w:id="219" w:name="_Toc152042320"/>
      <w:bookmarkStart w:id="220" w:name="_Toc499204867"/>
      <w:bookmarkStart w:id="221" w:name="_Toc273358870"/>
      <w:bookmarkStart w:id="222" w:name="_Toc144974512"/>
      <w:bookmarkStart w:id="223" w:name="_Toc152045544"/>
      <w:bookmarkStart w:id="224" w:name="_Toc269324701"/>
      <w:bookmarkStart w:id="225" w:name="_Toc27191"/>
      <w:r>
        <w:t>2.2 招标文件的澄清</w:t>
      </w:r>
      <w:bookmarkEnd w:id="214"/>
      <w:bookmarkEnd w:id="215"/>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cs="宋体" w:asciiTheme="minorEastAsia" w:hAnsiTheme="minorEastAsia" w:eastAsiaTheme="minorEastAsia"/>
          <w:sz w:val="24"/>
        </w:rPr>
      </w:pPr>
      <w:bookmarkStart w:id="226" w:name="_Toc152042321"/>
      <w:bookmarkStart w:id="227" w:name="_Toc31369"/>
      <w:bookmarkStart w:id="228" w:name="_Toc269324702"/>
      <w:bookmarkStart w:id="229" w:name="_Toc498502960"/>
      <w:bookmarkStart w:id="230" w:name="_Toc144974513"/>
      <w:bookmarkStart w:id="231" w:name="_Toc281225118"/>
      <w:bookmarkStart w:id="232" w:name="_Toc273358871"/>
      <w:bookmarkStart w:id="233" w:name="_Toc152045545"/>
      <w:r>
        <w:rPr>
          <w:rFonts w:hint="eastAsia" w:cs="宋体" w:asciiTheme="minorEastAsia" w:hAnsiTheme="minorEastAsia" w:eastAsiaTheme="minorEastAsia"/>
          <w:sz w:val="24"/>
        </w:rPr>
        <w:t>2.2.1投标人应仔细阅读和检查招标文件的全部内容。如发现缺页或附件不全，通过《全国公共资源交易平台(河南省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)》发出，以便补齐。如有疑问，应在投标人须知前附表规定的时间要求招标人对招标文件予以澄清。如未提出异议，视为全面接受招标文件所有条款。</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2.2.2招标文件的澄清将在投标人须知前附表规定的投标截止时间15天前通过《全国公共资源交易平台(河南省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)》发出，但不指明澄清问题的来源。如果澄清发出的时间距投标截止时间不足15天，相应延长投标截止时间。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2.2.3所有澄清、答疑全部以《全国公共资源交易平台(河南省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)》发出的为准，不再接受书面形式的递交。</w:t>
      </w:r>
    </w:p>
    <w:p>
      <w:pPr>
        <w:pStyle w:val="4"/>
      </w:pPr>
      <w:bookmarkStart w:id="234" w:name="_Toc499204868"/>
      <w:bookmarkStart w:id="235" w:name="_Toc17993"/>
      <w:bookmarkStart w:id="236" w:name="_Toc26512"/>
      <w:bookmarkStart w:id="237" w:name="_Toc7339"/>
      <w:r>
        <w:t>2.3 招标文件的修改</w:t>
      </w:r>
      <w:bookmarkEnd w:id="226"/>
      <w:bookmarkEnd w:id="227"/>
      <w:bookmarkEnd w:id="228"/>
      <w:bookmarkEnd w:id="229"/>
      <w:bookmarkEnd w:id="230"/>
      <w:bookmarkEnd w:id="231"/>
      <w:bookmarkEnd w:id="232"/>
      <w:bookmarkEnd w:id="233"/>
      <w:bookmarkEnd w:id="234"/>
      <w:bookmarkEnd w:id="235"/>
      <w:bookmarkEnd w:id="236"/>
      <w:bookmarkEnd w:id="23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2.3.1在投标截止时间15天前，招标人可以通过《全国公共资源交易平台(河南省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 xml:space="preserve">)》修改招标文件，如果修改招标文件的的内容可能影响投标文件编制且发出的时间距投标截止时间不足15天，相应延长投标截止时间。 </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2.3.2当招标文件、补充通知、答疑纪要，内容相互矛盾时，以最后发出的通知（或纪要）为准。</w:t>
      </w:r>
    </w:p>
    <w:p>
      <w:pPr>
        <w:pStyle w:val="2"/>
      </w:pPr>
      <w:bookmarkStart w:id="238" w:name="_Toc144974514"/>
      <w:bookmarkStart w:id="239" w:name="_Toc269324703"/>
      <w:bookmarkStart w:id="240" w:name="_Toc498502961"/>
      <w:bookmarkStart w:id="241" w:name="_Toc152045546"/>
      <w:bookmarkStart w:id="242" w:name="_Toc16383"/>
      <w:bookmarkStart w:id="243" w:name="_Toc281225119"/>
      <w:bookmarkStart w:id="244" w:name="_Toc10048"/>
      <w:bookmarkStart w:id="245" w:name="_Toc152042322"/>
      <w:bookmarkStart w:id="246" w:name="_Toc273358872"/>
      <w:r>
        <w:t>3.投标文件</w:t>
      </w:r>
      <w:bookmarkEnd w:id="238"/>
      <w:bookmarkEnd w:id="239"/>
      <w:bookmarkEnd w:id="240"/>
      <w:bookmarkEnd w:id="241"/>
      <w:bookmarkEnd w:id="242"/>
      <w:bookmarkEnd w:id="243"/>
      <w:bookmarkEnd w:id="244"/>
      <w:bookmarkEnd w:id="245"/>
      <w:bookmarkEnd w:id="246"/>
    </w:p>
    <w:p>
      <w:pPr>
        <w:pStyle w:val="4"/>
      </w:pPr>
      <w:bookmarkStart w:id="247" w:name="_Toc9628"/>
      <w:bookmarkStart w:id="248" w:name="_Toc8857"/>
      <w:bookmarkStart w:id="249" w:name="_Toc269324704"/>
      <w:bookmarkStart w:id="250" w:name="_Toc499204870"/>
      <w:bookmarkStart w:id="251" w:name="_Toc17633"/>
      <w:bookmarkStart w:id="252" w:name="_Toc152045547"/>
      <w:bookmarkStart w:id="253" w:name="_Toc152042323"/>
      <w:bookmarkStart w:id="254" w:name="_Toc273358873"/>
      <w:bookmarkStart w:id="255" w:name="_Toc5400"/>
      <w:bookmarkStart w:id="256" w:name="_Toc281225120"/>
      <w:bookmarkStart w:id="257" w:name="_Toc498502962"/>
      <w:bookmarkStart w:id="258" w:name="_Toc144974515"/>
      <w:r>
        <w:t>3.1 投标文件的组成</w:t>
      </w:r>
      <w:bookmarkEnd w:id="247"/>
      <w:bookmarkEnd w:id="248"/>
      <w:bookmarkEnd w:id="249"/>
      <w:bookmarkEnd w:id="250"/>
      <w:bookmarkEnd w:id="251"/>
      <w:bookmarkEnd w:id="252"/>
      <w:bookmarkEnd w:id="253"/>
      <w:bookmarkEnd w:id="254"/>
      <w:bookmarkEnd w:id="255"/>
      <w:bookmarkEnd w:id="256"/>
      <w:bookmarkEnd w:id="257"/>
      <w:bookmarkEnd w:id="258"/>
    </w:p>
    <w:p>
      <w:pPr>
        <w:spacing w:line="360" w:lineRule="auto"/>
        <w:ind w:firstLine="420"/>
        <w:rPr>
          <w:rFonts w:asciiTheme="minorEastAsia" w:hAnsiTheme="minorEastAsia" w:eastAsiaTheme="minorEastAsia"/>
          <w:sz w:val="24"/>
        </w:rPr>
      </w:pPr>
      <w:bookmarkStart w:id="259" w:name="_Toc153591698"/>
      <w:bookmarkStart w:id="260" w:name="_Toc153177742"/>
      <w:bookmarkStart w:id="261" w:name="_Toc153524002"/>
      <w:bookmarkStart w:id="262" w:name="_Toc21599374"/>
      <w:bookmarkStart w:id="263" w:name="_Toc529256978"/>
      <w:bookmarkStart w:id="264" w:name="_Toc298231486"/>
      <w:bookmarkStart w:id="265" w:name="_Toc298501349"/>
      <w:bookmarkStart w:id="266" w:name="_Toc32175"/>
      <w:r>
        <w:rPr>
          <w:rFonts w:asciiTheme="minorEastAsia" w:hAnsiTheme="minorEastAsia" w:eastAsiaTheme="minorEastAsia"/>
          <w:sz w:val="24"/>
        </w:rPr>
        <w:t>3.1.1投标人应使用招标文件第六章规定的格式编制投标文件（表格可按同样格式扩展或复制）；未有规定格式的，投标人可自行编制。</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3.1.1.1</w:t>
      </w:r>
      <w:r>
        <w:rPr>
          <w:rFonts w:hint="eastAsia" w:asciiTheme="minorEastAsia" w:hAnsiTheme="minorEastAsia" w:eastAsiaTheme="minorEastAsia"/>
          <w:sz w:val="24"/>
        </w:rPr>
        <w:t>投标文件</w:t>
      </w:r>
      <w:r>
        <w:rPr>
          <w:rFonts w:asciiTheme="minorEastAsia" w:hAnsiTheme="minorEastAsia" w:eastAsiaTheme="minorEastAsia"/>
          <w:sz w:val="24"/>
        </w:rPr>
        <w:t>应包括下列内容，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组成及格式见第六章：</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（1）投标函及投标函附录；</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（2）法定代表人身份证明或附有法定代表人身份证明的授权委托书；</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（3）投标保证金；</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）项目管理机构；</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）资格审查资料；</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拟投入本工程监理工作条件一览表；</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（7）不良行为记录查询内容；</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（8）信用情况；</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（9）监理大纲；</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其他资料</w:t>
      </w:r>
      <w:r>
        <w:rPr>
          <w:rFonts w:hint="eastAsia" w:asciiTheme="minorEastAsia" w:hAnsiTheme="minorEastAsia" w:eastAsiaTheme="minorEastAsia"/>
          <w:sz w:val="24"/>
        </w:rPr>
        <w:t>；</w:t>
      </w:r>
    </w:p>
    <w:p>
      <w:pPr>
        <w:spacing w:line="360" w:lineRule="auto"/>
        <w:ind w:firstLine="890" w:firstLineChars="371"/>
        <w:rPr>
          <w:rFonts w:asciiTheme="minorEastAsia" w:hAnsiTheme="minorEastAsia" w:eastAsiaTheme="minorEastAsia"/>
          <w:sz w:val="24"/>
        </w:rPr>
      </w:pPr>
      <w:r>
        <w:rPr>
          <w:rFonts w:hint="eastAsia" w:asciiTheme="minorEastAsia" w:hAnsiTheme="minorEastAsia" w:eastAsiaTheme="minorEastAsia"/>
          <w:sz w:val="24"/>
        </w:rPr>
        <w:t>（11）投标人递交资料原件清单。</w:t>
      </w:r>
    </w:p>
    <w:p>
      <w:pPr>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3.1.1.2监理大纲应包括但不限于以下内容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（1）工程概述：本章节主要根据已掌握的资料，结合现场考察情况对拟投工程的总体概况进行简单描述。</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（2）监理工作范围与内容：依据监理合同条款，编制监理工作范围与内容。</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）机构设置与岗位职责：通过框图形式，明确拟投监理标段的组织机构设置和相应的岗位职责。</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）监理工作程序：分别对质量控制、进度控制、费用控制、合同管理、信息管理、</w:t>
      </w:r>
      <w:r>
        <w:rPr>
          <w:rFonts w:hint="eastAsia" w:asciiTheme="minorEastAsia" w:hAnsiTheme="minorEastAsia" w:eastAsiaTheme="minorEastAsia"/>
          <w:sz w:val="24"/>
        </w:rPr>
        <w:t>协调配合、</w:t>
      </w:r>
      <w:r>
        <w:rPr>
          <w:rFonts w:asciiTheme="minorEastAsia" w:hAnsiTheme="minorEastAsia" w:eastAsiaTheme="minorEastAsia"/>
          <w:sz w:val="24"/>
        </w:rPr>
        <w:t>安全监理、</w:t>
      </w:r>
      <w:r>
        <w:rPr>
          <w:rFonts w:hint="eastAsia" w:asciiTheme="minorEastAsia" w:hAnsiTheme="minorEastAsia" w:eastAsiaTheme="minorEastAsia"/>
          <w:sz w:val="24"/>
        </w:rPr>
        <w:t>环境监理（须包含大气污染防治、扬尘治理及建筑垃圾处理监理方案）</w:t>
      </w:r>
      <w:r>
        <w:rPr>
          <w:rFonts w:asciiTheme="minorEastAsia" w:hAnsiTheme="minorEastAsia" w:eastAsiaTheme="minorEastAsia"/>
          <w:sz w:val="24"/>
        </w:rPr>
        <w:t>等方面，结合监理工作的阶段划分，进行监理工作的方法与流程的详尽阐述。</w:t>
      </w:r>
    </w:p>
    <w:p>
      <w:pPr>
        <w:spacing w:line="360" w:lineRule="auto"/>
        <w:ind w:firstLine="890" w:firstLineChars="371"/>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）本工程监理工作的重点与难点分析：根据招标文件及现场察看，对本工程监理工作需要特别给予重视的问题逐一论述并给出解决难点的对策与方法。</w:t>
      </w:r>
    </w:p>
    <w:p>
      <w:pPr>
        <w:spacing w:line="360" w:lineRule="auto"/>
        <w:ind w:firstLine="928" w:firstLineChars="387"/>
        <w:rPr>
          <w:rFonts w:asciiTheme="minorEastAsia" w:hAnsiTheme="minorEastAsia" w:eastAsiaTheme="minorEastAsia"/>
          <w:sz w:val="24"/>
        </w:rPr>
      </w:pPr>
      <w:bookmarkStart w:id="267" w:name="_Toc310517456"/>
      <w:bookmarkStart w:id="268" w:name="_Toc310524703"/>
      <w:bookmarkStart w:id="269" w:name="_Toc308013093"/>
      <w:r>
        <w:rPr>
          <w:rFonts w:asciiTheme="minorEastAsia" w:hAnsiTheme="minorEastAsia" w:eastAsiaTheme="minorEastAsia"/>
          <w:sz w:val="24"/>
        </w:rPr>
        <w:t>（6）其他建议：为更好地完成本工程的监理工作，投标人可按照自身的实际经验，对本工程监理工作提出良好的建议。</w:t>
      </w:r>
      <w:bookmarkEnd w:id="267"/>
      <w:bookmarkEnd w:id="268"/>
      <w:bookmarkEnd w:id="269"/>
    </w:p>
    <w:p>
      <w:pPr>
        <w:pStyle w:val="4"/>
      </w:pPr>
      <w:bookmarkStart w:id="270" w:name="_Toc498502963"/>
      <w:bookmarkStart w:id="271" w:name="_Toc499204871"/>
      <w:bookmarkStart w:id="272" w:name="_Toc27192"/>
      <w:bookmarkStart w:id="273" w:name="_Toc18920"/>
      <w:bookmarkStart w:id="274" w:name="_Toc8064"/>
      <w:r>
        <w:t>3.2投标</w:t>
      </w:r>
      <w:bookmarkEnd w:id="259"/>
      <w:bookmarkEnd w:id="260"/>
      <w:bookmarkEnd w:id="261"/>
      <w:bookmarkEnd w:id="262"/>
      <w:bookmarkEnd w:id="263"/>
      <w:r>
        <w:t>报价</w:t>
      </w:r>
      <w:bookmarkEnd w:id="264"/>
      <w:bookmarkEnd w:id="265"/>
      <w:bookmarkEnd w:id="266"/>
      <w:bookmarkEnd w:id="270"/>
      <w:bookmarkEnd w:id="271"/>
      <w:bookmarkEnd w:id="272"/>
      <w:bookmarkEnd w:id="273"/>
      <w:bookmarkEnd w:id="27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3.2.1监理服务费</w:t>
      </w:r>
      <w:r>
        <w:rPr>
          <w:rFonts w:hint="eastAsia" w:asciiTheme="minorEastAsia" w:hAnsiTheme="minorEastAsia" w:eastAsiaTheme="minorEastAsia"/>
          <w:sz w:val="24"/>
        </w:rPr>
        <w:t>采用固定费率方式，费率为百</w:t>
      </w:r>
      <w:r>
        <w:rPr>
          <w:rFonts w:asciiTheme="minorEastAsia" w:hAnsiTheme="minorEastAsia" w:eastAsiaTheme="minorEastAsia"/>
          <w:sz w:val="24"/>
        </w:rPr>
        <w:t>分比，保留到小数点后两位数</w:t>
      </w:r>
      <w:r>
        <w:rPr>
          <w:rFonts w:hint="eastAsia" w:asciiTheme="minorEastAsia" w:hAnsiTheme="minorEastAsia" w:eastAsiaTheme="minorEastAsia"/>
          <w:sz w:val="24"/>
        </w:rPr>
        <w:t>，其他约定详见合同条款。</w:t>
      </w:r>
    </w:p>
    <w:p>
      <w:pPr>
        <w:spacing w:line="360" w:lineRule="auto"/>
        <w:ind w:firstLine="420"/>
        <w:jc w:val="left"/>
        <w:rPr>
          <w:rFonts w:asciiTheme="minorEastAsia" w:hAnsiTheme="minorEastAsia" w:eastAsiaTheme="minorEastAsia"/>
          <w:bCs/>
          <w:sz w:val="24"/>
        </w:rPr>
      </w:pPr>
      <w:r>
        <w:rPr>
          <w:rFonts w:asciiTheme="minorEastAsia" w:hAnsiTheme="minorEastAsia" w:eastAsiaTheme="minorEastAsia"/>
          <w:bCs/>
          <w:sz w:val="24"/>
        </w:rPr>
        <w:t>3.2.</w:t>
      </w:r>
      <w:r>
        <w:rPr>
          <w:rFonts w:hint="eastAsia" w:asciiTheme="minorEastAsia" w:hAnsiTheme="minorEastAsia" w:eastAsiaTheme="minorEastAsia"/>
          <w:bCs/>
          <w:sz w:val="24"/>
        </w:rPr>
        <w:t>2投标人</w:t>
      </w:r>
      <w:r>
        <w:rPr>
          <w:rFonts w:asciiTheme="minorEastAsia" w:hAnsiTheme="minorEastAsia" w:eastAsiaTheme="minorEastAsia"/>
          <w:bCs/>
          <w:sz w:val="24"/>
        </w:rPr>
        <w:t>应充分考虑工程规模、监理范围、工作内容、监理难度、工作条件、自身实力和风险因素，充分考虑市场竞争情况，进行报价。</w:t>
      </w:r>
      <w:r>
        <w:rPr>
          <w:rFonts w:hint="eastAsia" w:asciiTheme="minorEastAsia" w:hAnsiTheme="minorEastAsia" w:eastAsiaTheme="minorEastAsia"/>
          <w:bCs/>
          <w:sz w:val="24"/>
        </w:rPr>
        <w:t>监理人的具体工作包括：所监理项目范围内施工承包人的所有工作监理，与本项目相关的</w:t>
      </w:r>
      <w:r>
        <w:rPr>
          <w:rFonts w:asciiTheme="minorEastAsia" w:hAnsiTheme="minorEastAsia" w:eastAsiaTheme="minorEastAsia"/>
          <w:bCs/>
          <w:kern w:val="0"/>
          <w:sz w:val="24"/>
        </w:rPr>
        <w:t>征地拆迁、管线拆改、绿化迁植</w:t>
      </w:r>
      <w:r>
        <w:rPr>
          <w:rFonts w:hint="eastAsia" w:asciiTheme="minorEastAsia" w:hAnsiTheme="minorEastAsia" w:eastAsiaTheme="minorEastAsia"/>
          <w:bCs/>
          <w:kern w:val="0"/>
          <w:sz w:val="24"/>
        </w:rPr>
        <w:t>、交通导改、临水与临电安装（含拆除）、管线接驳</w:t>
      </w:r>
      <w:r>
        <w:rPr>
          <w:rFonts w:asciiTheme="minorEastAsia" w:hAnsiTheme="minorEastAsia" w:eastAsiaTheme="minorEastAsia"/>
          <w:bCs/>
          <w:kern w:val="0"/>
          <w:sz w:val="24"/>
        </w:rPr>
        <w:t>等前期</w:t>
      </w:r>
      <w:r>
        <w:rPr>
          <w:rFonts w:hint="eastAsia" w:asciiTheme="minorEastAsia" w:hAnsiTheme="minorEastAsia" w:eastAsiaTheme="minorEastAsia"/>
          <w:bCs/>
          <w:kern w:val="0"/>
          <w:sz w:val="24"/>
        </w:rPr>
        <w:t>工作监理以及临时用地、管线、道路、绿化、交通设施、公交等后期恢复工作监理，甲供材料设备监理。监理服务费报价应包括完成上述监理工作服务费用，还应包括</w:t>
      </w:r>
      <w:r>
        <w:rPr>
          <w:rFonts w:asciiTheme="minorEastAsia" w:hAnsiTheme="minorEastAsia" w:eastAsiaTheme="minorEastAsia"/>
          <w:bCs/>
          <w:sz w:val="24"/>
        </w:rPr>
        <w:t>施工阶段监理人员服务费、加班费、食宿费、交通费、办公设备、用品费、监理设备使用维护费、所有自行或者外委试验检测的相关费用</w:t>
      </w:r>
      <w:r>
        <w:rPr>
          <w:rFonts w:hint="eastAsia" w:asciiTheme="minorEastAsia" w:hAnsiTheme="minorEastAsia" w:eastAsiaTheme="minorEastAsia"/>
          <w:bCs/>
          <w:sz w:val="24"/>
        </w:rPr>
        <w:t>、</w:t>
      </w:r>
      <w:r>
        <w:rPr>
          <w:rFonts w:asciiTheme="minorEastAsia" w:hAnsiTheme="minorEastAsia" w:eastAsiaTheme="minorEastAsia"/>
          <w:bCs/>
          <w:sz w:val="24"/>
        </w:rPr>
        <w:t>现场管理费用</w:t>
      </w:r>
      <w:r>
        <w:rPr>
          <w:rFonts w:hint="eastAsia" w:asciiTheme="minorEastAsia" w:hAnsiTheme="minorEastAsia" w:eastAsiaTheme="minorEastAsia"/>
          <w:bCs/>
          <w:sz w:val="24"/>
        </w:rPr>
        <w:t>、</w:t>
      </w:r>
      <w:r>
        <w:rPr>
          <w:rFonts w:asciiTheme="minorEastAsia" w:hAnsiTheme="minorEastAsia" w:eastAsiaTheme="minorEastAsia"/>
          <w:bCs/>
          <w:sz w:val="24"/>
        </w:rPr>
        <w:t>公司管理费用</w:t>
      </w:r>
      <w:r>
        <w:rPr>
          <w:rFonts w:hint="eastAsia" w:asciiTheme="minorEastAsia" w:hAnsiTheme="minorEastAsia" w:eastAsiaTheme="minorEastAsia"/>
          <w:bCs/>
          <w:sz w:val="24"/>
        </w:rPr>
        <w:t>、</w:t>
      </w:r>
      <w:r>
        <w:rPr>
          <w:rFonts w:asciiTheme="minorEastAsia" w:hAnsiTheme="minorEastAsia" w:eastAsiaTheme="minorEastAsia"/>
          <w:bCs/>
          <w:sz w:val="24"/>
        </w:rPr>
        <w:t>监理服务风险费</w:t>
      </w:r>
      <w:r>
        <w:rPr>
          <w:rFonts w:hint="eastAsia" w:asciiTheme="minorEastAsia" w:hAnsiTheme="minorEastAsia" w:eastAsiaTheme="minorEastAsia"/>
          <w:bCs/>
          <w:sz w:val="24"/>
        </w:rPr>
        <w:t>、</w:t>
      </w:r>
      <w:r>
        <w:rPr>
          <w:rFonts w:asciiTheme="minorEastAsia" w:hAnsiTheme="minorEastAsia" w:eastAsiaTheme="minorEastAsia"/>
          <w:bCs/>
          <w:sz w:val="24"/>
        </w:rPr>
        <w:t>利润</w:t>
      </w:r>
      <w:r>
        <w:rPr>
          <w:rFonts w:hint="eastAsia" w:asciiTheme="minorEastAsia" w:hAnsiTheme="minorEastAsia" w:eastAsiaTheme="minorEastAsia"/>
          <w:bCs/>
          <w:sz w:val="24"/>
        </w:rPr>
        <w:t>、</w:t>
      </w:r>
      <w:r>
        <w:rPr>
          <w:rFonts w:asciiTheme="minorEastAsia" w:hAnsiTheme="minorEastAsia" w:eastAsiaTheme="minorEastAsia"/>
          <w:bCs/>
          <w:sz w:val="24"/>
        </w:rPr>
        <w:t>税金等</w:t>
      </w:r>
      <w:r>
        <w:rPr>
          <w:rFonts w:hint="eastAsia" w:asciiTheme="minorEastAsia" w:hAnsiTheme="minorEastAsia" w:eastAsiaTheme="minorEastAsia"/>
          <w:bCs/>
          <w:sz w:val="24"/>
        </w:rPr>
        <w:t>费用。</w:t>
      </w:r>
    </w:p>
    <w:p>
      <w:pPr>
        <w:spacing w:line="360" w:lineRule="auto"/>
        <w:ind w:firstLine="420"/>
        <w:jc w:val="left"/>
        <w:rPr>
          <w:rFonts w:asciiTheme="minorEastAsia" w:hAnsiTheme="minorEastAsia" w:eastAsiaTheme="minorEastAsia"/>
          <w:bCs/>
          <w:sz w:val="24"/>
        </w:rPr>
      </w:pPr>
      <w:r>
        <w:rPr>
          <w:rFonts w:hint="eastAsia" w:asciiTheme="minorEastAsia" w:hAnsiTheme="minorEastAsia" w:eastAsiaTheme="minorEastAsia"/>
          <w:sz w:val="24"/>
        </w:rPr>
        <w:t>3.2.3</w:t>
      </w:r>
      <w:r>
        <w:rPr>
          <w:rFonts w:hint="eastAsia" w:asciiTheme="minorEastAsia" w:hAnsiTheme="minorEastAsia" w:eastAsiaTheme="minorEastAsia"/>
          <w:bCs/>
          <w:sz w:val="24"/>
        </w:rPr>
        <w:t xml:space="preserve"> 投标报价为含税价格。合同中的不含税价格在中标后根据相关法律法规测算确定，合同履行中如税率调整，不含税价格重新测算，含税价格不予调整。</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3.2.</w:t>
      </w:r>
      <w:r>
        <w:rPr>
          <w:rFonts w:hint="eastAsia" w:asciiTheme="minorEastAsia" w:hAnsiTheme="minorEastAsia" w:eastAsiaTheme="minorEastAsia"/>
          <w:sz w:val="24"/>
        </w:rPr>
        <w:t>4</w:t>
      </w:r>
      <w:r>
        <w:rPr>
          <w:rFonts w:asciiTheme="minorEastAsia" w:hAnsiTheme="minorEastAsia" w:eastAsiaTheme="minorEastAsia"/>
          <w:sz w:val="24"/>
        </w:rPr>
        <w:t>招标人不接受投标人递交的调价函，只允许一个投标报价。</w:t>
      </w:r>
    </w:p>
    <w:p>
      <w:pPr>
        <w:pStyle w:val="4"/>
      </w:pPr>
      <w:bookmarkStart w:id="275" w:name="_Toc269324706"/>
      <w:bookmarkStart w:id="276" w:name="_Toc29042"/>
      <w:bookmarkStart w:id="277" w:name="_Toc20059"/>
      <w:bookmarkStart w:id="278" w:name="_Toc152045549"/>
      <w:bookmarkStart w:id="279" w:name="_Toc144974517"/>
      <w:bookmarkStart w:id="280" w:name="_Toc281225124"/>
      <w:bookmarkStart w:id="281" w:name="_Toc152042325"/>
      <w:bookmarkStart w:id="282" w:name="_Toc499204872"/>
      <w:bookmarkStart w:id="283" w:name="_Toc498502964"/>
      <w:bookmarkStart w:id="284" w:name="_Toc1329"/>
      <w:bookmarkStart w:id="285" w:name="_Toc273358875"/>
      <w:bookmarkStart w:id="286" w:name="_Toc13057"/>
      <w:r>
        <w:t>3.3 投标有效期</w:t>
      </w:r>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20"/>
        <w:jc w:val="left"/>
        <w:rPr>
          <w:rFonts w:asciiTheme="minorEastAsia" w:hAnsiTheme="minorEastAsia" w:eastAsiaTheme="minorEastAsia"/>
          <w:sz w:val="24"/>
        </w:rPr>
      </w:pPr>
      <w:bookmarkStart w:id="287" w:name="_Toc291080516"/>
      <w:bookmarkStart w:id="288" w:name="_Toc270670948"/>
      <w:bookmarkStart w:id="289" w:name="_Toc271529602"/>
      <w:bookmarkStart w:id="290" w:name="_Toc281225125"/>
      <w:bookmarkStart w:id="291" w:name="_Toc270601497"/>
      <w:bookmarkStart w:id="292" w:name="_Toc280876771"/>
      <w:r>
        <w:rPr>
          <w:rFonts w:asciiTheme="minorEastAsia" w:hAnsiTheme="minorEastAsia" w:eastAsiaTheme="minorEastAsia"/>
          <w:sz w:val="24"/>
        </w:rPr>
        <w:t>3.3.1 在投标人须知前附表规定的投标有效期内，投标人不得要求撤销或修改其投标文件。</w:t>
      </w:r>
      <w:bookmarkEnd w:id="287"/>
      <w:bookmarkEnd w:id="288"/>
      <w:bookmarkEnd w:id="289"/>
      <w:bookmarkEnd w:id="290"/>
      <w:bookmarkEnd w:id="291"/>
      <w:bookmarkEnd w:id="29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Pr>
      <w:bookmarkStart w:id="293" w:name="_Toc152042326"/>
      <w:bookmarkStart w:id="294" w:name="_Toc144974518"/>
      <w:bookmarkStart w:id="295" w:name="_Toc152045550"/>
      <w:bookmarkStart w:id="296" w:name="_Toc269324707"/>
      <w:bookmarkStart w:id="297" w:name="_Toc498502965"/>
      <w:bookmarkStart w:id="298" w:name="_Toc28671"/>
      <w:bookmarkStart w:id="299" w:name="_Toc22791"/>
      <w:bookmarkStart w:id="300" w:name="_Toc10345"/>
      <w:bookmarkStart w:id="301" w:name="_Toc7427"/>
      <w:bookmarkStart w:id="302" w:name="_Toc499204873"/>
      <w:bookmarkStart w:id="303" w:name="_Toc281225126"/>
      <w:bookmarkStart w:id="304" w:name="_Toc273358876"/>
      <w:r>
        <w:t xml:space="preserve">3.4 </w:t>
      </w:r>
      <w:bookmarkEnd w:id="293"/>
      <w:bookmarkEnd w:id="294"/>
      <w:bookmarkEnd w:id="295"/>
      <w:bookmarkEnd w:id="296"/>
      <w:r>
        <w:t>投标保证金</w:t>
      </w:r>
      <w:bookmarkEnd w:id="297"/>
      <w:bookmarkEnd w:id="298"/>
      <w:bookmarkEnd w:id="299"/>
      <w:bookmarkEnd w:id="300"/>
      <w:bookmarkEnd w:id="301"/>
      <w:bookmarkEnd w:id="302"/>
      <w:bookmarkEnd w:id="303"/>
      <w:bookmarkEnd w:id="304"/>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投标保证金的递交</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3.4.1.1因投标人的原因无法及时退还投标（竞买）保证金、滞留三年以上的，投标（竞买）保证金上缴财政。</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3.4.1.2自文件发布之日起，投标人需进行基本户备案（建设工程项目），已备案的基本户开户银行、账户发生变化的，须重新办理备案手续。备案后方可提交投标（竞买）保证金。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基本户备案流程：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殊情况处理：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 投标人应按投标人须知前附表规定缴纳投标保证金。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3.4.2.1投标保证金的递交方式：银行转帐、银行电汇（均需从投标人的基本账户汇出）。</w:t>
      </w:r>
      <w:r>
        <w:rPr>
          <w:rFonts w:hint="eastAsia" w:cs="宋体" w:asciiTheme="minorEastAsia" w:hAnsiTheme="minorEastAsia" w:eastAsiaTheme="minorEastAsia"/>
          <w:sz w:val="24"/>
          <w:lang w:val="zh-CN"/>
        </w:rPr>
        <w:t xml:space="preserve">不接受以现金方式缴纳的投标保证金。凡以现金方式缴纳投标保证金而影响其投标结果的，由投标人自行负责。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3.4.2.2保证金缴纳方式：投标人网上下载招标文件后，登录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rPr>
        <w:t>http://221.14.6.70:8088/ggzy</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成功缴纳后重新登录前述系统，依次点击“会员向导”→“参与投标”→“保证金绑定”→“绑定”进行投标保证金绑定。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3.4.2.3每个投标人每个项目每个标段只有唯一缴纳账号，切勿重复缴纳或错误缴纳。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3.4.2.4投标人严格按照“保证金缴纳说明单”内容缴纳投标保证金，并保留缴纳凭证以备查询。为确保投标保证金到账的保密性、准确性，汇款凭证不得备注项目编号和项目名称。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3.4.2.5未按上述规定操作引起的无效投标，由投标人自行负责。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3.4.2.6出现以下情形造成的投标保证金未及时到账或被退回，由投标人自行负责。</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(2)投标保证金未按照招标文件划分的标段依次转账。          </w:t>
      </w:r>
    </w:p>
    <w:p>
      <w:pPr>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3.4.2.7</w:t>
      </w:r>
      <w:r>
        <w:rPr>
          <w:rFonts w:hint="eastAsia" w:cs="宋体" w:asciiTheme="minorEastAsia" w:hAnsiTheme="minorEastAsia" w:eastAsiaTheme="minorEastAsia"/>
          <w:sz w:val="24"/>
          <w:lang w:val="zh-CN"/>
        </w:rPr>
        <w:t>《保证金缴纳绑定操作指南》获取方法：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登录</w:t>
      </w:r>
      <w:r>
        <w:rPr>
          <w:rFonts w:hint="eastAsia" w:cs="宋体" w:asciiTheme="minorEastAsia" w:hAnsiTheme="minorEastAsia" w:eastAsiaTheme="minorEastAsia"/>
          <w:sz w:val="24"/>
        </w:rPr>
        <w:t>《全国公共资源交易平台(河南省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-组件下载-《保证金缴纳绑定操作指南》</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3.4.3 投标人不按本章第3.4.2项要求提交投标保证金的，拒收其投标文件。</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3.4.4投标保证金的退还：</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(1)中标公示期满没有质疑或投诉的，5个工作日内退还非中标候选人投标保证金及银行同期活期存款利息。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(2)在书面合同签订5个工作日内向中标人和其他中标候选人退还投标保证金及银行同期活期存款利息；法定期限内未签订书面合同的，按照有关规定退还其投标保证金。及银行同期活期存款利息。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(3)项目废标或招标人终止招标的，在此后5个工作日内退还投标保证金及银行同期活期存利息。</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(4)投标活动中出现质疑、投诉的，中标候选人、质疑人和被质疑人、投诉人和被投诉人的投标保证金暂停退还。</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(5)相关投标人有违法违规行为的项目，其投标保证金暂不退还，待行政监督部门对相关情况处置后，按照有关规定办理。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(6)退还投标保证金，除另有规定外，一般以转账方式一次性退还至投标保证金的原提交账户。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3.4.5投标人有下列情形之一的，不予退还投标保证金：</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(1)在招标文件要求提交招标文件的截止时间后至招标文件有效期满前撤回投标的；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(2)中标通知书发出后，中标人无故放弃中标项目或无正当理由在规定时间内不与招标人签订合同或未按招标文件规定提交履约担保的；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(3)将中标项目转让给他人，或者在投标文件中未说明，且未经招标人同意，将中标项目分包给他人的；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(4)投标人在招投标活动中弄虚作假、围标串标，骗取中标并经招投标行政监督部门调查核实的；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(5)拒绝履行合同义务的；</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(6)相关法律、法规规定不予退还的其它情形；(7)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pPr>
      <w:bookmarkStart w:id="305" w:name="_Toc144974520"/>
      <w:bookmarkStart w:id="306" w:name="_Toc273358877"/>
      <w:bookmarkStart w:id="307" w:name="_Toc152045552"/>
      <w:bookmarkStart w:id="308" w:name="_Toc152042328"/>
      <w:bookmarkStart w:id="309" w:name="_Toc26797"/>
      <w:bookmarkStart w:id="310" w:name="_Toc281225127"/>
      <w:bookmarkStart w:id="311" w:name="_Toc499204874"/>
      <w:bookmarkStart w:id="312" w:name="_Toc8554"/>
      <w:bookmarkStart w:id="313" w:name="_Toc12033"/>
      <w:bookmarkStart w:id="314" w:name="_Toc269324708"/>
      <w:bookmarkStart w:id="315" w:name="_Toc25337"/>
      <w:bookmarkStart w:id="316" w:name="_Toc498502966"/>
      <w:r>
        <w:t>3.5 资格审查资料</w:t>
      </w:r>
      <w:bookmarkEnd w:id="305"/>
      <w:bookmarkEnd w:id="306"/>
      <w:bookmarkEnd w:id="307"/>
      <w:bookmarkEnd w:id="308"/>
      <w:bookmarkEnd w:id="309"/>
      <w:bookmarkEnd w:id="310"/>
      <w:bookmarkEnd w:id="311"/>
      <w:bookmarkEnd w:id="312"/>
      <w:bookmarkEnd w:id="313"/>
      <w:bookmarkEnd w:id="314"/>
      <w:bookmarkEnd w:id="315"/>
      <w:bookmarkEnd w:id="31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3.5.1投标人基本情况表。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3.5.2近年财务状况表</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3.5.3近年安全、质量情况说明表，年份要求详见投标人须知前附表</w:t>
      </w:r>
      <w:r>
        <w:rPr>
          <w:rFonts w:hint="eastAsia" w:asciiTheme="minorEastAsia" w:hAnsiTheme="minorEastAsia" w:eastAsiaTheme="minorEastAsia"/>
          <w:sz w:val="24"/>
        </w:rPr>
        <w:t>。</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3.5.4近年来承担的类似</w:t>
      </w:r>
      <w:r>
        <w:rPr>
          <w:rFonts w:hint="eastAsia" w:asciiTheme="minorEastAsia" w:hAnsiTheme="minorEastAsia" w:eastAsiaTheme="minorEastAsia"/>
          <w:sz w:val="24"/>
        </w:rPr>
        <w:t>项目业绩</w:t>
      </w:r>
      <w:r>
        <w:rPr>
          <w:rFonts w:asciiTheme="minorEastAsia" w:hAnsiTheme="minorEastAsia" w:eastAsiaTheme="minorEastAsia"/>
          <w:sz w:val="24"/>
        </w:rPr>
        <w:t>情况</w:t>
      </w:r>
      <w:r>
        <w:rPr>
          <w:rFonts w:hint="eastAsia" w:asciiTheme="minorEastAsia" w:hAnsiTheme="minorEastAsia" w:eastAsiaTheme="minorEastAsia"/>
          <w:sz w:val="24"/>
        </w:rPr>
        <w:t>一览</w:t>
      </w:r>
      <w:r>
        <w:rPr>
          <w:rFonts w:asciiTheme="minorEastAsia" w:hAnsiTheme="minorEastAsia" w:eastAsiaTheme="minorEastAsia"/>
          <w:sz w:val="24"/>
        </w:rPr>
        <w:t>表</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r>
        <w:rPr>
          <w:rFonts w:hint="eastAsia" w:asciiTheme="minorEastAsia" w:hAnsiTheme="minorEastAsia" w:eastAsiaTheme="minorEastAsia"/>
          <w:sz w:val="24"/>
        </w:rPr>
        <w:t>。</w:t>
      </w:r>
    </w:p>
    <w:p>
      <w:pPr>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3.5.5 近年来承担类似项目业绩情况表。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6</w:t>
      </w:r>
      <w:r>
        <w:rPr>
          <w:rFonts w:asciiTheme="minorEastAsia" w:hAnsiTheme="minorEastAsia" w:eastAsiaTheme="minorEastAsia"/>
          <w:sz w:val="24"/>
        </w:rPr>
        <w:t>近年发生的诉讼及仲裁情况</w:t>
      </w:r>
      <w:r>
        <w:rPr>
          <w:rFonts w:hint="eastAsia" w:asciiTheme="minorEastAsia" w:hAnsiTheme="minorEastAsia" w:eastAsiaTheme="minorEastAsia"/>
          <w:sz w:val="24"/>
        </w:rPr>
        <w:t>，</w:t>
      </w:r>
      <w:r>
        <w:rPr>
          <w:rFonts w:asciiTheme="minorEastAsia" w:hAnsiTheme="minorEastAsia" w:eastAsiaTheme="minorEastAsia"/>
          <w:sz w:val="24"/>
        </w:rPr>
        <w:t>年份要求见投标人须知前附表。</w:t>
      </w:r>
    </w:p>
    <w:p>
      <w:pPr>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3.5.7 投标人关联企业情况声明。</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8 承诺书。</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9</w:t>
      </w:r>
      <w:r>
        <w:rPr>
          <w:rFonts w:asciiTheme="minorEastAsia" w:hAnsiTheme="minorEastAsia" w:eastAsiaTheme="minorEastAsia"/>
          <w:sz w:val="24"/>
        </w:rPr>
        <w:t>投标人须知前附表规定接受联合体投标的，本章第3.5.1项至第3.5.5项规定的表格和资料应包括联合体各方相关情况。</w:t>
      </w:r>
    </w:p>
    <w:p>
      <w:pPr>
        <w:pStyle w:val="4"/>
      </w:pPr>
      <w:bookmarkStart w:id="317" w:name="_Toc269324709"/>
      <w:bookmarkStart w:id="318" w:name="_Toc7244"/>
      <w:bookmarkStart w:id="319" w:name="_Toc2216"/>
      <w:bookmarkStart w:id="320" w:name="_Toc152045553"/>
      <w:bookmarkStart w:id="321" w:name="_Toc281225128"/>
      <w:bookmarkStart w:id="322" w:name="_Toc12749"/>
      <w:bookmarkStart w:id="323" w:name="_Toc273358878"/>
      <w:bookmarkStart w:id="324" w:name="_Toc144974521"/>
      <w:bookmarkStart w:id="325" w:name="_Toc499204875"/>
      <w:bookmarkStart w:id="326" w:name="_Toc22535"/>
      <w:bookmarkStart w:id="327" w:name="_Toc152042329"/>
      <w:bookmarkStart w:id="328" w:name="_Toc498502967"/>
      <w:r>
        <w:t>3.6 备选投标方案</w:t>
      </w:r>
      <w:bookmarkEnd w:id="317"/>
      <w:bookmarkEnd w:id="318"/>
      <w:bookmarkEnd w:id="319"/>
      <w:bookmarkEnd w:id="320"/>
      <w:bookmarkEnd w:id="321"/>
      <w:bookmarkEnd w:id="322"/>
      <w:bookmarkEnd w:id="323"/>
      <w:bookmarkEnd w:id="324"/>
      <w:bookmarkEnd w:id="325"/>
      <w:bookmarkEnd w:id="326"/>
      <w:bookmarkEnd w:id="327"/>
      <w:bookmarkEnd w:id="32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pPr>
      <w:bookmarkStart w:id="329" w:name="_Toc605"/>
      <w:bookmarkStart w:id="330" w:name="_Toc269324710"/>
      <w:bookmarkStart w:id="331" w:name="_Toc144974522"/>
      <w:bookmarkStart w:id="332" w:name="_Toc19593"/>
      <w:bookmarkStart w:id="333" w:name="_Toc281225129"/>
      <w:bookmarkStart w:id="334" w:name="_Toc152042330"/>
      <w:bookmarkStart w:id="335" w:name="_Toc498502968"/>
      <w:bookmarkStart w:id="336" w:name="_Toc29755"/>
      <w:bookmarkStart w:id="337" w:name="_Toc152045554"/>
      <w:bookmarkStart w:id="338" w:name="_Toc30024"/>
      <w:bookmarkStart w:id="339" w:name="_Toc273358879"/>
      <w:bookmarkStart w:id="340" w:name="_Toc499204876"/>
      <w:r>
        <w:t>3.7 投标文件的编制</w:t>
      </w:r>
      <w:bookmarkEnd w:id="329"/>
      <w:bookmarkEnd w:id="330"/>
      <w:bookmarkEnd w:id="331"/>
      <w:bookmarkEnd w:id="332"/>
      <w:bookmarkEnd w:id="333"/>
      <w:bookmarkEnd w:id="334"/>
      <w:bookmarkEnd w:id="335"/>
      <w:bookmarkEnd w:id="336"/>
      <w:bookmarkEnd w:id="337"/>
      <w:bookmarkEnd w:id="338"/>
      <w:bookmarkEnd w:id="339"/>
      <w:bookmarkEnd w:id="340"/>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3.7.1投标文件应按第六章</w:t>
      </w:r>
      <w:r>
        <w:rPr>
          <w:rFonts w:hint="eastAsia" w:asciiTheme="minorEastAsia" w:hAnsiTheme="minorEastAsia" w:eastAsiaTheme="minorEastAsia"/>
          <w:sz w:val="24"/>
        </w:rPr>
        <w:t>“</w:t>
      </w:r>
      <w:r>
        <w:rPr>
          <w:rFonts w:asciiTheme="minorEastAsia" w:hAnsiTheme="minorEastAsia" w:eastAsiaTheme="minorEastAsia"/>
          <w:sz w:val="24"/>
        </w:rPr>
        <w:t>投标文件格式</w:t>
      </w:r>
      <w:r>
        <w:rPr>
          <w:rFonts w:hint="eastAsia" w:asciiTheme="minorEastAsia" w:hAnsiTheme="minorEastAsia" w:eastAsiaTheme="minorEastAsia"/>
          <w:sz w:val="24"/>
        </w:rPr>
        <w:t>”</w:t>
      </w:r>
      <w:r>
        <w:rPr>
          <w:rFonts w:asciiTheme="minorEastAsia" w:hAnsiTheme="minorEastAsia" w:eastAsiaTheme="minorEastAsia"/>
          <w:sz w:val="24"/>
        </w:rPr>
        <w:t>进行编写，如有必要，可以增加附页，作为投标文件的组成部分。其中，投标函附录在满足招标文件实质性要求的基础上，可以提出比招标文件要求更有利于招标人的承诺。</w:t>
      </w:r>
      <w:r>
        <w:rPr>
          <w:rFonts w:hint="eastAsia" w:asciiTheme="minorEastAsia" w:hAnsiTheme="minorEastAsia" w:eastAsiaTheme="minorEastAsia"/>
          <w:sz w:val="24"/>
        </w:rPr>
        <w:t>“</w:t>
      </w:r>
      <w:r>
        <w:rPr>
          <w:rFonts w:asciiTheme="minorEastAsia" w:hAnsiTheme="minorEastAsia" w:eastAsiaTheme="minorEastAsia"/>
          <w:sz w:val="24"/>
        </w:rPr>
        <w:t>投标文件格式</w:t>
      </w:r>
      <w:r>
        <w:rPr>
          <w:rFonts w:hint="eastAsia" w:asciiTheme="minorEastAsia" w:hAnsiTheme="minorEastAsia" w:eastAsiaTheme="minorEastAsia"/>
          <w:sz w:val="24"/>
        </w:rPr>
        <w:t>”</w:t>
      </w:r>
      <w:r>
        <w:rPr>
          <w:rFonts w:asciiTheme="minorEastAsia" w:hAnsiTheme="minorEastAsia" w:eastAsiaTheme="minorEastAsia"/>
          <w:sz w:val="24"/>
        </w:rPr>
        <w:t>中没有规定的可自行编制格式。</w:t>
      </w:r>
    </w:p>
    <w:p>
      <w:pPr>
        <w:spacing w:line="360" w:lineRule="auto"/>
        <w:ind w:firstLine="420"/>
        <w:jc w:val="left"/>
        <w:rPr>
          <w:rFonts w:asciiTheme="minorEastAsia" w:hAnsiTheme="minorEastAsia" w:eastAsiaTheme="minorEastAsia"/>
          <w:sz w:val="24"/>
        </w:rPr>
      </w:pPr>
      <w:bookmarkStart w:id="341" w:name="_Toc270670953"/>
      <w:bookmarkStart w:id="342" w:name="_Toc281225130"/>
      <w:bookmarkStart w:id="343" w:name="_Toc271529607"/>
      <w:bookmarkStart w:id="344" w:name="_Toc280876776"/>
      <w:bookmarkStart w:id="345" w:name="_Toc280800721"/>
      <w:bookmarkStart w:id="346" w:name="_Toc270601502"/>
      <w:r>
        <w:rPr>
          <w:rFonts w:asciiTheme="minorEastAsia" w:hAnsiTheme="minorEastAsia" w:eastAsiaTheme="minorEastAsia"/>
          <w:sz w:val="24"/>
        </w:rPr>
        <w:t>3.7.2 投标文件应当对招标文件有关</w:t>
      </w:r>
      <w:r>
        <w:rPr>
          <w:rFonts w:hint="eastAsia" w:asciiTheme="minorEastAsia" w:hAnsiTheme="minorEastAsia" w:eastAsiaTheme="minorEastAsia"/>
          <w:sz w:val="24"/>
        </w:rPr>
        <w:t>监理服务期限</w:t>
      </w:r>
      <w:r>
        <w:rPr>
          <w:rFonts w:asciiTheme="minorEastAsia" w:hAnsiTheme="minorEastAsia" w:eastAsiaTheme="minorEastAsia"/>
          <w:sz w:val="24"/>
        </w:rPr>
        <w:t>、投标有效期、质量要求、服务内容、技术标准和要求、招标范围等实质性内容做出响应。</w:t>
      </w:r>
      <w:bookmarkEnd w:id="341"/>
      <w:bookmarkEnd w:id="342"/>
      <w:bookmarkEnd w:id="343"/>
      <w:bookmarkEnd w:id="344"/>
      <w:bookmarkEnd w:id="345"/>
      <w:bookmarkEnd w:id="34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3.7.3投标文件所有文字、图形和图像均须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spacing w:line="360" w:lineRule="auto"/>
        <w:ind w:firstLine="420"/>
        <w:jc w:val="left"/>
        <w:rPr>
          <w:rFonts w:asciiTheme="minorEastAsia" w:hAnsiTheme="minorEastAsia" w:eastAsiaTheme="minorEastAsia"/>
          <w:sz w:val="24"/>
        </w:rPr>
      </w:pPr>
      <w:bookmarkStart w:id="347" w:name="_Toc280876777"/>
      <w:bookmarkStart w:id="348" w:name="_Toc281225131"/>
      <w:bookmarkStart w:id="349" w:name="_Toc280800722"/>
      <w:r>
        <w:rPr>
          <w:rFonts w:asciiTheme="minorEastAsia" w:hAnsiTheme="minorEastAsia" w:eastAsiaTheme="minorEastAsia"/>
          <w:sz w:val="24"/>
        </w:rPr>
        <w:t>3.7.4投标文件文件的份数和签署</w:t>
      </w:r>
    </w:p>
    <w:p>
      <w:pPr>
        <w:spacing w:line="360" w:lineRule="auto"/>
        <w:ind w:firstLine="420"/>
        <w:jc w:val="left"/>
        <w:rPr>
          <w:rFonts w:asciiTheme="minorEastAsia" w:hAnsiTheme="minorEastAsia" w:eastAsiaTheme="minorEastAsia"/>
          <w:sz w:val="24"/>
        </w:rPr>
      </w:pPr>
      <w:bookmarkStart w:id="350" w:name="_Toc275352490"/>
      <w:bookmarkStart w:id="351" w:name="_Toc275251566"/>
      <w:bookmarkStart w:id="352" w:name="_Toc275339033"/>
      <w:bookmarkStart w:id="353" w:name="_Toc275175376"/>
      <w:bookmarkStart w:id="354" w:name="_Toc275328394"/>
      <w:bookmarkStart w:id="355" w:name="_Toc273431806"/>
      <w:bookmarkStart w:id="356" w:name="_Toc280876779"/>
      <w:bookmarkStart w:id="357" w:name="_Toc280800724"/>
      <w:bookmarkStart w:id="358" w:name="_Toc281225133"/>
      <w:r>
        <w:rPr>
          <w:rFonts w:asciiTheme="minorEastAsia" w:hAnsiTheme="minorEastAsia" w:eastAsiaTheme="minorEastAsia"/>
          <w:sz w:val="24"/>
        </w:rPr>
        <w:t>投标文件份数见投标人须知前附表。正本和副本的封面上应清楚地标记</w:t>
      </w:r>
      <w:r>
        <w:rPr>
          <w:rFonts w:hint="eastAsia" w:asciiTheme="minorEastAsia" w:hAnsiTheme="minorEastAsia" w:eastAsiaTheme="minorEastAsia"/>
          <w:sz w:val="24"/>
        </w:rPr>
        <w:t>“</w:t>
      </w:r>
      <w:r>
        <w:rPr>
          <w:rFonts w:asciiTheme="minorEastAsia" w:hAnsiTheme="minorEastAsia" w:eastAsiaTheme="minorEastAsia"/>
          <w:sz w:val="24"/>
        </w:rPr>
        <w:t>正本</w:t>
      </w:r>
      <w:r>
        <w:rPr>
          <w:rFonts w:hint="eastAsia" w:asciiTheme="minorEastAsia" w:hAnsiTheme="minorEastAsia" w:eastAsiaTheme="minorEastAsia"/>
          <w:sz w:val="24"/>
        </w:rPr>
        <w:t>”</w:t>
      </w:r>
      <w:r>
        <w:rPr>
          <w:rFonts w:asciiTheme="minorEastAsia" w:hAnsiTheme="minorEastAsia" w:eastAsiaTheme="minorEastAsia"/>
          <w:sz w:val="24"/>
        </w:rPr>
        <w:t>或</w:t>
      </w:r>
      <w:r>
        <w:rPr>
          <w:rFonts w:hint="eastAsia" w:asciiTheme="minorEastAsia" w:hAnsiTheme="minorEastAsia" w:eastAsiaTheme="minorEastAsia"/>
          <w:sz w:val="24"/>
        </w:rPr>
        <w:t>“</w:t>
      </w:r>
      <w:r>
        <w:rPr>
          <w:rFonts w:asciiTheme="minorEastAsia" w:hAnsiTheme="minorEastAsia" w:eastAsiaTheme="minorEastAsia"/>
          <w:sz w:val="24"/>
        </w:rPr>
        <w:t>副本</w:t>
      </w:r>
      <w:r>
        <w:rPr>
          <w:rFonts w:hint="eastAsia" w:asciiTheme="minorEastAsia" w:hAnsiTheme="minorEastAsia" w:eastAsiaTheme="minorEastAsia"/>
          <w:sz w:val="24"/>
        </w:rPr>
        <w:t>”</w:t>
      </w:r>
      <w:r>
        <w:rPr>
          <w:rFonts w:asciiTheme="minorEastAsia" w:hAnsiTheme="minorEastAsia" w:eastAsiaTheme="minorEastAsia"/>
          <w:sz w:val="24"/>
        </w:rPr>
        <w:t>的字样。</w:t>
      </w:r>
      <w:r>
        <w:rPr>
          <w:rFonts w:hint="eastAsia" w:asciiTheme="minorEastAsia" w:hAnsiTheme="minorEastAsia" w:eastAsiaTheme="minorEastAsia"/>
          <w:sz w:val="24"/>
        </w:rPr>
        <w:t>副本可为正本签字盖章后的复印件，当副本、电子版和正本不一致时</w:t>
      </w:r>
      <w:r>
        <w:rPr>
          <w:rFonts w:asciiTheme="minorEastAsia" w:hAnsiTheme="minorEastAsia" w:eastAsiaTheme="minorEastAsia"/>
          <w:sz w:val="24"/>
        </w:rPr>
        <w:t>，以正本为准。</w:t>
      </w:r>
      <w:bookmarkEnd w:id="347"/>
      <w:bookmarkEnd w:id="348"/>
      <w:bookmarkEnd w:id="349"/>
      <w:bookmarkEnd w:id="350"/>
      <w:bookmarkEnd w:id="351"/>
      <w:bookmarkEnd w:id="352"/>
      <w:bookmarkEnd w:id="353"/>
      <w:bookmarkEnd w:id="354"/>
      <w:bookmarkEnd w:id="355"/>
      <w:bookmarkEnd w:id="356"/>
      <w:bookmarkEnd w:id="357"/>
      <w:bookmarkEnd w:id="35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3.7.5投标文件的具体装订要求见投标人须知前附表规定。</w:t>
      </w:r>
    </w:p>
    <w:p>
      <w:pPr>
        <w:pStyle w:val="2"/>
      </w:pPr>
      <w:bookmarkStart w:id="359" w:name="_Toc27312"/>
      <w:bookmarkStart w:id="360" w:name="_Toc498502969"/>
      <w:bookmarkStart w:id="361" w:name="_Toc144974523"/>
      <w:bookmarkStart w:id="362" w:name="_Toc281225145"/>
      <w:bookmarkStart w:id="363" w:name="_Toc152045555"/>
      <w:bookmarkStart w:id="364" w:name="_Toc269324712"/>
      <w:bookmarkStart w:id="365" w:name="_Toc152042331"/>
      <w:bookmarkStart w:id="366" w:name="_Toc24861"/>
      <w:bookmarkStart w:id="367" w:name="_Toc273358881"/>
      <w:r>
        <w:t>4.投标</w:t>
      </w:r>
      <w:bookmarkEnd w:id="359"/>
      <w:bookmarkEnd w:id="360"/>
      <w:bookmarkEnd w:id="361"/>
      <w:bookmarkEnd w:id="362"/>
      <w:bookmarkEnd w:id="363"/>
      <w:bookmarkEnd w:id="364"/>
      <w:bookmarkEnd w:id="365"/>
      <w:bookmarkEnd w:id="366"/>
      <w:bookmarkEnd w:id="367"/>
    </w:p>
    <w:p>
      <w:pPr>
        <w:pStyle w:val="4"/>
      </w:pPr>
      <w:bookmarkStart w:id="368" w:name="_Toc144974524"/>
      <w:bookmarkStart w:id="369" w:name="_Toc152045556"/>
      <w:bookmarkStart w:id="370" w:name="_Toc498502970"/>
      <w:bookmarkStart w:id="371" w:name="_Toc4891"/>
      <w:bookmarkStart w:id="372" w:name="_Toc269324713"/>
      <w:bookmarkStart w:id="373" w:name="_Toc273358882"/>
      <w:bookmarkStart w:id="374" w:name="_Toc281225146"/>
      <w:bookmarkStart w:id="375" w:name="_Toc4790"/>
      <w:bookmarkStart w:id="376" w:name="_Toc152042332"/>
      <w:bookmarkStart w:id="377" w:name="_Toc499204878"/>
      <w:bookmarkStart w:id="378" w:name="_Toc25820"/>
      <w:bookmarkStart w:id="379" w:name="_Toc11808"/>
      <w:r>
        <w:t>4.1 投标文件的密封和标记</w:t>
      </w:r>
      <w:bookmarkEnd w:id="368"/>
      <w:bookmarkEnd w:id="369"/>
      <w:bookmarkEnd w:id="370"/>
      <w:bookmarkEnd w:id="371"/>
      <w:bookmarkEnd w:id="372"/>
      <w:bookmarkEnd w:id="373"/>
      <w:bookmarkEnd w:id="374"/>
      <w:bookmarkEnd w:id="375"/>
      <w:bookmarkEnd w:id="376"/>
      <w:bookmarkEnd w:id="377"/>
      <w:bookmarkEnd w:id="378"/>
      <w:bookmarkEnd w:id="37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4.1.1投标文件的</w:t>
      </w:r>
      <w:r>
        <w:rPr>
          <w:rFonts w:hint="eastAsia" w:asciiTheme="minorEastAsia" w:hAnsiTheme="minorEastAsia" w:eastAsiaTheme="minorEastAsia"/>
          <w:sz w:val="24"/>
        </w:rPr>
        <w:t>密封</w:t>
      </w:r>
      <w:r>
        <w:rPr>
          <w:rFonts w:asciiTheme="minorEastAsia" w:hAnsiTheme="minorEastAsia" w:eastAsiaTheme="minorEastAsia"/>
          <w:sz w:val="24"/>
        </w:rPr>
        <w:t>要求见投标人须知前附表规定。</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4.1.2投标文件的封套上应写明的内容见投标人须知前附表。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4.1.3未按本章第4.1.1项或第4.1.2项要求密封和加写标记的投标文件，招标人不予受理。</w:t>
      </w:r>
    </w:p>
    <w:p>
      <w:pPr>
        <w:pStyle w:val="4"/>
      </w:pPr>
      <w:bookmarkStart w:id="380" w:name="_Toc281225147"/>
      <w:bookmarkStart w:id="381" w:name="_Toc3768"/>
      <w:bookmarkStart w:id="382" w:name="_Toc269324714"/>
      <w:bookmarkStart w:id="383" w:name="_Toc152042333"/>
      <w:bookmarkStart w:id="384" w:name="_Toc498502971"/>
      <w:bookmarkStart w:id="385" w:name="_Toc273358883"/>
      <w:bookmarkStart w:id="386" w:name="_Toc26473"/>
      <w:bookmarkStart w:id="387" w:name="_Toc30171"/>
      <w:bookmarkStart w:id="388" w:name="_Toc499204879"/>
      <w:bookmarkStart w:id="389" w:name="_Toc144974525"/>
      <w:bookmarkStart w:id="390" w:name="_Toc152045557"/>
      <w:bookmarkStart w:id="391" w:name="_Toc16405"/>
      <w:r>
        <w:t>4.2 投标文件的递交</w:t>
      </w:r>
      <w:bookmarkEnd w:id="380"/>
      <w:bookmarkEnd w:id="381"/>
      <w:bookmarkEnd w:id="382"/>
      <w:bookmarkEnd w:id="383"/>
      <w:bookmarkEnd w:id="384"/>
      <w:bookmarkEnd w:id="385"/>
      <w:bookmarkEnd w:id="386"/>
      <w:bookmarkEnd w:id="387"/>
      <w:bookmarkEnd w:id="388"/>
      <w:bookmarkEnd w:id="389"/>
      <w:bookmarkEnd w:id="390"/>
      <w:bookmarkEnd w:id="39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4.2.1 投标人应在本章第2.2.2项规定的投标截止时间前递交投标文件。</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4.2.2 投标人递交投标文件的地点：见投标人须知前附表。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4.2.3 除投标人须知前附表另有规定外，投标人递交的所有文件、资料和物品均不予退还。</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4.2.</w:t>
      </w:r>
      <w:r>
        <w:rPr>
          <w:rFonts w:hint="eastAsia" w:asciiTheme="minorEastAsia" w:hAnsiTheme="minorEastAsia" w:eastAsiaTheme="minorEastAsia"/>
          <w:sz w:val="24"/>
        </w:rPr>
        <w:t>4</w:t>
      </w:r>
      <w:r>
        <w:rPr>
          <w:rFonts w:asciiTheme="minorEastAsia" w:hAnsiTheme="minorEastAsia" w:eastAsiaTheme="minorEastAsia"/>
          <w:sz w:val="24"/>
        </w:rPr>
        <w:t xml:space="preserve"> 逾期送达的或者未送达指定地点的投标文件，招标人不予受理。</w:t>
      </w:r>
    </w:p>
    <w:p>
      <w:pPr>
        <w:pStyle w:val="4"/>
      </w:pPr>
      <w:bookmarkStart w:id="392" w:name="_Toc273358884"/>
      <w:bookmarkStart w:id="393" w:name="_Toc152042334"/>
      <w:bookmarkStart w:id="394" w:name="_Toc498502972"/>
      <w:bookmarkStart w:id="395" w:name="_Toc11880"/>
      <w:bookmarkStart w:id="396" w:name="_Toc281225148"/>
      <w:bookmarkStart w:id="397" w:name="_Toc269324715"/>
      <w:bookmarkStart w:id="398" w:name="_Toc152045558"/>
      <w:bookmarkStart w:id="399" w:name="_Toc12665"/>
      <w:bookmarkStart w:id="400" w:name="_Toc29949"/>
      <w:bookmarkStart w:id="401" w:name="_Toc16190"/>
      <w:bookmarkStart w:id="402" w:name="_Toc144974526"/>
      <w:bookmarkStart w:id="403" w:name="_Toc499204880"/>
      <w:r>
        <w:t>4.3 投标文件的修改与撤回</w:t>
      </w:r>
      <w:bookmarkEnd w:id="392"/>
      <w:bookmarkEnd w:id="393"/>
      <w:bookmarkEnd w:id="394"/>
      <w:bookmarkEnd w:id="395"/>
      <w:bookmarkEnd w:id="396"/>
      <w:bookmarkEnd w:id="397"/>
      <w:bookmarkEnd w:id="398"/>
      <w:bookmarkEnd w:id="399"/>
      <w:bookmarkEnd w:id="400"/>
      <w:bookmarkEnd w:id="401"/>
      <w:bookmarkEnd w:id="402"/>
      <w:bookmarkEnd w:id="40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4.3.1 在本章第2.2.2项规定的投标截止时间前，投标人可以修改或撤回已递交的投标文件，但应以书面形式通知招标人。</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4.3.2 投标人修改或撤回已递交投标文件的书面通知应按照本章第3.7.3项的要求签字或盖章。招标人收到书面通知后，向投标人出具签收凭证。</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4.3.3 修改的内容为投标文件的组成部分。修改的投标文件应按照本章第4条规定进行编制、密封、标记和递交，并标明</w:t>
      </w:r>
      <w:r>
        <w:rPr>
          <w:rFonts w:hint="eastAsia" w:asciiTheme="minorEastAsia" w:hAnsiTheme="minorEastAsia" w:eastAsiaTheme="minorEastAsia"/>
          <w:sz w:val="24"/>
        </w:rPr>
        <w:t>“</w:t>
      </w:r>
      <w:r>
        <w:rPr>
          <w:rFonts w:asciiTheme="minorEastAsia" w:hAnsiTheme="minorEastAsia" w:eastAsiaTheme="minorEastAsia"/>
          <w:sz w:val="24"/>
        </w:rPr>
        <w:t>修改</w:t>
      </w:r>
      <w:r>
        <w:rPr>
          <w:rFonts w:hint="eastAsia" w:asciiTheme="minorEastAsia" w:hAnsiTheme="minorEastAsia" w:eastAsiaTheme="minorEastAsia"/>
          <w:sz w:val="24"/>
        </w:rPr>
        <w:t>”</w:t>
      </w:r>
      <w:r>
        <w:rPr>
          <w:rFonts w:asciiTheme="minorEastAsia" w:hAnsiTheme="minorEastAsia" w:eastAsiaTheme="minorEastAsia"/>
          <w:sz w:val="24"/>
        </w:rPr>
        <w:t>字样。</w:t>
      </w:r>
    </w:p>
    <w:p>
      <w:pPr>
        <w:pStyle w:val="2"/>
      </w:pPr>
      <w:bookmarkStart w:id="404" w:name="_Toc273358885"/>
      <w:bookmarkStart w:id="405" w:name="_Toc2379"/>
      <w:bookmarkStart w:id="406" w:name="_Toc281225149"/>
      <w:bookmarkStart w:id="407" w:name="_Toc152042335"/>
      <w:bookmarkStart w:id="408" w:name="_Toc269324716"/>
      <w:bookmarkStart w:id="409" w:name="_Toc144974527"/>
      <w:bookmarkStart w:id="410" w:name="_Toc152045559"/>
      <w:bookmarkStart w:id="411" w:name="_Toc498502973"/>
      <w:bookmarkStart w:id="412" w:name="_Toc16693"/>
      <w:r>
        <w:t>5.开标</w:t>
      </w:r>
      <w:bookmarkEnd w:id="404"/>
      <w:bookmarkEnd w:id="405"/>
      <w:bookmarkEnd w:id="406"/>
      <w:bookmarkEnd w:id="407"/>
      <w:bookmarkEnd w:id="408"/>
      <w:bookmarkEnd w:id="409"/>
      <w:bookmarkEnd w:id="410"/>
      <w:bookmarkEnd w:id="411"/>
      <w:bookmarkEnd w:id="412"/>
    </w:p>
    <w:p>
      <w:pPr>
        <w:pStyle w:val="4"/>
      </w:pPr>
      <w:bookmarkStart w:id="413" w:name="_Toc152042336"/>
      <w:bookmarkStart w:id="414" w:name="_Toc281225150"/>
      <w:bookmarkStart w:id="415" w:name="_Toc11127"/>
      <w:bookmarkStart w:id="416" w:name="_Toc152045560"/>
      <w:bookmarkStart w:id="417" w:name="_Toc25322"/>
      <w:bookmarkStart w:id="418" w:name="_Toc269324717"/>
      <w:bookmarkStart w:id="419" w:name="_Toc144974528"/>
      <w:bookmarkStart w:id="420" w:name="_Toc498502974"/>
      <w:bookmarkStart w:id="421" w:name="_Toc273358886"/>
      <w:bookmarkStart w:id="422" w:name="_Toc18397"/>
      <w:bookmarkStart w:id="423" w:name="_Toc13780"/>
      <w:bookmarkStart w:id="424" w:name="_Toc499204882"/>
      <w:r>
        <w:t>5.1 开标时间和地点</w:t>
      </w:r>
      <w:bookmarkEnd w:id="413"/>
      <w:bookmarkEnd w:id="414"/>
      <w:bookmarkEnd w:id="415"/>
      <w:bookmarkEnd w:id="416"/>
      <w:bookmarkEnd w:id="417"/>
      <w:bookmarkEnd w:id="418"/>
      <w:bookmarkEnd w:id="419"/>
      <w:bookmarkEnd w:id="420"/>
      <w:bookmarkEnd w:id="421"/>
      <w:bookmarkEnd w:id="422"/>
      <w:bookmarkEnd w:id="423"/>
      <w:bookmarkEnd w:id="42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招标人在本章第2.2.2项规定的投标截止时间（开标时间）和投标人须知前附表规定的地点公开开标，并邀请所有投标人的法定代表人或其委托代理人</w:t>
      </w:r>
      <w:r>
        <w:rPr>
          <w:rFonts w:hint="eastAsia" w:asciiTheme="minorEastAsia" w:hAnsiTheme="minorEastAsia" w:eastAsiaTheme="minorEastAsia"/>
          <w:sz w:val="24"/>
        </w:rPr>
        <w:t>及项目总监理工程师</w:t>
      </w:r>
      <w:r>
        <w:rPr>
          <w:rFonts w:asciiTheme="minorEastAsia" w:hAnsiTheme="minorEastAsia" w:eastAsiaTheme="minorEastAsia"/>
          <w:sz w:val="24"/>
        </w:rPr>
        <w:t>准时参加并签到。</w:t>
      </w:r>
    </w:p>
    <w:p>
      <w:pPr>
        <w:pStyle w:val="4"/>
      </w:pPr>
      <w:bookmarkStart w:id="425" w:name="_Toc499204883"/>
      <w:bookmarkStart w:id="426" w:name="_Toc498502975"/>
      <w:bookmarkStart w:id="427" w:name="_Toc30613"/>
      <w:bookmarkStart w:id="428" w:name="_Toc152042337"/>
      <w:bookmarkStart w:id="429" w:name="_Toc273358887"/>
      <w:bookmarkStart w:id="430" w:name="_Toc27184"/>
      <w:bookmarkStart w:id="431" w:name="_Toc32549"/>
      <w:bookmarkStart w:id="432" w:name="_Toc269324718"/>
      <w:bookmarkStart w:id="433" w:name="_Toc21351"/>
      <w:bookmarkStart w:id="434" w:name="_Toc281225151"/>
      <w:bookmarkStart w:id="435" w:name="_Toc152045561"/>
      <w:bookmarkStart w:id="436" w:name="_Toc144974529"/>
      <w:r>
        <w:t>5.2 开标程序</w:t>
      </w:r>
      <w:bookmarkEnd w:id="425"/>
      <w:bookmarkEnd w:id="426"/>
      <w:bookmarkEnd w:id="427"/>
      <w:bookmarkEnd w:id="428"/>
      <w:bookmarkEnd w:id="429"/>
      <w:bookmarkEnd w:id="430"/>
      <w:bookmarkEnd w:id="431"/>
      <w:bookmarkEnd w:id="432"/>
      <w:bookmarkEnd w:id="433"/>
      <w:bookmarkEnd w:id="434"/>
      <w:bookmarkEnd w:id="435"/>
      <w:bookmarkEnd w:id="43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5.2.1主持人按下列程序进行开标：</w:t>
      </w:r>
    </w:p>
    <w:p>
      <w:pPr>
        <w:spacing w:line="360" w:lineRule="auto"/>
        <w:ind w:firstLine="600" w:firstLineChars="250"/>
        <w:jc w:val="left"/>
        <w:rPr>
          <w:rFonts w:asciiTheme="minorEastAsia" w:hAnsiTheme="minorEastAsia" w:eastAsiaTheme="minorEastAsia"/>
          <w:sz w:val="24"/>
        </w:rPr>
      </w:pPr>
      <w:bookmarkStart w:id="437" w:name="_Toc295901109"/>
      <w:bookmarkStart w:id="438" w:name="_Toc293403269"/>
      <w:bookmarkStart w:id="439" w:name="_Toc291496571"/>
      <w:r>
        <w:rPr>
          <w:rFonts w:asciiTheme="minorEastAsia" w:hAnsiTheme="minorEastAsia" w:eastAsiaTheme="minorEastAsia"/>
          <w:sz w:val="24"/>
        </w:rPr>
        <w:t>（1）宣布开标纪律；</w:t>
      </w:r>
      <w:bookmarkEnd w:id="437"/>
      <w:bookmarkEnd w:id="438"/>
      <w:bookmarkEnd w:id="439"/>
    </w:p>
    <w:p>
      <w:pPr>
        <w:spacing w:line="360" w:lineRule="auto"/>
        <w:ind w:firstLine="600" w:firstLineChars="250"/>
        <w:jc w:val="left"/>
        <w:rPr>
          <w:rFonts w:asciiTheme="minorEastAsia" w:hAnsiTheme="minorEastAsia" w:eastAsiaTheme="minorEastAsia"/>
          <w:sz w:val="24"/>
        </w:rPr>
      </w:pPr>
      <w:bookmarkStart w:id="440" w:name="_Toc295901110"/>
      <w:bookmarkStart w:id="441" w:name="_Toc291496572"/>
      <w:bookmarkStart w:id="442" w:name="_Toc293403270"/>
      <w:r>
        <w:rPr>
          <w:rFonts w:asciiTheme="minorEastAsia" w:hAnsiTheme="minorEastAsia" w:eastAsiaTheme="minorEastAsia"/>
          <w:sz w:val="24"/>
        </w:rPr>
        <w:t>（2）公布在投标截止时间前递交投标文件的投标人名称，并点名确认投标人是否派人到场；</w:t>
      </w:r>
      <w:bookmarkEnd w:id="440"/>
      <w:bookmarkEnd w:id="441"/>
      <w:bookmarkEnd w:id="442"/>
    </w:p>
    <w:p>
      <w:pPr>
        <w:spacing w:line="360" w:lineRule="auto"/>
        <w:ind w:firstLine="600" w:firstLineChars="250"/>
        <w:jc w:val="left"/>
        <w:rPr>
          <w:rFonts w:asciiTheme="minorEastAsia" w:hAnsiTheme="minorEastAsia" w:eastAsiaTheme="minorEastAsia"/>
          <w:sz w:val="24"/>
        </w:rPr>
      </w:pPr>
      <w:bookmarkStart w:id="443" w:name="_Toc293403271"/>
      <w:bookmarkStart w:id="444" w:name="_Toc291496573"/>
      <w:bookmarkStart w:id="445" w:name="_Toc295901111"/>
      <w:r>
        <w:rPr>
          <w:rFonts w:asciiTheme="minorEastAsia" w:hAnsiTheme="minorEastAsia" w:eastAsiaTheme="minorEastAsia"/>
          <w:sz w:val="24"/>
        </w:rPr>
        <w:t>（3）宣布开标人、唱标人、记录人、监标人等有关人员姓名；</w:t>
      </w:r>
      <w:bookmarkEnd w:id="443"/>
      <w:bookmarkEnd w:id="444"/>
      <w:bookmarkEnd w:id="445"/>
    </w:p>
    <w:p>
      <w:pPr>
        <w:spacing w:line="360" w:lineRule="auto"/>
        <w:ind w:firstLine="600" w:firstLineChars="250"/>
        <w:jc w:val="left"/>
        <w:rPr>
          <w:rFonts w:asciiTheme="minorEastAsia" w:hAnsiTheme="minorEastAsia" w:eastAsiaTheme="minorEastAsia"/>
          <w:sz w:val="24"/>
        </w:rPr>
      </w:pPr>
      <w:bookmarkStart w:id="446" w:name="_Toc293403272"/>
      <w:bookmarkStart w:id="447" w:name="_Toc291496574"/>
      <w:bookmarkStart w:id="448" w:name="_Toc295901112"/>
      <w:r>
        <w:rPr>
          <w:rFonts w:asciiTheme="minorEastAsia" w:hAnsiTheme="minorEastAsia" w:eastAsiaTheme="minorEastAsia"/>
          <w:sz w:val="24"/>
        </w:rPr>
        <w:t>（4）按照投标人须知前附表规定检查投标文件的密封情况；</w:t>
      </w:r>
      <w:bookmarkEnd w:id="446"/>
      <w:bookmarkEnd w:id="447"/>
      <w:bookmarkEnd w:id="448"/>
    </w:p>
    <w:p>
      <w:pPr>
        <w:spacing w:line="360" w:lineRule="auto"/>
        <w:ind w:firstLine="600" w:firstLineChars="250"/>
        <w:jc w:val="left"/>
        <w:rPr>
          <w:rFonts w:asciiTheme="minorEastAsia" w:hAnsiTheme="minorEastAsia" w:eastAsiaTheme="minorEastAsia"/>
          <w:sz w:val="24"/>
        </w:rPr>
      </w:pPr>
      <w:bookmarkStart w:id="449" w:name="_Toc293403273"/>
      <w:bookmarkStart w:id="450" w:name="_Toc295901113"/>
      <w:bookmarkStart w:id="451" w:name="_Toc291496575"/>
      <w:r>
        <w:rPr>
          <w:rFonts w:asciiTheme="minorEastAsia" w:hAnsiTheme="minorEastAsia" w:eastAsiaTheme="minorEastAsia"/>
          <w:sz w:val="24"/>
        </w:rPr>
        <w:t>（5）按照投标人须知前附表的规定确定并宣布投标文件开标顺序；</w:t>
      </w:r>
      <w:bookmarkEnd w:id="449"/>
      <w:bookmarkEnd w:id="450"/>
      <w:bookmarkEnd w:id="451"/>
    </w:p>
    <w:p>
      <w:pPr>
        <w:spacing w:line="360" w:lineRule="auto"/>
        <w:ind w:firstLine="600" w:firstLineChars="250"/>
        <w:jc w:val="left"/>
        <w:rPr>
          <w:rFonts w:asciiTheme="minorEastAsia" w:hAnsiTheme="minorEastAsia" w:eastAsiaTheme="minorEastAsia"/>
          <w:sz w:val="24"/>
        </w:rPr>
      </w:pPr>
      <w:bookmarkStart w:id="452" w:name="_Toc293403274"/>
      <w:bookmarkStart w:id="453" w:name="_Toc295901114"/>
      <w:bookmarkStart w:id="454" w:name="_Toc291496576"/>
      <w:r>
        <w:rPr>
          <w:rFonts w:asciiTheme="minorEastAsia" w:hAnsiTheme="minorEastAsia" w:eastAsiaTheme="minorEastAsia"/>
          <w:sz w:val="24"/>
        </w:rPr>
        <w:t>（6）公布招标控制价（如有）；</w:t>
      </w:r>
      <w:bookmarkEnd w:id="452"/>
      <w:bookmarkEnd w:id="453"/>
      <w:bookmarkEnd w:id="454"/>
    </w:p>
    <w:p>
      <w:pPr>
        <w:spacing w:line="360" w:lineRule="auto"/>
        <w:ind w:firstLine="600" w:firstLineChars="250"/>
        <w:jc w:val="left"/>
        <w:rPr>
          <w:rFonts w:asciiTheme="minorEastAsia" w:hAnsiTheme="minorEastAsia" w:eastAsiaTheme="minorEastAsia"/>
          <w:sz w:val="24"/>
        </w:rPr>
      </w:pPr>
      <w:bookmarkStart w:id="455" w:name="_Toc293403275"/>
      <w:bookmarkStart w:id="456" w:name="_Toc295901115"/>
      <w:bookmarkStart w:id="457" w:name="_Toc291496577"/>
      <w:r>
        <w:rPr>
          <w:rFonts w:asciiTheme="minorEastAsia" w:hAnsiTheme="minorEastAsia" w:eastAsiaTheme="minorEastAsia"/>
          <w:sz w:val="24"/>
        </w:rPr>
        <w:t>（7）按照宣布的开标顺序当众开标，公布投标人名称、标段名称、投标保证金的递交情况、投标报价、项目负责人及其他内容，并记录在案；</w:t>
      </w:r>
      <w:bookmarkEnd w:id="455"/>
      <w:bookmarkEnd w:id="456"/>
      <w:bookmarkEnd w:id="457"/>
    </w:p>
    <w:p>
      <w:pPr>
        <w:spacing w:line="360" w:lineRule="auto"/>
        <w:ind w:firstLine="600" w:firstLineChars="250"/>
        <w:jc w:val="left"/>
        <w:rPr>
          <w:rFonts w:asciiTheme="minorEastAsia" w:hAnsiTheme="minorEastAsia" w:eastAsiaTheme="minorEastAsia"/>
          <w:sz w:val="24"/>
        </w:rPr>
      </w:pPr>
      <w:bookmarkStart w:id="458" w:name="_Toc293403276"/>
      <w:bookmarkStart w:id="459" w:name="_Toc295901116"/>
      <w:bookmarkStart w:id="460" w:name="_Toc291496578"/>
      <w:r>
        <w:rPr>
          <w:rFonts w:asciiTheme="minorEastAsia" w:hAnsiTheme="minorEastAsia" w:eastAsiaTheme="minorEastAsia"/>
          <w:sz w:val="24"/>
        </w:rPr>
        <w:t>（8）投标人代表、招标人代表、监标人、记录人等有关人员在开标记录上签字确认；</w:t>
      </w:r>
      <w:bookmarkEnd w:id="458"/>
      <w:bookmarkEnd w:id="459"/>
      <w:bookmarkEnd w:id="460"/>
    </w:p>
    <w:p>
      <w:pPr>
        <w:spacing w:line="360" w:lineRule="auto"/>
        <w:ind w:firstLine="600" w:firstLineChars="250"/>
        <w:jc w:val="left"/>
        <w:rPr>
          <w:rFonts w:asciiTheme="minorEastAsia" w:hAnsiTheme="minorEastAsia" w:eastAsiaTheme="minorEastAsia"/>
          <w:sz w:val="24"/>
        </w:rPr>
      </w:pPr>
      <w:bookmarkStart w:id="461" w:name="_Toc293403277"/>
      <w:bookmarkStart w:id="462" w:name="_Toc295901117"/>
      <w:bookmarkStart w:id="463" w:name="_Toc291496579"/>
      <w:r>
        <w:rPr>
          <w:rFonts w:asciiTheme="minorEastAsia" w:hAnsiTheme="minorEastAsia" w:eastAsiaTheme="minorEastAsia"/>
          <w:sz w:val="24"/>
        </w:rPr>
        <w:t>（9）开标结束。</w:t>
      </w:r>
      <w:bookmarkEnd w:id="461"/>
      <w:bookmarkEnd w:id="462"/>
      <w:bookmarkEnd w:id="463"/>
    </w:p>
    <w:p>
      <w:pPr>
        <w:pStyle w:val="2"/>
      </w:pPr>
      <w:bookmarkStart w:id="464" w:name="_Toc152045562"/>
      <w:bookmarkStart w:id="465" w:name="_Toc144974530"/>
      <w:bookmarkStart w:id="466" w:name="_Toc281225152"/>
      <w:bookmarkStart w:id="467" w:name="_Toc269324719"/>
      <w:bookmarkStart w:id="468" w:name="_Toc7545"/>
      <w:bookmarkStart w:id="469" w:name="_Toc152042338"/>
      <w:bookmarkStart w:id="470" w:name="_Toc17078"/>
      <w:bookmarkStart w:id="471" w:name="_Toc273358888"/>
      <w:bookmarkStart w:id="472" w:name="_Toc498502976"/>
      <w:r>
        <w:t>6.评标</w:t>
      </w:r>
      <w:bookmarkEnd w:id="464"/>
      <w:bookmarkEnd w:id="465"/>
      <w:bookmarkEnd w:id="466"/>
      <w:bookmarkEnd w:id="467"/>
      <w:bookmarkEnd w:id="468"/>
      <w:bookmarkEnd w:id="469"/>
      <w:bookmarkEnd w:id="470"/>
      <w:bookmarkEnd w:id="471"/>
      <w:bookmarkEnd w:id="472"/>
    </w:p>
    <w:p>
      <w:pPr>
        <w:pStyle w:val="4"/>
      </w:pPr>
      <w:bookmarkStart w:id="473" w:name="_Toc11702"/>
      <w:bookmarkStart w:id="474" w:name="_Toc144974531"/>
      <w:bookmarkStart w:id="475" w:name="_Toc499204885"/>
      <w:bookmarkStart w:id="476" w:name="_Toc24214"/>
      <w:bookmarkStart w:id="477" w:name="_Toc18657"/>
      <w:bookmarkStart w:id="478" w:name="_Toc269324721"/>
      <w:bookmarkStart w:id="479" w:name="_Toc273358890"/>
      <w:bookmarkStart w:id="480" w:name="_Toc152045563"/>
      <w:bookmarkStart w:id="481" w:name="_Toc498502977"/>
      <w:bookmarkStart w:id="482" w:name="_Toc32099"/>
      <w:bookmarkStart w:id="483" w:name="_Toc152042339"/>
      <w:bookmarkStart w:id="484" w:name="_Toc281225154"/>
      <w:r>
        <w:t>6.1 评标委员会</w:t>
      </w:r>
      <w:bookmarkEnd w:id="473"/>
      <w:bookmarkEnd w:id="474"/>
      <w:bookmarkEnd w:id="475"/>
      <w:bookmarkEnd w:id="476"/>
      <w:bookmarkEnd w:id="477"/>
      <w:bookmarkEnd w:id="478"/>
      <w:bookmarkEnd w:id="479"/>
      <w:bookmarkEnd w:id="480"/>
      <w:bookmarkEnd w:id="481"/>
      <w:bookmarkEnd w:id="482"/>
      <w:bookmarkEnd w:id="483"/>
      <w:bookmarkEnd w:id="484"/>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评标由招标人依法组建的评标委员会负责。评标委员会由技术、经济等方面的专家组成。评标委员会成员人数以及技术、经济等方面专家的确定方式见投标人须知前附表。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（1）招标人或投标人的主要负责人的近亲属；</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360" w:lineRule="auto"/>
        <w:ind w:firstLine="820" w:firstLineChars="342"/>
        <w:jc w:val="left"/>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（4）曾因在招标、评标以及其他与招标投标有关活动中从事违法行为而受过行政处罚或刑事处罚的。</w:t>
      </w:r>
    </w:p>
    <w:p>
      <w:pPr>
        <w:pStyle w:val="4"/>
      </w:pPr>
      <w:bookmarkStart w:id="485" w:name="_Toc20062"/>
      <w:bookmarkStart w:id="486" w:name="_Toc152045564"/>
      <w:bookmarkStart w:id="487" w:name="_Toc13791"/>
      <w:bookmarkStart w:id="488" w:name="_Toc29002"/>
      <w:bookmarkStart w:id="489" w:name="_Toc499204886"/>
      <w:bookmarkStart w:id="490" w:name="_Toc269324722"/>
      <w:bookmarkStart w:id="491" w:name="_Toc498502978"/>
      <w:bookmarkStart w:id="492" w:name="_Toc152042340"/>
      <w:bookmarkStart w:id="493" w:name="_Toc144974532"/>
      <w:bookmarkStart w:id="494" w:name="_Toc281225155"/>
      <w:bookmarkStart w:id="495" w:name="_Toc17307"/>
      <w:bookmarkStart w:id="496" w:name="_Toc273358891"/>
      <w:r>
        <w:t>6.2 评标原则</w:t>
      </w:r>
      <w:bookmarkEnd w:id="485"/>
      <w:bookmarkEnd w:id="486"/>
      <w:bookmarkEnd w:id="487"/>
      <w:bookmarkEnd w:id="488"/>
      <w:bookmarkEnd w:id="489"/>
      <w:bookmarkEnd w:id="490"/>
      <w:bookmarkEnd w:id="491"/>
      <w:bookmarkEnd w:id="492"/>
      <w:bookmarkEnd w:id="493"/>
      <w:bookmarkEnd w:id="494"/>
      <w:bookmarkEnd w:id="495"/>
      <w:bookmarkEnd w:id="49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pStyle w:val="4"/>
      </w:pPr>
      <w:bookmarkStart w:id="497" w:name="_Toc8208"/>
      <w:bookmarkStart w:id="498" w:name="_Toc499204887"/>
      <w:bookmarkStart w:id="499" w:name="_Toc281225156"/>
      <w:bookmarkStart w:id="500" w:name="_Toc152045565"/>
      <w:bookmarkStart w:id="501" w:name="_Toc9747"/>
      <w:bookmarkStart w:id="502" w:name="_Toc273358892"/>
      <w:bookmarkStart w:id="503" w:name="_Toc3931"/>
      <w:bookmarkStart w:id="504" w:name="_Toc269324723"/>
      <w:bookmarkStart w:id="505" w:name="_Toc498502979"/>
      <w:bookmarkStart w:id="506" w:name="_Toc144974533"/>
      <w:bookmarkStart w:id="507" w:name="_Toc152042341"/>
      <w:bookmarkStart w:id="508" w:name="_Toc6097"/>
      <w:r>
        <w:t>6.3 评标</w:t>
      </w:r>
      <w:bookmarkEnd w:id="497"/>
      <w:bookmarkEnd w:id="498"/>
      <w:bookmarkEnd w:id="499"/>
      <w:bookmarkEnd w:id="500"/>
      <w:bookmarkEnd w:id="501"/>
      <w:bookmarkEnd w:id="502"/>
      <w:bookmarkEnd w:id="503"/>
      <w:bookmarkEnd w:id="504"/>
      <w:bookmarkEnd w:id="505"/>
      <w:bookmarkEnd w:id="506"/>
      <w:bookmarkEnd w:id="507"/>
      <w:bookmarkEnd w:id="50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评标委员会按照第三章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规定的方法、评审因素、标准和程序对投标文件进行评审。第三章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没有规定的方法、评审因素和标准，不作为评标依据。</w:t>
      </w:r>
    </w:p>
    <w:p>
      <w:pPr>
        <w:pStyle w:val="2"/>
      </w:pPr>
      <w:bookmarkStart w:id="509" w:name="_Toc20189"/>
      <w:bookmarkStart w:id="510" w:name="_Toc152045566"/>
      <w:bookmarkStart w:id="511" w:name="_Toc273358894"/>
      <w:bookmarkStart w:id="512" w:name="_Toc24152"/>
      <w:bookmarkStart w:id="513" w:name="_Toc144974534"/>
      <w:bookmarkStart w:id="514" w:name="_Toc281225158"/>
      <w:bookmarkStart w:id="515" w:name="_Toc269324725"/>
      <w:bookmarkStart w:id="516" w:name="_Toc152042342"/>
      <w:bookmarkStart w:id="517" w:name="_Toc498502980"/>
      <w:r>
        <w:t>7.合同授予</w:t>
      </w:r>
      <w:bookmarkEnd w:id="509"/>
      <w:bookmarkEnd w:id="510"/>
      <w:bookmarkEnd w:id="511"/>
      <w:bookmarkEnd w:id="512"/>
      <w:bookmarkEnd w:id="513"/>
      <w:bookmarkEnd w:id="514"/>
      <w:bookmarkEnd w:id="515"/>
      <w:bookmarkEnd w:id="516"/>
      <w:bookmarkEnd w:id="517"/>
    </w:p>
    <w:p>
      <w:pPr>
        <w:pStyle w:val="4"/>
      </w:pPr>
      <w:bookmarkStart w:id="518" w:name="_Toc152045567"/>
      <w:bookmarkStart w:id="519" w:name="_Toc12029"/>
      <w:bookmarkStart w:id="520" w:name="_Toc2273"/>
      <w:bookmarkStart w:id="521" w:name="_Toc269324726"/>
      <w:bookmarkStart w:id="522" w:name="_Toc28158"/>
      <w:bookmarkStart w:id="523" w:name="_Toc498502981"/>
      <w:bookmarkStart w:id="524" w:name="_Toc273358895"/>
      <w:bookmarkStart w:id="525" w:name="_Toc152042343"/>
      <w:bookmarkStart w:id="526" w:name="_Toc144974535"/>
      <w:bookmarkStart w:id="527" w:name="_Toc12980"/>
      <w:bookmarkStart w:id="528" w:name="_Toc281225159"/>
      <w:bookmarkStart w:id="529" w:name="_Toc499204889"/>
      <w:r>
        <w:t>7.1 定标方式</w:t>
      </w:r>
      <w:bookmarkEnd w:id="518"/>
      <w:bookmarkEnd w:id="519"/>
      <w:bookmarkEnd w:id="520"/>
      <w:bookmarkEnd w:id="521"/>
      <w:bookmarkEnd w:id="522"/>
      <w:bookmarkEnd w:id="523"/>
      <w:bookmarkEnd w:id="524"/>
      <w:bookmarkEnd w:id="525"/>
      <w:bookmarkEnd w:id="526"/>
      <w:bookmarkEnd w:id="527"/>
      <w:bookmarkEnd w:id="528"/>
      <w:bookmarkEnd w:id="52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除投标人须知前附表规定评标委员会直接确定中标人外，招标人依据评标委员会推荐的中标候选人确定中标人，评标委员会推荐中标候选人的人数见投标人须知前附表。</w:t>
      </w:r>
    </w:p>
    <w:p>
      <w:pPr>
        <w:pStyle w:val="4"/>
      </w:pPr>
      <w:bookmarkStart w:id="530" w:name="_Toc269324727"/>
      <w:bookmarkStart w:id="531" w:name="_Toc498502982"/>
      <w:bookmarkStart w:id="532" w:name="_Toc273358896"/>
      <w:bookmarkStart w:id="533" w:name="_Toc152045568"/>
      <w:bookmarkStart w:id="534" w:name="_Toc281225160"/>
      <w:bookmarkStart w:id="535" w:name="_Toc14321"/>
      <w:bookmarkStart w:id="536" w:name="_Toc29454"/>
      <w:bookmarkStart w:id="537" w:name="_Toc19476"/>
      <w:bookmarkStart w:id="538" w:name="_Toc152042344"/>
      <w:bookmarkStart w:id="539" w:name="_Toc144974536"/>
      <w:bookmarkStart w:id="540" w:name="_Toc25979"/>
      <w:bookmarkStart w:id="541" w:name="_Toc499204890"/>
      <w:r>
        <w:t>7.2 中标通知</w:t>
      </w:r>
      <w:bookmarkEnd w:id="530"/>
      <w:bookmarkEnd w:id="531"/>
      <w:bookmarkEnd w:id="532"/>
      <w:bookmarkEnd w:id="533"/>
      <w:bookmarkEnd w:id="534"/>
      <w:bookmarkEnd w:id="535"/>
      <w:bookmarkEnd w:id="536"/>
      <w:bookmarkEnd w:id="537"/>
      <w:bookmarkEnd w:id="538"/>
      <w:bookmarkEnd w:id="539"/>
      <w:bookmarkEnd w:id="540"/>
      <w:bookmarkEnd w:id="54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在本章第3.3款规定的投标有效期内，招标人以书面形式向中标人发出中标通知书，同时将中标结果通知未中标的投标人。</w:t>
      </w:r>
    </w:p>
    <w:p>
      <w:pPr>
        <w:pStyle w:val="4"/>
      </w:pPr>
      <w:bookmarkStart w:id="542" w:name="_Toc499204891"/>
      <w:bookmarkStart w:id="543" w:name="_Toc144974537"/>
      <w:bookmarkStart w:id="544" w:name="_Toc269324728"/>
      <w:bookmarkStart w:id="545" w:name="_Toc28597"/>
      <w:bookmarkStart w:id="546" w:name="_Toc13760"/>
      <w:bookmarkStart w:id="547" w:name="_Toc152042345"/>
      <w:bookmarkStart w:id="548" w:name="_Toc498502983"/>
      <w:bookmarkStart w:id="549" w:name="_Toc273358897"/>
      <w:bookmarkStart w:id="550" w:name="_Toc27976"/>
      <w:bookmarkStart w:id="551" w:name="_Toc22034"/>
      <w:bookmarkStart w:id="552" w:name="_Toc281225161"/>
      <w:bookmarkStart w:id="553" w:name="_Toc152045569"/>
      <w:r>
        <w:t>7.3 履约担保</w:t>
      </w:r>
      <w:bookmarkEnd w:id="542"/>
      <w:bookmarkEnd w:id="543"/>
      <w:bookmarkEnd w:id="544"/>
      <w:bookmarkEnd w:id="545"/>
      <w:bookmarkEnd w:id="546"/>
      <w:bookmarkEnd w:id="547"/>
      <w:bookmarkEnd w:id="548"/>
      <w:bookmarkEnd w:id="549"/>
      <w:bookmarkEnd w:id="550"/>
      <w:bookmarkEnd w:id="551"/>
      <w:bookmarkEnd w:id="552"/>
      <w:bookmarkEnd w:id="55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7.3.1在合同签订前，中标人应按投标人须知前附表规定的金额、担保形式和招标文件第四章</w:t>
      </w:r>
      <w:r>
        <w:rPr>
          <w:rFonts w:hint="eastAsia" w:asciiTheme="minorEastAsia" w:hAnsiTheme="minorEastAsia" w:eastAsiaTheme="minorEastAsia"/>
          <w:sz w:val="24"/>
        </w:rPr>
        <w:t>“</w:t>
      </w:r>
      <w:r>
        <w:rPr>
          <w:rFonts w:asciiTheme="minorEastAsia" w:hAnsiTheme="minorEastAsia" w:eastAsiaTheme="minorEastAsia"/>
          <w:sz w:val="24"/>
        </w:rPr>
        <w:t>合同条款及格式</w:t>
      </w:r>
      <w:r>
        <w:rPr>
          <w:rFonts w:hint="eastAsia" w:asciiTheme="minorEastAsia" w:hAnsiTheme="minorEastAsia" w:eastAsiaTheme="minorEastAsia"/>
          <w:sz w:val="24"/>
        </w:rPr>
        <w:t>”</w:t>
      </w:r>
      <w:r>
        <w:rPr>
          <w:rFonts w:asciiTheme="minorEastAsia" w:hAnsiTheme="minorEastAsia" w:eastAsiaTheme="minorEastAsia"/>
          <w:sz w:val="24"/>
        </w:rPr>
        <w:t>规定的履约担保格式向招标人提交履约担保。</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7.3.2 中标人不能按本章第7.3.1项要求提交履约担保的，视为放弃中标，其投标保证金不予退还，给招标人造成损失的，还应当赔偿损失。</w:t>
      </w:r>
    </w:p>
    <w:p>
      <w:pPr>
        <w:pStyle w:val="4"/>
      </w:pPr>
      <w:bookmarkStart w:id="554" w:name="_Toc498502984"/>
      <w:bookmarkStart w:id="555" w:name="_Toc152045570"/>
      <w:bookmarkStart w:id="556" w:name="_Toc273358898"/>
      <w:bookmarkStart w:id="557" w:name="_Toc499204892"/>
      <w:bookmarkStart w:id="558" w:name="_Toc10113"/>
      <w:bookmarkStart w:id="559" w:name="_Toc31753"/>
      <w:bookmarkStart w:id="560" w:name="_Toc281225162"/>
      <w:bookmarkStart w:id="561" w:name="_Toc31915"/>
      <w:bookmarkStart w:id="562" w:name="_Toc28578"/>
      <w:bookmarkStart w:id="563" w:name="_Toc269324729"/>
      <w:bookmarkStart w:id="564" w:name="_Toc144974538"/>
      <w:bookmarkStart w:id="565" w:name="_Toc152042346"/>
      <w:r>
        <w:t>7.4 签订合同</w:t>
      </w:r>
      <w:bookmarkEnd w:id="554"/>
      <w:bookmarkEnd w:id="555"/>
      <w:bookmarkEnd w:id="556"/>
      <w:bookmarkEnd w:id="557"/>
      <w:bookmarkEnd w:id="558"/>
      <w:bookmarkEnd w:id="559"/>
      <w:bookmarkEnd w:id="560"/>
      <w:bookmarkEnd w:id="561"/>
      <w:bookmarkEnd w:id="562"/>
      <w:bookmarkEnd w:id="563"/>
      <w:bookmarkEnd w:id="564"/>
      <w:bookmarkEnd w:id="565"/>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7.4.1招标人和中标人应当自中标通知书发出之日起30天内，根据招标文件和中标人的投标文件订立书面合同。</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 xml:space="preserve">7.4.2 中标人无正当理由拒签合同的，招标人取消其中标资格，其投标保证金不予退还；给招标人造成的损失超过投标保证金数额的，中标人还应当对超过部分予以赔偿。 </w:t>
      </w:r>
    </w:p>
    <w:p>
      <w:pPr>
        <w:pStyle w:val="2"/>
      </w:pPr>
      <w:bookmarkStart w:id="566" w:name="_Toc27869"/>
      <w:bookmarkStart w:id="567" w:name="_Toc152045571"/>
      <w:bookmarkStart w:id="568" w:name="_Toc269324730"/>
      <w:bookmarkStart w:id="569" w:name="_Toc144974539"/>
      <w:bookmarkStart w:id="570" w:name="_Toc273358899"/>
      <w:bookmarkStart w:id="571" w:name="_Toc152042347"/>
      <w:bookmarkStart w:id="572" w:name="_Toc498502985"/>
      <w:bookmarkStart w:id="573" w:name="_Toc281225163"/>
      <w:bookmarkStart w:id="574" w:name="_Toc6582"/>
      <w:r>
        <w:t>8.重新招标和不再招标</w:t>
      </w:r>
      <w:bookmarkEnd w:id="566"/>
      <w:bookmarkEnd w:id="567"/>
      <w:bookmarkEnd w:id="568"/>
      <w:bookmarkEnd w:id="569"/>
      <w:bookmarkEnd w:id="570"/>
      <w:bookmarkEnd w:id="571"/>
      <w:bookmarkEnd w:id="572"/>
      <w:bookmarkEnd w:id="573"/>
      <w:bookmarkEnd w:id="574"/>
    </w:p>
    <w:p>
      <w:pPr>
        <w:pStyle w:val="4"/>
      </w:pPr>
      <w:bookmarkStart w:id="575" w:name="_Toc10866"/>
      <w:bookmarkStart w:id="576" w:name="_Toc144974540"/>
      <w:bookmarkStart w:id="577" w:name="_Toc152042348"/>
      <w:bookmarkStart w:id="578" w:name="_Toc22062"/>
      <w:bookmarkStart w:id="579" w:name="_Toc498502986"/>
      <w:bookmarkStart w:id="580" w:name="_Toc281225164"/>
      <w:bookmarkStart w:id="581" w:name="_Toc273358900"/>
      <w:bookmarkStart w:id="582" w:name="_Toc20668"/>
      <w:bookmarkStart w:id="583" w:name="_Toc152045572"/>
      <w:bookmarkStart w:id="584" w:name="_Toc499204894"/>
      <w:bookmarkStart w:id="585" w:name="_Toc1475"/>
      <w:bookmarkStart w:id="586" w:name="_Toc269324731"/>
      <w:r>
        <w:t>8.1 重新招标</w:t>
      </w:r>
      <w:bookmarkEnd w:id="575"/>
      <w:bookmarkEnd w:id="576"/>
      <w:bookmarkEnd w:id="577"/>
      <w:bookmarkEnd w:id="578"/>
      <w:bookmarkEnd w:id="579"/>
      <w:bookmarkEnd w:id="580"/>
      <w:bookmarkEnd w:id="581"/>
      <w:bookmarkEnd w:id="582"/>
      <w:bookmarkEnd w:id="583"/>
      <w:bookmarkEnd w:id="584"/>
      <w:bookmarkEnd w:id="585"/>
      <w:bookmarkEnd w:id="58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有下列情形之一的，招标人将重新招标：</w:t>
      </w:r>
    </w:p>
    <w:p>
      <w:pPr>
        <w:spacing w:line="360" w:lineRule="auto"/>
        <w:ind w:firstLine="650" w:firstLineChars="271"/>
        <w:jc w:val="left"/>
        <w:rPr>
          <w:rFonts w:asciiTheme="minorEastAsia" w:hAnsiTheme="minorEastAsia" w:eastAsiaTheme="minorEastAsia"/>
          <w:sz w:val="24"/>
        </w:rPr>
      </w:pPr>
      <w:bookmarkStart w:id="587" w:name="_Toc152045573"/>
      <w:bookmarkStart w:id="588" w:name="_Toc281225165"/>
      <w:bookmarkStart w:id="589" w:name="_Toc144974541"/>
      <w:bookmarkStart w:id="590" w:name="_Toc152042349"/>
      <w:bookmarkStart w:id="591" w:name="_Toc269324732"/>
      <w:bookmarkStart w:id="592" w:name="_Toc273358901"/>
      <w:r>
        <w:rPr>
          <w:rFonts w:asciiTheme="minorEastAsia" w:hAnsiTheme="minorEastAsia" w:eastAsiaTheme="minorEastAsia"/>
          <w:sz w:val="24"/>
        </w:rPr>
        <w:t>（1）投标截止时间止，投标人少于3个的；</w:t>
      </w:r>
    </w:p>
    <w:p>
      <w:pPr>
        <w:spacing w:line="360" w:lineRule="auto"/>
        <w:ind w:firstLine="650" w:firstLineChars="271"/>
        <w:jc w:val="left"/>
        <w:rPr>
          <w:rFonts w:asciiTheme="minorEastAsia" w:hAnsiTheme="minorEastAsia" w:eastAsiaTheme="minorEastAsia"/>
          <w:sz w:val="24"/>
        </w:rPr>
      </w:pPr>
      <w:r>
        <w:rPr>
          <w:rFonts w:asciiTheme="minorEastAsia" w:hAnsiTheme="minorEastAsia" w:eastAsiaTheme="minorEastAsia"/>
          <w:sz w:val="24"/>
        </w:rPr>
        <w:t>（2）经评标委员会评审后否决所有投标的。</w:t>
      </w:r>
    </w:p>
    <w:p>
      <w:pPr>
        <w:pStyle w:val="4"/>
      </w:pPr>
      <w:bookmarkStart w:id="593" w:name="_Toc23155"/>
      <w:bookmarkStart w:id="594" w:name="_Toc17692"/>
      <w:bookmarkStart w:id="595" w:name="_Toc13158"/>
      <w:bookmarkStart w:id="596" w:name="_Toc498502987"/>
      <w:bookmarkStart w:id="597" w:name="_Toc28928"/>
      <w:bookmarkStart w:id="598" w:name="_Toc499204895"/>
      <w:r>
        <w:t>8.2 不再招标</w:t>
      </w:r>
      <w:bookmarkEnd w:id="587"/>
      <w:bookmarkEnd w:id="588"/>
      <w:bookmarkEnd w:id="589"/>
      <w:bookmarkEnd w:id="590"/>
      <w:bookmarkEnd w:id="591"/>
      <w:bookmarkEnd w:id="592"/>
      <w:bookmarkEnd w:id="593"/>
      <w:bookmarkEnd w:id="594"/>
      <w:bookmarkEnd w:id="595"/>
      <w:bookmarkEnd w:id="596"/>
      <w:bookmarkEnd w:id="597"/>
      <w:bookmarkEnd w:id="598"/>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重新招标后投标人仍少于3个或者所有投标被否决的，属于按照国家规定需要政府审批的项目，报项目审批或核准部门批准后可以不再进行招标。</w:t>
      </w:r>
    </w:p>
    <w:p>
      <w:pPr>
        <w:pStyle w:val="2"/>
      </w:pPr>
      <w:bookmarkStart w:id="599" w:name="_Toc5743"/>
      <w:bookmarkStart w:id="600" w:name="_Toc273358902"/>
      <w:bookmarkStart w:id="601" w:name="_Toc281225166"/>
      <w:bookmarkStart w:id="602" w:name="_Toc7591"/>
      <w:bookmarkStart w:id="603" w:name="_Toc498502988"/>
      <w:bookmarkStart w:id="604" w:name="_Toc269324733"/>
      <w:bookmarkStart w:id="605" w:name="_Toc152042350"/>
      <w:bookmarkStart w:id="606" w:name="_Toc152045574"/>
      <w:bookmarkStart w:id="607" w:name="_Toc144974542"/>
      <w:r>
        <w:t>9.纪律和监督</w:t>
      </w:r>
      <w:bookmarkEnd w:id="599"/>
      <w:bookmarkEnd w:id="600"/>
      <w:bookmarkEnd w:id="601"/>
      <w:bookmarkEnd w:id="602"/>
      <w:bookmarkEnd w:id="603"/>
      <w:bookmarkEnd w:id="604"/>
      <w:bookmarkEnd w:id="605"/>
      <w:bookmarkEnd w:id="606"/>
      <w:bookmarkEnd w:id="607"/>
    </w:p>
    <w:p>
      <w:pPr>
        <w:pStyle w:val="4"/>
      </w:pPr>
      <w:bookmarkStart w:id="608" w:name="_Toc152045575"/>
      <w:bookmarkStart w:id="609" w:name="_Toc5597"/>
      <w:bookmarkStart w:id="610" w:name="_Toc498502989"/>
      <w:bookmarkStart w:id="611" w:name="_Toc32671"/>
      <w:bookmarkStart w:id="612" w:name="_Toc269324734"/>
      <w:bookmarkStart w:id="613" w:name="_Toc152042351"/>
      <w:bookmarkStart w:id="614" w:name="_Toc499204897"/>
      <w:bookmarkStart w:id="615" w:name="_Toc281225167"/>
      <w:bookmarkStart w:id="616" w:name="_Toc144974543"/>
      <w:bookmarkStart w:id="617" w:name="_Toc273358903"/>
      <w:bookmarkStart w:id="618" w:name="_Toc27611"/>
      <w:bookmarkStart w:id="619" w:name="_Toc12863"/>
      <w:r>
        <w:t>9.1 对招标人的纪律要求</w:t>
      </w:r>
      <w:bookmarkEnd w:id="608"/>
      <w:bookmarkEnd w:id="609"/>
      <w:bookmarkEnd w:id="610"/>
      <w:bookmarkEnd w:id="611"/>
      <w:bookmarkEnd w:id="612"/>
      <w:bookmarkEnd w:id="613"/>
      <w:bookmarkEnd w:id="614"/>
      <w:bookmarkEnd w:id="615"/>
      <w:bookmarkEnd w:id="616"/>
      <w:bookmarkEnd w:id="617"/>
      <w:bookmarkEnd w:id="618"/>
      <w:bookmarkEnd w:id="619"/>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招标人不得泄漏招标投标活动中应当保密的情况和资料，不得与投标人串通损害国家利益、社会公共利益或者他人合法权益。</w:t>
      </w:r>
    </w:p>
    <w:p>
      <w:pPr>
        <w:pStyle w:val="4"/>
      </w:pPr>
      <w:bookmarkStart w:id="620" w:name="_Toc273358904"/>
      <w:bookmarkStart w:id="621" w:name="_Toc144974544"/>
      <w:bookmarkStart w:id="622" w:name="_Toc6359"/>
      <w:bookmarkStart w:id="623" w:name="_Toc20050"/>
      <w:bookmarkStart w:id="624" w:name="_Toc498502990"/>
      <w:bookmarkStart w:id="625" w:name="_Toc20294"/>
      <w:bookmarkStart w:id="626" w:name="_Toc18505"/>
      <w:bookmarkStart w:id="627" w:name="_Toc269324735"/>
      <w:bookmarkStart w:id="628" w:name="_Toc281225168"/>
      <w:bookmarkStart w:id="629" w:name="_Toc499204898"/>
      <w:bookmarkStart w:id="630" w:name="_Toc152045576"/>
      <w:bookmarkStart w:id="631" w:name="_Toc152042352"/>
      <w:r>
        <w:t>9.2 对投标人的纪律要求</w:t>
      </w:r>
      <w:bookmarkEnd w:id="620"/>
      <w:bookmarkEnd w:id="621"/>
      <w:bookmarkEnd w:id="622"/>
      <w:bookmarkEnd w:id="623"/>
      <w:bookmarkEnd w:id="624"/>
      <w:bookmarkEnd w:id="625"/>
      <w:bookmarkEnd w:id="626"/>
      <w:bookmarkEnd w:id="627"/>
      <w:bookmarkEnd w:id="628"/>
      <w:bookmarkEnd w:id="629"/>
      <w:bookmarkEnd w:id="630"/>
      <w:bookmarkEnd w:id="631"/>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Pr>
      <w:bookmarkStart w:id="632" w:name="_Toc273358905"/>
      <w:bookmarkStart w:id="633" w:name="_Toc32619"/>
      <w:bookmarkStart w:id="634" w:name="_Toc499204899"/>
      <w:bookmarkStart w:id="635" w:name="_Toc7201"/>
      <w:bookmarkStart w:id="636" w:name="_Toc498502991"/>
      <w:bookmarkStart w:id="637" w:name="_Toc152042353"/>
      <w:bookmarkStart w:id="638" w:name="_Toc144974545"/>
      <w:bookmarkStart w:id="639" w:name="_Toc269324736"/>
      <w:bookmarkStart w:id="640" w:name="_Toc281225169"/>
      <w:bookmarkStart w:id="641" w:name="_Toc152045577"/>
      <w:bookmarkStart w:id="642" w:name="_Toc23244"/>
      <w:bookmarkStart w:id="643" w:name="_Toc7752"/>
      <w:r>
        <w:t>9.3 对评标委员会成员的纪律要求</w:t>
      </w:r>
      <w:bookmarkEnd w:id="632"/>
      <w:bookmarkEnd w:id="633"/>
      <w:bookmarkEnd w:id="634"/>
      <w:bookmarkEnd w:id="635"/>
      <w:bookmarkEnd w:id="636"/>
      <w:bookmarkEnd w:id="637"/>
      <w:bookmarkEnd w:id="638"/>
      <w:bookmarkEnd w:id="639"/>
      <w:bookmarkEnd w:id="640"/>
      <w:bookmarkEnd w:id="641"/>
      <w:bookmarkEnd w:id="642"/>
      <w:bookmarkEnd w:id="64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pPr>
      <w:bookmarkStart w:id="644" w:name="_Toc152042354"/>
      <w:bookmarkStart w:id="645" w:name="_Toc273358906"/>
      <w:bookmarkStart w:id="646" w:name="_Toc281225170"/>
      <w:bookmarkStart w:id="647" w:name="_Toc269324737"/>
      <w:bookmarkStart w:id="648" w:name="_Toc498502992"/>
      <w:bookmarkStart w:id="649" w:name="_Toc2097"/>
      <w:bookmarkStart w:id="650" w:name="_Toc16183"/>
      <w:bookmarkStart w:id="651" w:name="_Toc152045578"/>
      <w:bookmarkStart w:id="652" w:name="_Toc27818"/>
      <w:bookmarkStart w:id="653" w:name="_Toc7527"/>
      <w:bookmarkStart w:id="654" w:name="_Toc499204900"/>
      <w:bookmarkStart w:id="655" w:name="_Toc144974546"/>
      <w:r>
        <w:t>9.4 对与评标活动有关的工作人员的纪律要求</w:t>
      </w:r>
      <w:bookmarkEnd w:id="644"/>
      <w:bookmarkEnd w:id="645"/>
      <w:bookmarkEnd w:id="646"/>
      <w:bookmarkEnd w:id="647"/>
      <w:bookmarkEnd w:id="648"/>
      <w:bookmarkEnd w:id="649"/>
      <w:bookmarkEnd w:id="650"/>
      <w:bookmarkEnd w:id="651"/>
      <w:bookmarkEnd w:id="652"/>
      <w:bookmarkEnd w:id="653"/>
      <w:bookmarkEnd w:id="654"/>
    </w:p>
    <w:p>
      <w:pPr>
        <w:spacing w:line="360" w:lineRule="auto"/>
        <w:ind w:firstLine="420"/>
        <w:jc w:val="left"/>
        <w:rPr>
          <w:rFonts w:asciiTheme="minorEastAsia" w:hAnsiTheme="minorEastAsia" w:eastAsiaTheme="minorEastAsia"/>
          <w:sz w:val="24"/>
        </w:rPr>
      </w:pPr>
      <w:bookmarkStart w:id="656" w:name="_Toc152042355"/>
      <w:r>
        <w:rPr>
          <w:rFonts w:asciiTheme="minorEastAsia" w:hAnsiTheme="minorEastAsia" w:eastAsia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56"/>
    </w:p>
    <w:p>
      <w:pPr>
        <w:pStyle w:val="4"/>
      </w:pPr>
      <w:bookmarkStart w:id="657" w:name="_Toc7533"/>
      <w:bookmarkStart w:id="658" w:name="_Toc499204901"/>
      <w:bookmarkStart w:id="659" w:name="_Toc27238"/>
      <w:bookmarkStart w:id="660" w:name="_Toc10611"/>
      <w:bookmarkStart w:id="661" w:name="_Toc16495"/>
      <w:bookmarkStart w:id="662" w:name="_Toc498502993"/>
      <w:r>
        <w:t>9.5</w:t>
      </w:r>
      <w:bookmarkStart w:id="663" w:name="_Toc152042356"/>
      <w:bookmarkStart w:id="664" w:name="_Toc273358907"/>
      <w:bookmarkStart w:id="665" w:name="_Toc281225171"/>
      <w:bookmarkStart w:id="666" w:name="_Toc269324738"/>
      <w:bookmarkStart w:id="667" w:name="_Toc152045579"/>
      <w:r>
        <w:t>投诉</w:t>
      </w:r>
      <w:bookmarkEnd w:id="655"/>
      <w:bookmarkEnd w:id="657"/>
      <w:bookmarkEnd w:id="658"/>
      <w:bookmarkEnd w:id="659"/>
      <w:bookmarkEnd w:id="660"/>
      <w:bookmarkEnd w:id="661"/>
      <w:bookmarkEnd w:id="662"/>
      <w:bookmarkEnd w:id="663"/>
      <w:bookmarkEnd w:id="664"/>
      <w:bookmarkEnd w:id="665"/>
      <w:bookmarkEnd w:id="666"/>
      <w:bookmarkEnd w:id="667"/>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投标人和其他利害关系人认为本次招标活动违反法律、法规和规章规定的，有权向有关行政监督部门投诉。</w:t>
      </w:r>
    </w:p>
    <w:p>
      <w:pPr>
        <w:pStyle w:val="2"/>
      </w:pPr>
      <w:bookmarkStart w:id="668" w:name="_Toc269324739"/>
      <w:bookmarkStart w:id="669" w:name="_Toc273358908"/>
      <w:bookmarkStart w:id="670" w:name="_Toc498502994"/>
      <w:bookmarkStart w:id="671" w:name="_Toc30726"/>
      <w:bookmarkStart w:id="672" w:name="_Toc281225172"/>
      <w:bookmarkStart w:id="673" w:name="_Toc29940"/>
      <w:bookmarkStart w:id="674" w:name="_Toc152045580"/>
      <w:bookmarkStart w:id="675" w:name="_Toc152042357"/>
      <w:bookmarkStart w:id="676" w:name="_Toc144974547"/>
      <w:r>
        <w:t>10.需要补充的其他内容</w:t>
      </w:r>
      <w:bookmarkEnd w:id="668"/>
      <w:bookmarkEnd w:id="669"/>
      <w:bookmarkEnd w:id="670"/>
      <w:bookmarkEnd w:id="671"/>
      <w:bookmarkEnd w:id="672"/>
      <w:bookmarkEnd w:id="673"/>
      <w:bookmarkEnd w:id="674"/>
      <w:bookmarkEnd w:id="675"/>
      <w:bookmarkEnd w:id="676"/>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需要补充的其他内容：见投标人须知前附表。</w:t>
      </w:r>
      <w:r>
        <w:rPr>
          <w:rFonts w:asciiTheme="minorEastAsia" w:hAnsiTheme="minorEastAsia" w:eastAsiaTheme="minorEastAsia"/>
          <w:sz w:val="24"/>
        </w:rPr>
        <w:br w:type="page"/>
      </w:r>
    </w:p>
    <w:p>
      <w:pPr>
        <w:pStyle w:val="2"/>
        <w:rPr>
          <w:rFonts w:ascii="宋体" w:hAnsi="宋体"/>
        </w:rPr>
      </w:pPr>
      <w:bookmarkStart w:id="677" w:name="_Toc2889"/>
      <w:bookmarkStart w:id="678" w:name="_Toc6174"/>
      <w:bookmarkStart w:id="679" w:name="_Toc290634342"/>
      <w:bookmarkStart w:id="680" w:name="_Toc152042358"/>
      <w:bookmarkStart w:id="681" w:name="_Toc144974548"/>
      <w:bookmarkStart w:id="682" w:name="_Toc498502995"/>
      <w:bookmarkStart w:id="683" w:name="_Toc2077"/>
      <w:bookmarkStart w:id="684" w:name="_Toc152045581"/>
      <w:r>
        <w:rPr>
          <w:rFonts w:hint="eastAsia"/>
        </w:rPr>
        <w:t>附表一：开标记录表</w:t>
      </w:r>
      <w:bookmarkEnd w:id="677"/>
      <w:bookmarkEnd w:id="678"/>
      <w:bookmarkEnd w:id="679"/>
      <w:bookmarkEnd w:id="680"/>
      <w:bookmarkEnd w:id="681"/>
      <w:bookmarkEnd w:id="682"/>
      <w:bookmarkEnd w:id="683"/>
      <w:bookmarkEnd w:id="684"/>
    </w:p>
    <w:p>
      <w:pPr>
        <w:spacing w:beforeLines="100" w:afterLines="100"/>
        <w:jc w:val="center"/>
        <w:rPr>
          <w:b/>
        </w:rPr>
      </w:pPr>
      <w:r>
        <w:rPr>
          <w:rFonts w:hAnsi="宋体"/>
          <w:b/>
        </w:rPr>
        <w:t>（项目名称）开标记录表</w:t>
      </w:r>
    </w:p>
    <w:p>
      <w:pPr>
        <w:spacing w:line="360" w:lineRule="auto"/>
        <w:ind w:firstLine="105" w:firstLineChars="50"/>
        <w:rPr>
          <w:rFonts w:asciiTheme="minorEastAsia" w:hAnsiTheme="minorEastAsia" w:eastAsiaTheme="minorEastAsia"/>
          <w:szCs w:val="21"/>
        </w:rPr>
      </w:pPr>
      <w:r>
        <w:rPr>
          <w:rFonts w:asciiTheme="minorEastAsia" w:hAnsiTheme="minorEastAsia" w:eastAsiaTheme="minorEastAsia"/>
          <w:szCs w:val="21"/>
        </w:rPr>
        <w:t>开标时间：年月日时分</w:t>
      </w:r>
    </w:p>
    <w:p>
      <w:pPr>
        <w:spacing w:line="360" w:lineRule="auto"/>
        <w:ind w:firstLine="105" w:firstLineChars="50"/>
        <w:rPr>
          <w:rFonts w:asciiTheme="minorEastAsia" w:hAnsiTheme="minorEastAsia" w:eastAsiaTheme="minorEastAsia"/>
          <w:szCs w:val="21"/>
        </w:rPr>
      </w:pPr>
      <w:r>
        <w:rPr>
          <w:rFonts w:asciiTheme="minorEastAsia" w:hAnsiTheme="minorEastAsia" w:eastAsiaTheme="minorEastAsia"/>
          <w:szCs w:val="21"/>
        </w:rPr>
        <w:t>开标地点：</w:t>
      </w:r>
    </w:p>
    <w:p>
      <w:pPr>
        <w:spacing w:line="360" w:lineRule="auto"/>
        <w:ind w:firstLine="420"/>
        <w:rPr>
          <w:rFonts w:asciiTheme="minorEastAsia" w:hAnsiTheme="minorEastAsia" w:eastAsiaTheme="minorEastAsia"/>
          <w:szCs w:val="21"/>
        </w:rPr>
      </w:pPr>
      <w:bookmarkStart w:id="685" w:name="_Toc293403298"/>
      <w:bookmarkStart w:id="686" w:name="_Toc297670070"/>
      <w:bookmarkStart w:id="687" w:name="_Toc297800038"/>
      <w:bookmarkStart w:id="688" w:name="_Toc291496617"/>
      <w:r>
        <w:rPr>
          <w:rFonts w:asciiTheme="minorEastAsia" w:hAnsiTheme="minorEastAsia" w:eastAsiaTheme="minorEastAsia"/>
          <w:szCs w:val="21"/>
        </w:rPr>
        <w:t>（一）唱标记录</w:t>
      </w:r>
      <w:bookmarkEnd w:id="685"/>
      <w:bookmarkEnd w:id="686"/>
      <w:bookmarkEnd w:id="687"/>
      <w:bookmarkEnd w:id="688"/>
    </w:p>
    <w:tbl>
      <w:tblPr>
        <w:tblStyle w:val="28"/>
        <w:tblW w:w="82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846"/>
        <w:gridCol w:w="1142"/>
        <w:gridCol w:w="1290"/>
        <w:gridCol w:w="1124"/>
        <w:gridCol w:w="985"/>
        <w:gridCol w:w="853"/>
        <w:gridCol w:w="690"/>
        <w:gridCol w:w="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开标序号</w:t>
            </w:r>
          </w:p>
        </w:tc>
        <w:tc>
          <w:tcPr>
            <w:tcW w:w="846"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投标人</w:t>
            </w:r>
          </w:p>
        </w:tc>
        <w:tc>
          <w:tcPr>
            <w:tcW w:w="1142"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密封情况</w:t>
            </w:r>
          </w:p>
        </w:tc>
        <w:tc>
          <w:tcPr>
            <w:tcW w:w="129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1124"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投标报价（</w:t>
            </w:r>
            <w:r>
              <w:rPr>
                <w:rFonts w:hint="eastAsia" w:asciiTheme="minorEastAsia" w:hAnsiTheme="minorEastAsia" w:eastAsiaTheme="minorEastAsia"/>
                <w:szCs w:val="21"/>
              </w:rPr>
              <w:t>费率</w:t>
            </w:r>
            <w:r>
              <w:rPr>
                <w:rFonts w:asciiTheme="minorEastAsia" w:hAnsiTheme="minorEastAsia" w:eastAsiaTheme="minorEastAsia"/>
                <w:szCs w:val="21"/>
              </w:rPr>
              <w:t>）</w:t>
            </w:r>
          </w:p>
        </w:tc>
        <w:tc>
          <w:tcPr>
            <w:tcW w:w="985"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服务</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周期</w:t>
            </w:r>
          </w:p>
        </w:tc>
        <w:tc>
          <w:tcPr>
            <w:tcW w:w="853"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服务质量目标</w:t>
            </w:r>
          </w:p>
        </w:tc>
        <w:tc>
          <w:tcPr>
            <w:tcW w:w="690"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备注</w:t>
            </w:r>
          </w:p>
        </w:tc>
        <w:tc>
          <w:tcPr>
            <w:tcW w:w="67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0" w:type="dxa"/>
          </w:tcPr>
          <w:p>
            <w:pPr>
              <w:spacing w:line="360" w:lineRule="auto"/>
              <w:ind w:firstLine="420"/>
              <w:rPr>
                <w:rFonts w:asciiTheme="minorEastAsia" w:hAnsiTheme="minorEastAsia" w:eastAsiaTheme="minorEastAsia"/>
                <w:szCs w:val="21"/>
              </w:rPr>
            </w:pPr>
          </w:p>
        </w:tc>
        <w:tc>
          <w:tcPr>
            <w:tcW w:w="846" w:type="dxa"/>
          </w:tcPr>
          <w:p>
            <w:pPr>
              <w:spacing w:line="360" w:lineRule="auto"/>
              <w:ind w:firstLine="420"/>
              <w:rPr>
                <w:rFonts w:asciiTheme="minorEastAsia" w:hAnsiTheme="minorEastAsia" w:eastAsiaTheme="minorEastAsia"/>
                <w:szCs w:val="21"/>
              </w:rPr>
            </w:pPr>
          </w:p>
        </w:tc>
        <w:tc>
          <w:tcPr>
            <w:tcW w:w="1142" w:type="dxa"/>
          </w:tcPr>
          <w:p>
            <w:pPr>
              <w:spacing w:line="360" w:lineRule="auto"/>
              <w:ind w:firstLine="420"/>
              <w:rPr>
                <w:rFonts w:asciiTheme="minorEastAsia" w:hAnsiTheme="minorEastAsia" w:eastAsiaTheme="minorEastAsia"/>
                <w:szCs w:val="21"/>
              </w:rPr>
            </w:pPr>
          </w:p>
        </w:tc>
        <w:tc>
          <w:tcPr>
            <w:tcW w:w="1290" w:type="dxa"/>
          </w:tcPr>
          <w:p>
            <w:pPr>
              <w:spacing w:line="360" w:lineRule="auto"/>
              <w:ind w:firstLine="420"/>
              <w:rPr>
                <w:rFonts w:asciiTheme="minorEastAsia" w:hAnsiTheme="minorEastAsia" w:eastAsiaTheme="minorEastAsia"/>
                <w:szCs w:val="21"/>
              </w:rPr>
            </w:pPr>
          </w:p>
        </w:tc>
        <w:tc>
          <w:tcPr>
            <w:tcW w:w="1124" w:type="dxa"/>
          </w:tcPr>
          <w:p>
            <w:pPr>
              <w:spacing w:line="360" w:lineRule="auto"/>
              <w:ind w:firstLine="420"/>
              <w:rPr>
                <w:rFonts w:asciiTheme="minorEastAsia" w:hAnsiTheme="minorEastAsia" w:eastAsiaTheme="minorEastAsia"/>
                <w:szCs w:val="21"/>
              </w:rPr>
            </w:pPr>
          </w:p>
        </w:tc>
        <w:tc>
          <w:tcPr>
            <w:tcW w:w="985" w:type="dxa"/>
          </w:tcPr>
          <w:p>
            <w:pPr>
              <w:spacing w:line="360" w:lineRule="auto"/>
              <w:ind w:firstLine="420"/>
              <w:rPr>
                <w:rFonts w:asciiTheme="minorEastAsia" w:hAnsiTheme="minorEastAsia" w:eastAsiaTheme="minorEastAsia"/>
                <w:szCs w:val="21"/>
              </w:rPr>
            </w:pPr>
          </w:p>
        </w:tc>
        <w:tc>
          <w:tcPr>
            <w:tcW w:w="853" w:type="dxa"/>
          </w:tcPr>
          <w:p>
            <w:pPr>
              <w:spacing w:line="360" w:lineRule="auto"/>
              <w:ind w:firstLine="420"/>
              <w:rPr>
                <w:rFonts w:asciiTheme="minorEastAsia" w:hAnsiTheme="minorEastAsia" w:eastAsiaTheme="minorEastAsia"/>
                <w:szCs w:val="21"/>
              </w:rPr>
            </w:pPr>
          </w:p>
        </w:tc>
        <w:tc>
          <w:tcPr>
            <w:tcW w:w="690" w:type="dxa"/>
          </w:tcPr>
          <w:p>
            <w:pPr>
              <w:spacing w:line="360" w:lineRule="auto"/>
              <w:ind w:firstLine="420"/>
              <w:rPr>
                <w:rFonts w:asciiTheme="minorEastAsia" w:hAnsiTheme="minorEastAsia" w:eastAsiaTheme="minorEastAsia"/>
                <w:szCs w:val="21"/>
              </w:rPr>
            </w:pPr>
          </w:p>
        </w:tc>
        <w:tc>
          <w:tcPr>
            <w:tcW w:w="677" w:type="dxa"/>
          </w:tcPr>
          <w:p>
            <w:pPr>
              <w:spacing w:line="360" w:lineRule="auto"/>
              <w:ind w:firstLine="420"/>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58" w:type="dxa"/>
            <w:gridSpan w:val="3"/>
          </w:tcPr>
          <w:p>
            <w:pPr>
              <w:spacing w:line="360" w:lineRule="auto"/>
              <w:rPr>
                <w:rFonts w:asciiTheme="minorEastAsia" w:hAnsiTheme="minorEastAsia" w:eastAsiaTheme="minorEastAsia"/>
                <w:szCs w:val="21"/>
              </w:rPr>
            </w:pPr>
            <w:r>
              <w:rPr>
                <w:rFonts w:asciiTheme="minorEastAsia" w:hAnsiTheme="minorEastAsia" w:eastAsiaTheme="minorEastAsia"/>
                <w:szCs w:val="21"/>
              </w:rPr>
              <w:t>招标人编制的招标控制价</w:t>
            </w:r>
          </w:p>
        </w:tc>
        <w:tc>
          <w:tcPr>
            <w:tcW w:w="5619" w:type="dxa"/>
            <w:gridSpan w:val="6"/>
          </w:tcPr>
          <w:p>
            <w:pPr>
              <w:spacing w:line="360" w:lineRule="auto"/>
              <w:ind w:firstLine="420"/>
              <w:rPr>
                <w:rFonts w:asciiTheme="minorEastAsia" w:hAnsiTheme="minorEastAsia" w:eastAsiaTheme="minorEastAsia"/>
                <w:szCs w:val="21"/>
              </w:rPr>
            </w:pPr>
          </w:p>
        </w:tc>
      </w:tr>
    </w:tbl>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（二）开标过程中的其他事项记录</w:t>
      </w:r>
    </w:p>
    <w:p>
      <w:pPr>
        <w:spacing w:line="360" w:lineRule="auto"/>
        <w:ind w:firstLine="420"/>
        <w:rPr>
          <w:rFonts w:asciiTheme="minorEastAsia" w:hAnsiTheme="minorEastAsia" w:eastAsiaTheme="minorEastAsia"/>
          <w:szCs w:val="21"/>
          <w:u w:val="single"/>
        </w:rPr>
      </w:pPr>
    </w:p>
    <w:p>
      <w:pPr>
        <w:spacing w:line="360" w:lineRule="auto"/>
        <w:ind w:firstLine="420"/>
        <w:rPr>
          <w:rFonts w:asciiTheme="minorEastAsia" w:hAnsiTheme="minorEastAsia" w:eastAsiaTheme="minorEastAsia"/>
          <w:szCs w:val="21"/>
          <w:u w:val="single"/>
        </w:rPr>
      </w:pPr>
    </w:p>
    <w:p>
      <w:pPr>
        <w:spacing w:line="360" w:lineRule="auto"/>
        <w:ind w:firstLine="420"/>
        <w:rPr>
          <w:rFonts w:asciiTheme="minorEastAsia" w:hAnsiTheme="minorEastAsia" w:eastAsiaTheme="minorEastAsia"/>
          <w:szCs w:val="21"/>
        </w:rPr>
      </w:pPr>
      <w:bookmarkStart w:id="689" w:name="_Toc297800039"/>
      <w:bookmarkStart w:id="690" w:name="_Toc291496618"/>
      <w:bookmarkStart w:id="691" w:name="_Toc297670071"/>
      <w:bookmarkStart w:id="692" w:name="_Toc293403299"/>
      <w:r>
        <w:rPr>
          <w:rFonts w:asciiTheme="minorEastAsia" w:hAnsiTheme="minorEastAsia" w:eastAsiaTheme="minorEastAsia"/>
          <w:szCs w:val="21"/>
        </w:rPr>
        <w:t>（三）出席开标会的单位和人员（附签到表）</w:t>
      </w:r>
      <w:bookmarkEnd w:id="689"/>
      <w:bookmarkEnd w:id="690"/>
      <w:bookmarkEnd w:id="691"/>
      <w:bookmarkEnd w:id="692"/>
    </w:p>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招标人代表： 记录人： 监标人：</w:t>
      </w: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rPr>
      </w:pPr>
    </w:p>
    <w:p>
      <w:pPr>
        <w:spacing w:line="360" w:lineRule="auto"/>
        <w:ind w:right="-58" w:firstLine="420"/>
        <w:jc w:val="right"/>
        <w:rPr>
          <w:rFonts w:asciiTheme="minorEastAsia" w:hAnsiTheme="minorEastAsia" w:eastAsiaTheme="minorEastAsia"/>
          <w:szCs w:val="21"/>
          <w:u w:val="single"/>
        </w:rPr>
      </w:pPr>
      <w:r>
        <w:rPr>
          <w:rFonts w:asciiTheme="minorEastAsia" w:hAnsiTheme="minorEastAsia" w:eastAsiaTheme="minorEastAsia"/>
          <w:szCs w:val="21"/>
        </w:rPr>
        <w:t>年月日</w:t>
      </w:r>
    </w:p>
    <w:p>
      <w:pPr>
        <w:ind w:right="-58" w:firstLine="420"/>
        <w:jc w:val="right"/>
        <w:rPr>
          <w:szCs w:val="21"/>
        </w:rPr>
      </w:pPr>
      <w:r>
        <w:rPr>
          <w:u w:val="single"/>
        </w:rPr>
        <w:br w:type="page"/>
      </w:r>
    </w:p>
    <w:p>
      <w:pPr>
        <w:pStyle w:val="2"/>
      </w:pPr>
      <w:bookmarkStart w:id="693" w:name="_Toc144974549"/>
      <w:bookmarkStart w:id="694" w:name="_Toc152045582"/>
      <w:bookmarkStart w:id="695" w:name="_Toc498502996"/>
      <w:bookmarkStart w:id="696" w:name="_Toc290634343"/>
      <w:bookmarkStart w:id="697" w:name="_Toc152042359"/>
      <w:bookmarkStart w:id="698" w:name="_Toc15334"/>
      <w:bookmarkStart w:id="699" w:name="_Toc27616"/>
      <w:bookmarkStart w:id="700" w:name="_Toc25882"/>
      <w:r>
        <w:rPr>
          <w:rFonts w:hint="eastAsia"/>
        </w:rPr>
        <w:t>附表二：问题澄清通知</w:t>
      </w:r>
      <w:bookmarkEnd w:id="693"/>
      <w:bookmarkEnd w:id="694"/>
      <w:bookmarkEnd w:id="695"/>
      <w:bookmarkEnd w:id="696"/>
      <w:bookmarkEnd w:id="697"/>
      <w:bookmarkEnd w:id="698"/>
      <w:bookmarkEnd w:id="699"/>
      <w:bookmarkEnd w:id="700"/>
    </w:p>
    <w:p>
      <w:pPr>
        <w:spacing w:beforeLines="100" w:afterLines="100" w:line="360" w:lineRule="auto"/>
        <w:jc w:val="center"/>
        <w:rPr>
          <w:b/>
        </w:rPr>
      </w:pPr>
      <w:r>
        <w:rPr>
          <w:rFonts w:hAnsi="宋体"/>
          <w:b/>
        </w:rPr>
        <w:t>问题澄清通知</w:t>
      </w:r>
    </w:p>
    <w:p>
      <w:pPr>
        <w:spacing w:line="360" w:lineRule="auto"/>
        <w:ind w:firstLine="6188" w:firstLineChars="2947"/>
        <w:rPr>
          <w:szCs w:val="21"/>
          <w:u w:val="single"/>
        </w:rPr>
      </w:pPr>
      <w:r>
        <w:rPr>
          <w:rFonts w:hAnsi="宋体"/>
          <w:szCs w:val="21"/>
        </w:rPr>
        <w:t>编号：</w:t>
      </w:r>
    </w:p>
    <w:p>
      <w:pPr>
        <w:spacing w:line="360" w:lineRule="auto"/>
        <w:ind w:firstLine="420"/>
        <w:rPr>
          <w:szCs w:val="21"/>
        </w:rPr>
      </w:pPr>
      <w:r>
        <w:rPr>
          <w:rFonts w:hAnsi="宋体"/>
          <w:szCs w:val="21"/>
        </w:rPr>
        <w:t>（投标人名称）：</w:t>
      </w:r>
    </w:p>
    <w:p>
      <w:pPr>
        <w:spacing w:line="360" w:lineRule="auto"/>
        <w:ind w:firstLine="420"/>
        <w:rPr>
          <w:szCs w:val="21"/>
        </w:rPr>
      </w:pPr>
      <w:r>
        <w:rPr>
          <w:rFonts w:hAnsi="宋体"/>
          <w:szCs w:val="21"/>
        </w:rPr>
        <w:t>（项目名称）招标的评标委员会，对你方的投标文件进行了仔细的审查，现需你方对本通知所附质疑问卷中的问题以书面形式予以澄清、说明或者补正。</w:t>
      </w:r>
    </w:p>
    <w:p>
      <w:pPr>
        <w:spacing w:line="360" w:lineRule="auto"/>
        <w:ind w:firstLine="420"/>
        <w:rPr>
          <w:szCs w:val="21"/>
        </w:rPr>
      </w:pPr>
      <w:r>
        <w:rPr>
          <w:rFonts w:hAnsi="宋体"/>
          <w:szCs w:val="21"/>
        </w:rPr>
        <w:t>请将上述问题的澄清、说明或者补正于年月日时前密封递交至（详细地址）或传真至（传真号码）。采用传真方式的，应在年月日时前将原件递交至</w:t>
      </w:r>
      <w:r>
        <w:rPr>
          <w:rFonts w:hAnsi="宋体"/>
          <w:szCs w:val="21"/>
          <w:u w:val="single"/>
        </w:rPr>
        <w:t>（详细地址）</w:t>
      </w:r>
      <w:r>
        <w:rPr>
          <w:rFonts w:hAnsi="宋体"/>
          <w:szCs w:val="21"/>
        </w:rPr>
        <w:t>。</w:t>
      </w:r>
    </w:p>
    <w:p>
      <w:pPr>
        <w:spacing w:line="360" w:lineRule="auto"/>
        <w:ind w:firstLine="420"/>
        <w:rPr>
          <w:szCs w:val="21"/>
        </w:rPr>
      </w:pPr>
    </w:p>
    <w:p>
      <w:pPr>
        <w:spacing w:line="360" w:lineRule="auto"/>
        <w:ind w:firstLine="420"/>
        <w:rPr>
          <w:szCs w:val="21"/>
        </w:rPr>
      </w:pPr>
      <w:r>
        <w:rPr>
          <w:rFonts w:hAnsi="宋体"/>
          <w:szCs w:val="21"/>
        </w:rPr>
        <w:t>附件：质疑问卷</w:t>
      </w:r>
    </w:p>
    <w:p>
      <w:pPr>
        <w:spacing w:beforeLines="100" w:afterLines="100" w:line="360" w:lineRule="auto"/>
        <w:ind w:firstLine="420"/>
        <w:jc w:val="right"/>
        <w:rPr>
          <w:szCs w:val="21"/>
          <w:u w:val="single"/>
        </w:rPr>
      </w:pPr>
    </w:p>
    <w:p>
      <w:pPr>
        <w:spacing w:beforeLines="100" w:afterLines="100" w:line="360" w:lineRule="auto"/>
        <w:ind w:firstLine="420"/>
        <w:jc w:val="right"/>
        <w:rPr>
          <w:szCs w:val="21"/>
        </w:rPr>
      </w:pPr>
      <w:r>
        <w:rPr>
          <w:rFonts w:hAnsi="宋体"/>
          <w:szCs w:val="21"/>
        </w:rPr>
        <w:t>（项目名称）标段招标评标委员会</w:t>
      </w:r>
    </w:p>
    <w:p>
      <w:pPr>
        <w:spacing w:line="360" w:lineRule="auto"/>
        <w:ind w:firstLine="2125" w:firstLineChars="1012"/>
        <w:rPr>
          <w:szCs w:val="21"/>
        </w:rPr>
      </w:pPr>
      <w:r>
        <w:rPr>
          <w:rFonts w:hAnsi="宋体"/>
          <w:szCs w:val="21"/>
        </w:rPr>
        <w:t>（经评标委员会授权的招标人代表签字或招标人加盖单位章）</w:t>
      </w:r>
    </w:p>
    <w:p>
      <w:pPr>
        <w:spacing w:line="360" w:lineRule="auto"/>
        <w:ind w:firstLine="4620" w:firstLineChars="2200"/>
        <w:rPr>
          <w:rFonts w:ascii="宋体" w:hAnsi="宋体"/>
          <w:szCs w:val="21"/>
        </w:rPr>
      </w:pPr>
      <w:r>
        <w:rPr>
          <w:rFonts w:hAnsi="宋体"/>
          <w:szCs w:val="21"/>
        </w:rPr>
        <w:t>年月日</w:t>
      </w:r>
    </w:p>
    <w:p>
      <w:pPr>
        <w:spacing w:line="400" w:lineRule="exact"/>
      </w:pPr>
    </w:p>
    <w:p>
      <w:pPr>
        <w:spacing w:line="400" w:lineRule="exact"/>
        <w:rPr>
          <w:szCs w:val="21"/>
        </w:rPr>
      </w:pPr>
      <w:r>
        <w:rPr>
          <w:szCs w:val="21"/>
        </w:rPr>
        <w:br w:type="page"/>
      </w:r>
    </w:p>
    <w:p>
      <w:pPr>
        <w:pStyle w:val="2"/>
      </w:pPr>
      <w:bookmarkStart w:id="701" w:name="_Toc144974550"/>
      <w:bookmarkStart w:id="702" w:name="_Toc290634344"/>
      <w:bookmarkStart w:id="703" w:name="_Toc152042360"/>
      <w:bookmarkStart w:id="704" w:name="_Toc152045583"/>
      <w:bookmarkStart w:id="705" w:name="_Toc26255"/>
      <w:bookmarkStart w:id="706" w:name="_Toc6766"/>
      <w:bookmarkStart w:id="707" w:name="_Toc26538"/>
      <w:bookmarkStart w:id="708" w:name="_Toc498502997"/>
      <w:r>
        <w:rPr>
          <w:rFonts w:hint="eastAsia"/>
        </w:rPr>
        <w:t>附表三：问题的澄清</w:t>
      </w:r>
      <w:bookmarkEnd w:id="701"/>
      <w:bookmarkEnd w:id="702"/>
      <w:bookmarkEnd w:id="703"/>
      <w:bookmarkEnd w:id="704"/>
      <w:bookmarkEnd w:id="705"/>
      <w:bookmarkEnd w:id="706"/>
      <w:bookmarkEnd w:id="707"/>
      <w:bookmarkEnd w:id="708"/>
    </w:p>
    <w:p>
      <w:pPr>
        <w:spacing w:beforeLines="100" w:afterLines="100"/>
        <w:jc w:val="center"/>
        <w:rPr>
          <w:rFonts w:ascii="宋体" w:hAnsi="宋体"/>
          <w:b/>
        </w:rPr>
      </w:pPr>
      <w:r>
        <w:rPr>
          <w:rFonts w:hint="eastAsia" w:ascii="宋体" w:hAnsi="宋体"/>
          <w:b/>
        </w:rPr>
        <w:t>问题的澄清、说明或补正</w:t>
      </w:r>
    </w:p>
    <w:p>
      <w:pPr>
        <w:spacing w:line="360" w:lineRule="auto"/>
        <w:ind w:firstLine="5985" w:firstLineChars="2850"/>
        <w:jc w:val="left"/>
        <w:rPr>
          <w:rFonts w:ascii="宋体" w:hAnsi="宋体"/>
          <w:szCs w:val="21"/>
          <w:u w:val="single"/>
        </w:rPr>
      </w:pPr>
      <w:r>
        <w:rPr>
          <w:rFonts w:hint="eastAsia" w:ascii="宋体" w:hAnsi="宋体"/>
          <w:szCs w:val="21"/>
        </w:rPr>
        <w:t>编号：</w:t>
      </w:r>
    </w:p>
    <w:p>
      <w:pPr>
        <w:spacing w:line="360" w:lineRule="auto"/>
        <w:ind w:firstLine="420"/>
        <w:rPr>
          <w:rFonts w:ascii="宋体" w:hAnsi="宋体"/>
          <w:szCs w:val="21"/>
        </w:rPr>
      </w:pPr>
      <w:r>
        <w:rPr>
          <w:rFonts w:hint="eastAsia" w:ascii="宋体" w:hAnsi="宋体"/>
          <w:szCs w:val="21"/>
        </w:rPr>
        <w:t>（项目名称）招标评标委员会：</w:t>
      </w:r>
    </w:p>
    <w:p>
      <w:pPr>
        <w:spacing w:line="360" w:lineRule="auto"/>
        <w:ind w:firstLine="420"/>
        <w:rPr>
          <w:rFonts w:ascii="宋体" w:hAnsi="宋体"/>
          <w:szCs w:val="21"/>
        </w:rPr>
      </w:pPr>
      <w:r>
        <w:rPr>
          <w:rFonts w:hint="eastAsia" w:ascii="宋体" w:hAnsi="宋体"/>
          <w:szCs w:val="21"/>
        </w:rPr>
        <w:t>问题澄清通知（编号：）已收悉，现澄清、说明或者补正如下：</w:t>
      </w:r>
    </w:p>
    <w:p>
      <w:pPr>
        <w:spacing w:line="360" w:lineRule="auto"/>
        <w:ind w:firstLine="420"/>
        <w:rPr>
          <w:rFonts w:ascii="宋体" w:hAnsi="宋体"/>
          <w:szCs w:val="21"/>
        </w:rPr>
      </w:pPr>
      <w:r>
        <w:rPr>
          <w:rFonts w:ascii="宋体" w:hAnsi="宋体"/>
          <w:szCs w:val="21"/>
        </w:rPr>
        <w:t>1.</w:t>
      </w:r>
    </w:p>
    <w:p>
      <w:pPr>
        <w:spacing w:line="360" w:lineRule="auto"/>
        <w:ind w:firstLine="420"/>
        <w:rPr>
          <w:rFonts w:ascii="宋体" w:hAnsi="宋体"/>
          <w:szCs w:val="21"/>
        </w:rPr>
      </w:pPr>
      <w:r>
        <w:rPr>
          <w:rFonts w:ascii="宋体" w:hAnsi="宋体"/>
          <w:szCs w:val="21"/>
        </w:rPr>
        <w:t>2.</w:t>
      </w:r>
    </w:p>
    <w:p>
      <w:pPr>
        <w:spacing w:line="360" w:lineRule="auto"/>
        <w:ind w:firstLine="420"/>
        <w:rPr>
          <w:rFonts w:ascii="宋体" w:hAnsi="宋体"/>
          <w:szCs w:val="21"/>
        </w:rPr>
      </w:pPr>
    </w:p>
    <w:p>
      <w:pPr>
        <w:spacing w:line="360" w:lineRule="auto"/>
        <w:ind w:firstLine="420"/>
        <w:rPr>
          <w:rFonts w:ascii="宋体" w:hAnsi="宋体"/>
          <w:szCs w:val="21"/>
        </w:rPr>
      </w:pPr>
      <w:r>
        <w:rPr>
          <w:rFonts w:ascii="宋体" w:hAnsi="宋体"/>
          <w:szCs w:val="21"/>
        </w:rPr>
        <w:t>……</w:t>
      </w:r>
    </w:p>
    <w:p>
      <w:pPr>
        <w:spacing w:line="360" w:lineRule="auto"/>
        <w:ind w:firstLine="420"/>
        <w:rPr>
          <w:rFonts w:ascii="宋体" w:hAnsi="宋体"/>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jc w:val="right"/>
        <w:rPr>
          <w:rFonts w:ascii="宋体" w:hAnsi="宋体"/>
          <w:szCs w:val="21"/>
        </w:rPr>
      </w:pPr>
      <w:r>
        <w:rPr>
          <w:rFonts w:hint="eastAsia" w:ascii="宋体" w:hAnsi="宋体"/>
          <w:szCs w:val="21"/>
        </w:rPr>
        <w:t>投标人：（盖单位章）</w:t>
      </w:r>
    </w:p>
    <w:p>
      <w:pPr>
        <w:spacing w:beforeLines="50" w:afterLines="50" w:line="360" w:lineRule="auto"/>
        <w:ind w:right="210" w:firstLine="420"/>
        <w:jc w:val="right"/>
        <w:rPr>
          <w:rFonts w:ascii="宋体" w:hAnsi="宋体"/>
          <w:szCs w:val="21"/>
        </w:rPr>
      </w:pPr>
      <w:r>
        <w:rPr>
          <w:rFonts w:hint="eastAsia" w:ascii="宋体" w:hAnsi="宋体"/>
          <w:szCs w:val="21"/>
        </w:rPr>
        <w:t>法定代表人或其委托代理人：（签字）</w:t>
      </w:r>
    </w:p>
    <w:p>
      <w:pPr>
        <w:pStyle w:val="9"/>
        <w:spacing w:line="360" w:lineRule="auto"/>
        <w:jc w:val="right"/>
      </w:pPr>
      <w:r>
        <w:rPr>
          <w:rFonts w:hint="eastAsia" w:ascii="宋体" w:hAnsi="宋体"/>
          <w:szCs w:val="21"/>
        </w:rPr>
        <w:t>年  月  日</w:t>
      </w:r>
      <w:r>
        <w:rPr>
          <w:rFonts w:hint="eastAsia" w:ascii="宋体" w:hAnsi="宋体"/>
          <w:szCs w:val="21"/>
        </w:rPr>
        <w:br w:type="page"/>
      </w:r>
    </w:p>
    <w:p>
      <w:pPr>
        <w:pStyle w:val="2"/>
      </w:pPr>
      <w:bookmarkStart w:id="709" w:name="_Toc290634345"/>
      <w:bookmarkStart w:id="710" w:name="_Toc152042361"/>
      <w:bookmarkStart w:id="711" w:name="_Toc12519"/>
      <w:bookmarkStart w:id="712" w:name="_Toc152045584"/>
      <w:bookmarkStart w:id="713" w:name="_Toc144974551"/>
      <w:bookmarkStart w:id="714" w:name="_Toc498502998"/>
      <w:bookmarkStart w:id="715" w:name="_Toc289002866"/>
      <w:bookmarkStart w:id="716" w:name="_Toc3104"/>
      <w:bookmarkStart w:id="717" w:name="_Toc5517"/>
      <w:r>
        <w:rPr>
          <w:rFonts w:hint="eastAsia"/>
        </w:rPr>
        <w:t>附表四：中标通知书</w:t>
      </w:r>
      <w:bookmarkEnd w:id="709"/>
      <w:bookmarkEnd w:id="710"/>
      <w:bookmarkEnd w:id="711"/>
      <w:bookmarkEnd w:id="712"/>
      <w:bookmarkEnd w:id="713"/>
      <w:bookmarkEnd w:id="714"/>
      <w:bookmarkEnd w:id="715"/>
      <w:bookmarkEnd w:id="716"/>
      <w:bookmarkEnd w:id="717"/>
    </w:p>
    <w:p>
      <w:pPr>
        <w:spacing w:line="400" w:lineRule="exact"/>
      </w:pPr>
    </w:p>
    <w:p>
      <w:pPr>
        <w:spacing w:line="1060" w:lineRule="exact"/>
        <w:ind w:firstLine="1440"/>
        <w:jc w:val="center"/>
        <w:rPr>
          <w:rFonts w:ascii="宋体" w:hAnsi="宋体"/>
          <w:sz w:val="72"/>
          <w:szCs w:val="72"/>
        </w:rPr>
      </w:pPr>
    </w:p>
    <w:p>
      <w:pPr>
        <w:jc w:val="center"/>
        <w:rPr>
          <w:rFonts w:ascii="方正小标宋简体" w:eastAsia="方正小标宋简体"/>
          <w:spacing w:val="60"/>
          <w:w w:val="90"/>
          <w:sz w:val="52"/>
          <w:szCs w:val="52"/>
        </w:rPr>
      </w:pPr>
      <w:r>
        <w:rPr>
          <w:rFonts w:hint="eastAsia" w:ascii="方正小标宋简体" w:eastAsia="方正小标宋简体"/>
          <w:spacing w:val="60"/>
          <w:w w:val="90"/>
          <w:sz w:val="52"/>
          <w:szCs w:val="52"/>
        </w:rPr>
        <w:t>河南省房屋建筑和市政工程项目</w:t>
      </w:r>
    </w:p>
    <w:p>
      <w:pPr>
        <w:rPr>
          <w:rFonts w:ascii="方正小标宋简体" w:eastAsia="方正小标宋简体"/>
          <w:spacing w:val="20"/>
          <w:sz w:val="72"/>
          <w:szCs w:val="72"/>
        </w:rPr>
      </w:pP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中</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标</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通</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知</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rPr>
        <w:t>书</w:t>
      </w:r>
    </w:p>
    <w:p>
      <w:pPr>
        <w:jc w:val="center"/>
        <w:rPr>
          <w:rFonts w:ascii="宋体" w:hAnsi="宋体"/>
          <w:sz w:val="28"/>
          <w:szCs w:val="28"/>
        </w:rPr>
      </w:pPr>
      <w:r>
        <w:rPr>
          <w:rFonts w:hint="eastAsia" w:ascii="方正小标宋简体" w:eastAsia="方正小标宋简体"/>
          <w:spacing w:val="20"/>
          <w:sz w:val="36"/>
          <w:szCs w:val="36"/>
        </w:rPr>
        <w:t>河南省住房和城乡建设厅制</w:t>
      </w:r>
    </w:p>
    <w:p>
      <w:pPr>
        <w:rPr>
          <w:rFonts w:ascii="宋体" w:hAnsi="宋体"/>
        </w:rPr>
      </w:pPr>
    </w:p>
    <w:p>
      <w:pPr>
        <w:spacing w:line="400" w:lineRule="exact"/>
        <w:ind w:firstLine="6008" w:firstLineChars="2850"/>
        <w:rPr>
          <w:b/>
        </w:rPr>
      </w:pPr>
      <w:r>
        <w:rPr>
          <w:b/>
        </w:rPr>
        <w:br w:type="page"/>
      </w:r>
    </w:p>
    <w:p>
      <w:pPr>
        <w:spacing w:line="360" w:lineRule="auto"/>
        <w:rPr>
          <w:rFonts w:ascii="宋体" w:hAnsi="宋体" w:cs="宋体"/>
          <w:b/>
          <w:bCs/>
          <w:spacing w:val="2"/>
          <w:szCs w:val="21"/>
          <w:u w:val="single"/>
        </w:rPr>
      </w:pPr>
      <w:r>
        <w:rPr>
          <w:rFonts w:hint="eastAsia" w:ascii="宋体" w:hAnsi="宋体" w:cs="宋体"/>
          <w:b/>
          <w:bCs/>
          <w:spacing w:val="2"/>
          <w:szCs w:val="21"/>
        </w:rPr>
        <w:t>中标人：</w:t>
      </w:r>
    </w:p>
    <w:p/>
    <w:p/>
    <w:p>
      <w:pPr>
        <w:spacing w:line="360" w:lineRule="auto"/>
        <w:ind w:firstLine="750" w:firstLineChars="300"/>
        <w:rPr>
          <w:rFonts w:ascii="宋体" w:hAnsi="宋体" w:cs="宋体"/>
          <w:spacing w:val="20"/>
          <w:szCs w:val="21"/>
          <w:u w:val="single"/>
        </w:rPr>
      </w:pPr>
      <w:r>
        <w:rPr>
          <w:rFonts w:hint="eastAsia" w:ascii="宋体" w:hAnsi="宋体" w:cs="宋体"/>
          <w:spacing w:val="20"/>
          <w:szCs w:val="21"/>
        </w:rPr>
        <w:t>根据招标文件和你公司于年月日提交的投标文件，经评标委员会按照《中华人民共和国招标投标法》和招标文件确定的评标标准和方法，已完成评审和中标公示，确定你公司中标。请收到本通知书后</w:t>
      </w:r>
      <w:r>
        <w:rPr>
          <w:rFonts w:hint="eastAsia" w:ascii="宋体" w:hAnsi="宋体" w:cs="宋体"/>
          <w:spacing w:val="20"/>
          <w:szCs w:val="21"/>
          <w:u w:val="single"/>
        </w:rPr>
        <w:t>30</w:t>
      </w:r>
      <w:r>
        <w:rPr>
          <w:rFonts w:hint="eastAsia" w:ascii="宋体" w:hAnsi="宋体" w:cs="宋体"/>
          <w:spacing w:val="20"/>
          <w:szCs w:val="21"/>
        </w:rPr>
        <w:t>天内，到我单位签订建设工程总承包</w:t>
      </w:r>
      <w:r>
        <w:rPr>
          <w:rFonts w:hint="eastAsia" w:ascii="宋体" w:hAnsi="宋体" w:cs="宋体"/>
          <w:spacing w:val="20"/>
          <w:szCs w:val="21"/>
          <w:u w:val="single"/>
        </w:rPr>
        <w:t>书面</w:t>
      </w:r>
      <w:r>
        <w:rPr>
          <w:rFonts w:hint="eastAsia" w:ascii="宋体" w:hAnsi="宋体" w:cs="宋体"/>
          <w:spacing w:val="20"/>
          <w:szCs w:val="21"/>
        </w:rPr>
        <w:t>合同。</w:t>
      </w:r>
    </w:p>
    <w:p>
      <w:pPr>
        <w:spacing w:line="360" w:lineRule="auto"/>
        <w:rPr>
          <w:rFonts w:ascii="宋体" w:hAnsi="宋体" w:cs="宋体"/>
          <w:spacing w:val="20"/>
          <w:szCs w:val="21"/>
        </w:rPr>
      </w:pPr>
    </w:p>
    <w:p>
      <w:pPr>
        <w:spacing w:line="360" w:lineRule="auto"/>
        <w:ind w:right="428" w:rightChars="204" w:firstLine="420" w:firstLineChars="200"/>
        <w:jc w:val="right"/>
        <w:rPr>
          <w:rFonts w:ascii="宋体" w:hAnsi="宋体" w:cs="宋体"/>
          <w:spacing w:val="20"/>
          <w:szCs w:val="21"/>
        </w:rPr>
      </w:pPr>
      <w:r>
        <w:rPr>
          <w:rFonts w:hint="eastAsia" w:ascii="宋体" w:hAnsi="宋体" w:cs="宋体"/>
          <w:szCs w:val="21"/>
        </w:rPr>
        <w:t>招标人：</w:t>
      </w:r>
      <w:r>
        <w:rPr>
          <w:rFonts w:hint="eastAsia" w:ascii="宋体" w:hAnsi="宋体" w:cs="宋体"/>
          <w:spacing w:val="20"/>
          <w:szCs w:val="21"/>
        </w:rPr>
        <w:t>（盖章）</w:t>
      </w:r>
    </w:p>
    <w:p>
      <w:pPr>
        <w:spacing w:line="360" w:lineRule="auto"/>
        <w:ind w:right="428" w:rightChars="204" w:firstLine="420" w:firstLineChars="200"/>
        <w:jc w:val="center"/>
        <w:rPr>
          <w:rFonts w:ascii="宋体" w:hAnsi="宋体" w:cs="宋体"/>
          <w:spacing w:val="20"/>
          <w:szCs w:val="21"/>
        </w:rPr>
      </w:pPr>
      <w:r>
        <w:rPr>
          <w:rFonts w:hint="eastAsia" w:ascii="宋体" w:hAnsi="宋体" w:cs="宋体"/>
          <w:szCs w:val="21"/>
        </w:rPr>
        <w:t xml:space="preserve"> 法定代表人：</w:t>
      </w:r>
      <w:r>
        <w:rPr>
          <w:rFonts w:hint="eastAsia" w:ascii="宋体" w:hAnsi="宋体" w:cs="宋体"/>
          <w:spacing w:val="20"/>
          <w:szCs w:val="21"/>
        </w:rPr>
        <w:t>（盖章）</w:t>
      </w:r>
    </w:p>
    <w:p>
      <w:pPr>
        <w:spacing w:line="360" w:lineRule="auto"/>
        <w:ind w:firstLine="500" w:firstLineChars="200"/>
        <w:jc w:val="right"/>
        <w:rPr>
          <w:rFonts w:ascii="宋体" w:hAnsi="宋体" w:cs="宋体"/>
          <w:spacing w:val="20"/>
          <w:szCs w:val="21"/>
        </w:rPr>
      </w:pPr>
    </w:p>
    <w:p>
      <w:pPr>
        <w:spacing w:line="360" w:lineRule="auto"/>
        <w:ind w:right="428" w:rightChars="204" w:firstLine="2000" w:firstLineChars="800"/>
        <w:jc w:val="right"/>
        <w:rPr>
          <w:rFonts w:ascii="宋体" w:hAnsi="宋体" w:cs="宋体"/>
          <w:spacing w:val="20"/>
          <w:szCs w:val="21"/>
        </w:rPr>
      </w:pPr>
      <w:r>
        <w:rPr>
          <w:rFonts w:hint="eastAsia" w:ascii="宋体" w:hAnsi="宋体" w:cs="宋体"/>
          <w:spacing w:val="20"/>
          <w:szCs w:val="21"/>
        </w:rPr>
        <w:t>年月日</w:t>
      </w:r>
    </w:p>
    <w:p/>
    <w:p/>
    <w:p/>
    <w:p/>
    <w:p/>
    <w:p/>
    <w:p/>
    <w:p/>
    <w:p/>
    <w:p/>
    <w:p/>
    <w:p/>
    <w:p/>
    <w:p/>
    <w:p/>
    <w:p/>
    <w:p/>
    <w:p/>
    <w:p/>
    <w:p>
      <w:pPr>
        <w:pStyle w:val="9"/>
      </w:pPr>
    </w:p>
    <w:p>
      <w:pPr>
        <w:pStyle w:val="9"/>
      </w:pPr>
    </w:p>
    <w:p>
      <w:pPr>
        <w:pStyle w:val="9"/>
      </w:pPr>
    </w:p>
    <w:p>
      <w:pPr>
        <w:pStyle w:val="9"/>
      </w:pPr>
    </w:p>
    <w:p>
      <w:pPr>
        <w:pStyle w:val="9"/>
      </w:pPr>
    </w:p>
    <w:p>
      <w:pPr>
        <w:jc w:val="center"/>
        <w:rPr>
          <w:rFonts w:ascii="宋体" w:hAnsi="宋体"/>
          <w:spacing w:val="20"/>
          <w:sz w:val="18"/>
          <w:szCs w:val="18"/>
        </w:rPr>
      </w:pPr>
      <w:r>
        <w:rPr>
          <w:rFonts w:hint="eastAsia" w:ascii="黑体" w:hAnsi="宋体" w:eastAsia="黑体"/>
          <w:spacing w:val="20"/>
          <w:sz w:val="48"/>
          <w:szCs w:val="48"/>
        </w:rPr>
        <w:t>中标内容及条件</w:t>
      </w:r>
    </w:p>
    <w:tbl>
      <w:tblPr>
        <w:tblStyle w:val="28"/>
        <w:tblW w:w="8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3606"/>
        <w:gridCol w:w="875"/>
        <w:gridCol w:w="488"/>
        <w:gridCol w:w="149"/>
        <w:gridCol w:w="37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spacing w:val="10"/>
                <w:sz w:val="24"/>
              </w:rPr>
            </w:pPr>
            <w:r>
              <w:rPr>
                <w:rFonts w:hint="eastAsia"/>
                <w:spacing w:val="10"/>
                <w:sz w:val="24"/>
              </w:rPr>
              <w:t>工程名称</w:t>
            </w:r>
          </w:p>
        </w:tc>
        <w:tc>
          <w:tcPr>
            <w:tcW w:w="4481" w:type="dxa"/>
            <w:gridSpan w:val="2"/>
            <w:vAlign w:val="center"/>
          </w:tcPr>
          <w:p>
            <w:pPr>
              <w:rPr>
                <w:rFonts w:ascii="宋体" w:hAnsi="宋体"/>
                <w:spacing w:val="20"/>
                <w:sz w:val="24"/>
              </w:rPr>
            </w:pPr>
          </w:p>
        </w:tc>
        <w:tc>
          <w:tcPr>
            <w:tcW w:w="1013" w:type="dxa"/>
            <w:gridSpan w:val="3"/>
            <w:vAlign w:val="center"/>
          </w:tcPr>
          <w:p>
            <w:pPr>
              <w:jc w:val="center"/>
              <w:rPr>
                <w:rFonts w:ascii="宋体" w:hAnsi="宋体"/>
                <w:spacing w:val="-10"/>
                <w:sz w:val="24"/>
              </w:rPr>
            </w:pPr>
            <w:r>
              <w:rPr>
                <w:rFonts w:hint="eastAsia" w:ascii="宋体" w:hAnsi="宋体"/>
                <w:spacing w:val="-10"/>
                <w:sz w:val="24"/>
              </w:rPr>
              <w:t>标段</w:t>
            </w:r>
          </w:p>
        </w:tc>
        <w:tc>
          <w:tcPr>
            <w:tcW w:w="1516" w:type="dxa"/>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rFonts w:ascii="宋体" w:hAnsi="宋体"/>
                <w:spacing w:val="10"/>
                <w:sz w:val="24"/>
              </w:rPr>
            </w:pPr>
            <w:r>
              <w:rPr>
                <w:rFonts w:hint="eastAsia" w:ascii="宋体" w:hAnsi="宋体"/>
                <w:spacing w:val="10"/>
                <w:sz w:val="24"/>
              </w:rPr>
              <w:t>中标内容</w:t>
            </w:r>
          </w:p>
        </w:tc>
        <w:tc>
          <w:tcPr>
            <w:tcW w:w="7010" w:type="dxa"/>
            <w:gridSpan w:val="6"/>
            <w:vAlign w:val="center"/>
          </w:tcPr>
          <w:p>
            <w:pPr>
              <w:jc w:val="left"/>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rFonts w:ascii="宋体" w:hAnsi="宋体"/>
                <w:spacing w:val="10"/>
                <w:sz w:val="24"/>
              </w:rPr>
            </w:pPr>
            <w:r>
              <w:rPr>
                <w:rFonts w:hint="eastAsia" w:ascii="宋体" w:hAnsi="宋体"/>
                <w:spacing w:val="10"/>
                <w:sz w:val="24"/>
              </w:rPr>
              <w:t>工程规模</w:t>
            </w:r>
          </w:p>
        </w:tc>
        <w:tc>
          <w:tcPr>
            <w:tcW w:w="3606" w:type="dxa"/>
            <w:vAlign w:val="center"/>
          </w:tcPr>
          <w:p>
            <w:pPr>
              <w:jc w:val="left"/>
              <w:rPr>
                <w:spacing w:val="-10"/>
                <w:sz w:val="24"/>
              </w:rPr>
            </w:pPr>
          </w:p>
        </w:tc>
        <w:tc>
          <w:tcPr>
            <w:tcW w:w="1363" w:type="dxa"/>
            <w:gridSpan w:val="2"/>
            <w:vAlign w:val="center"/>
          </w:tcPr>
          <w:p>
            <w:pPr>
              <w:jc w:val="center"/>
              <w:rPr>
                <w:rFonts w:ascii="宋体" w:hAnsi="宋体"/>
                <w:spacing w:val="-10"/>
                <w:sz w:val="24"/>
              </w:rPr>
            </w:pPr>
            <w:r>
              <w:rPr>
                <w:rFonts w:hint="eastAsia" w:ascii="宋体" w:hAnsi="宋体"/>
                <w:spacing w:val="-10"/>
                <w:sz w:val="24"/>
              </w:rPr>
              <w:t>工程特征</w:t>
            </w:r>
          </w:p>
        </w:tc>
        <w:tc>
          <w:tcPr>
            <w:tcW w:w="2041" w:type="dxa"/>
            <w:gridSpan w:val="3"/>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875" w:type="dxa"/>
            <w:vAlign w:val="center"/>
          </w:tcPr>
          <w:p>
            <w:pPr>
              <w:jc w:val="center"/>
              <w:rPr>
                <w:spacing w:val="10"/>
                <w:sz w:val="24"/>
              </w:rPr>
            </w:pPr>
            <w:r>
              <w:rPr>
                <w:rFonts w:hint="eastAsia" w:ascii="宋体" w:hAnsi="宋体"/>
                <w:spacing w:val="10"/>
                <w:sz w:val="24"/>
              </w:rPr>
              <w:t>中标工期</w:t>
            </w:r>
          </w:p>
        </w:tc>
        <w:tc>
          <w:tcPr>
            <w:tcW w:w="3606" w:type="dxa"/>
            <w:vAlign w:val="center"/>
          </w:tcPr>
          <w:p>
            <w:pPr>
              <w:jc w:val="center"/>
              <w:rPr>
                <w:rFonts w:ascii="宋体" w:hAnsi="宋体"/>
                <w:spacing w:val="20"/>
                <w:sz w:val="24"/>
              </w:rPr>
            </w:pPr>
          </w:p>
        </w:tc>
        <w:tc>
          <w:tcPr>
            <w:tcW w:w="1363" w:type="dxa"/>
            <w:gridSpan w:val="2"/>
            <w:vAlign w:val="center"/>
          </w:tcPr>
          <w:p>
            <w:pPr>
              <w:jc w:val="center"/>
              <w:rPr>
                <w:rFonts w:ascii="宋体" w:hAnsi="宋体"/>
                <w:spacing w:val="-10"/>
                <w:sz w:val="24"/>
              </w:rPr>
            </w:pPr>
            <w:r>
              <w:rPr>
                <w:rFonts w:hint="eastAsia" w:ascii="宋体" w:hAnsi="宋体"/>
                <w:spacing w:val="-10"/>
                <w:sz w:val="24"/>
              </w:rPr>
              <w:t>质量目标</w:t>
            </w:r>
          </w:p>
        </w:tc>
        <w:tc>
          <w:tcPr>
            <w:tcW w:w="2041" w:type="dxa"/>
            <w:gridSpan w:val="3"/>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pacing w:val="-10"/>
                <w:sz w:val="24"/>
              </w:rPr>
            </w:pPr>
            <w:r>
              <w:rPr>
                <w:rFonts w:hint="eastAsia"/>
                <w:spacing w:val="-10"/>
                <w:sz w:val="24"/>
              </w:rPr>
              <w:t>中标价（大写）</w:t>
            </w:r>
          </w:p>
        </w:tc>
        <w:tc>
          <w:tcPr>
            <w:tcW w:w="7010" w:type="dxa"/>
            <w:gridSpan w:val="6"/>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pacing w:val="-10"/>
                <w:sz w:val="24"/>
              </w:rPr>
            </w:pPr>
            <w:r>
              <w:rPr>
                <w:rFonts w:hint="eastAsia"/>
                <w:spacing w:val="-10"/>
                <w:sz w:val="24"/>
              </w:rPr>
              <w:t>总监理工程师</w:t>
            </w:r>
          </w:p>
        </w:tc>
        <w:tc>
          <w:tcPr>
            <w:tcW w:w="3606" w:type="dxa"/>
            <w:vAlign w:val="center"/>
          </w:tcPr>
          <w:p>
            <w:pPr>
              <w:jc w:val="center"/>
              <w:rPr>
                <w:rFonts w:ascii="宋体" w:hAnsi="宋体"/>
                <w:spacing w:val="20"/>
                <w:sz w:val="24"/>
              </w:rPr>
            </w:pPr>
          </w:p>
          <w:p>
            <w:pPr>
              <w:jc w:val="center"/>
              <w:rPr>
                <w:rFonts w:ascii="宋体" w:hAnsi="宋体"/>
                <w:spacing w:val="20"/>
                <w:sz w:val="24"/>
              </w:rPr>
            </w:pPr>
          </w:p>
        </w:tc>
        <w:tc>
          <w:tcPr>
            <w:tcW w:w="1512" w:type="dxa"/>
            <w:gridSpan w:val="3"/>
            <w:vAlign w:val="center"/>
          </w:tcPr>
          <w:p>
            <w:pPr>
              <w:jc w:val="center"/>
              <w:rPr>
                <w:rFonts w:ascii="宋体" w:hAnsi="宋体"/>
                <w:spacing w:val="-10"/>
                <w:sz w:val="24"/>
              </w:rPr>
            </w:pPr>
            <w:r>
              <w:rPr>
                <w:rFonts w:hint="eastAsia" w:ascii="宋体" w:hAnsi="宋体"/>
                <w:spacing w:val="-10"/>
                <w:sz w:val="24"/>
              </w:rPr>
              <w:t>证书编号</w:t>
            </w:r>
          </w:p>
        </w:tc>
        <w:tc>
          <w:tcPr>
            <w:tcW w:w="1892" w:type="dxa"/>
            <w:gridSpan w:val="2"/>
            <w:vAlign w:val="center"/>
          </w:tcPr>
          <w:p>
            <w:pP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5" w:type="dxa"/>
            <w:vAlign w:val="center"/>
          </w:tcPr>
          <w:p>
            <w:pPr>
              <w:jc w:val="center"/>
              <w:rPr>
                <w:sz w:val="24"/>
              </w:rPr>
            </w:pPr>
            <w:r>
              <w:rPr>
                <w:rFonts w:hint="eastAsia" w:ascii="宋体" w:hAnsi="宋体"/>
                <w:sz w:val="24"/>
              </w:rPr>
              <w:t>招标代理机构</w:t>
            </w:r>
          </w:p>
        </w:tc>
        <w:tc>
          <w:tcPr>
            <w:tcW w:w="3606" w:type="dxa"/>
            <w:vAlign w:val="center"/>
          </w:tcPr>
          <w:p>
            <w:pPr>
              <w:jc w:val="center"/>
              <w:rPr>
                <w:rFonts w:ascii="宋体" w:hAnsi="宋体"/>
                <w:spacing w:val="20"/>
                <w:sz w:val="24"/>
              </w:rPr>
            </w:pPr>
          </w:p>
        </w:tc>
        <w:tc>
          <w:tcPr>
            <w:tcW w:w="1512" w:type="dxa"/>
            <w:gridSpan w:val="3"/>
            <w:vAlign w:val="center"/>
          </w:tcPr>
          <w:p>
            <w:pPr>
              <w:jc w:val="center"/>
              <w:rPr>
                <w:rFonts w:ascii="宋体" w:hAnsi="宋体"/>
                <w:spacing w:val="20"/>
                <w:sz w:val="24"/>
              </w:rPr>
            </w:pPr>
            <w:r>
              <w:rPr>
                <w:rFonts w:hint="eastAsia" w:ascii="宋体" w:hAnsi="宋体"/>
                <w:spacing w:val="20"/>
                <w:sz w:val="24"/>
              </w:rPr>
              <w:t>招标方式</w:t>
            </w:r>
          </w:p>
        </w:tc>
        <w:tc>
          <w:tcPr>
            <w:tcW w:w="1892" w:type="dxa"/>
            <w:gridSpan w:val="2"/>
            <w:vAlign w:val="center"/>
          </w:tcPr>
          <w:p>
            <w:pPr>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875" w:type="dxa"/>
            <w:vAlign w:val="center"/>
          </w:tcPr>
          <w:p>
            <w:pPr>
              <w:jc w:val="center"/>
              <w:rPr>
                <w:rFonts w:ascii="宋体" w:hAnsi="宋体"/>
                <w:spacing w:val="20"/>
                <w:sz w:val="24"/>
              </w:rPr>
            </w:pPr>
            <w:r>
              <w:rPr>
                <w:rFonts w:hint="eastAsia" w:ascii="宋体" w:hAnsi="宋体"/>
                <w:sz w:val="28"/>
                <w:szCs w:val="28"/>
              </w:rPr>
              <w:t>中标单位</w:t>
            </w:r>
          </w:p>
        </w:tc>
        <w:tc>
          <w:tcPr>
            <w:tcW w:w="7010" w:type="dxa"/>
            <w:gridSpan w:val="6"/>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jc w:val="center"/>
        </w:trPr>
        <w:tc>
          <w:tcPr>
            <w:tcW w:w="1875" w:type="dxa"/>
            <w:vAlign w:val="center"/>
          </w:tcPr>
          <w:p>
            <w:pPr>
              <w:jc w:val="center"/>
              <w:rPr>
                <w:rFonts w:ascii="宋体" w:hAnsi="宋体"/>
                <w:spacing w:val="20"/>
                <w:sz w:val="24"/>
              </w:rPr>
            </w:pPr>
            <w:r>
              <w:rPr>
                <w:rFonts w:hint="eastAsia" w:ascii="宋体" w:hAnsi="宋体"/>
                <w:spacing w:val="20"/>
                <w:sz w:val="24"/>
              </w:rPr>
              <w:t>招  标</w:t>
            </w:r>
          </w:p>
          <w:p>
            <w:pPr>
              <w:jc w:val="center"/>
              <w:rPr>
                <w:rFonts w:ascii="宋体" w:hAnsi="宋体"/>
                <w:spacing w:val="20"/>
                <w:sz w:val="24"/>
              </w:rPr>
            </w:pPr>
            <w:r>
              <w:rPr>
                <w:rFonts w:hint="eastAsia" w:ascii="宋体" w:hAnsi="宋体"/>
                <w:spacing w:val="20"/>
                <w:sz w:val="24"/>
              </w:rPr>
              <w:t>投  标</w:t>
            </w:r>
          </w:p>
          <w:p>
            <w:pPr>
              <w:jc w:val="center"/>
              <w:rPr>
                <w:rFonts w:ascii="宋体" w:hAnsi="宋体"/>
                <w:spacing w:val="20"/>
                <w:sz w:val="24"/>
              </w:rPr>
            </w:pPr>
            <w:r>
              <w:rPr>
                <w:rFonts w:hint="eastAsia" w:ascii="宋体" w:hAnsi="宋体"/>
                <w:spacing w:val="20"/>
                <w:sz w:val="24"/>
              </w:rPr>
              <w:t>监  管</w:t>
            </w:r>
          </w:p>
          <w:p>
            <w:pPr>
              <w:jc w:val="center"/>
              <w:rPr>
                <w:rFonts w:ascii="宋体" w:hAnsi="宋体"/>
                <w:spacing w:val="20"/>
                <w:sz w:val="24"/>
              </w:rPr>
            </w:pPr>
            <w:r>
              <w:rPr>
                <w:rFonts w:hint="eastAsia" w:ascii="宋体" w:hAnsi="宋体"/>
                <w:spacing w:val="20"/>
                <w:sz w:val="24"/>
              </w:rPr>
              <w:t>部  门</w:t>
            </w:r>
          </w:p>
          <w:p>
            <w:pPr>
              <w:jc w:val="center"/>
              <w:rPr>
                <w:rFonts w:ascii="宋体" w:hAnsi="宋体"/>
                <w:spacing w:val="20"/>
                <w:sz w:val="24"/>
              </w:rPr>
            </w:pPr>
            <w:r>
              <w:rPr>
                <w:rFonts w:hint="eastAsia" w:ascii="宋体" w:hAnsi="宋体"/>
                <w:spacing w:val="20"/>
                <w:sz w:val="24"/>
              </w:rPr>
              <w:t>意  见</w:t>
            </w:r>
          </w:p>
        </w:tc>
        <w:tc>
          <w:tcPr>
            <w:tcW w:w="7010" w:type="dxa"/>
            <w:gridSpan w:val="6"/>
          </w:tcPr>
          <w:p>
            <w:pPr>
              <w:ind w:firstLine="480" w:firstLineChars="200"/>
              <w:rPr>
                <w:rFonts w:ascii="宋体" w:hAnsi="宋体"/>
                <w:sz w:val="24"/>
              </w:rPr>
            </w:pPr>
            <w:r>
              <w:rPr>
                <w:rFonts w:hint="eastAsia" w:ascii="宋体" w:hAnsi="宋体"/>
                <w:sz w:val="24"/>
              </w:rPr>
              <w:t>经审查，该项招标活动符合法定的招标方式和程序，予以备案。</w:t>
            </w:r>
          </w:p>
          <w:p>
            <w:pPr>
              <w:ind w:firstLine="560" w:firstLineChars="200"/>
              <w:rPr>
                <w:rFonts w:ascii="宋体" w:hAnsi="宋体"/>
                <w:spacing w:val="20"/>
                <w:sz w:val="24"/>
              </w:rPr>
            </w:pPr>
          </w:p>
          <w:p>
            <w:pPr>
              <w:rPr>
                <w:rFonts w:ascii="宋体" w:hAnsi="宋体"/>
                <w:spacing w:val="20"/>
                <w:sz w:val="24"/>
              </w:rPr>
            </w:pPr>
            <w:r>
              <w:rPr>
                <w:rFonts w:hint="eastAsia" w:ascii="宋体" w:hAnsi="宋体"/>
                <w:spacing w:val="20"/>
                <w:sz w:val="24"/>
              </w:rPr>
              <w:t>监管单位：         （盖章）</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经 办 人：         （签字）   </w:t>
            </w:r>
          </w:p>
          <w:p>
            <w:pPr>
              <w:ind w:firstLine="3500" w:firstLineChars="1250"/>
              <w:rPr>
                <w:rFonts w:ascii="宋体" w:hAnsi="宋体"/>
                <w:spacing w:val="20"/>
                <w:sz w:val="24"/>
              </w:rPr>
            </w:pPr>
            <w:r>
              <w:rPr>
                <w:rFonts w:hint="eastAsia" w:ascii="宋体" w:hAnsi="宋体"/>
                <w:spacing w:val="20"/>
                <w:sz w:val="24"/>
              </w:rPr>
              <w:t>年    月    日</w:t>
            </w:r>
          </w:p>
        </w:tc>
      </w:tr>
    </w:tbl>
    <w:p>
      <w:pPr>
        <w:pStyle w:val="9"/>
      </w:pPr>
    </w:p>
    <w:p>
      <w:pPr>
        <w:pStyle w:val="9"/>
      </w:pPr>
    </w:p>
    <w:p>
      <w:pPr>
        <w:pStyle w:val="9"/>
      </w:pPr>
    </w:p>
    <w:p>
      <w:pPr>
        <w:pStyle w:val="9"/>
      </w:pPr>
    </w:p>
    <w:p>
      <w:pPr>
        <w:pStyle w:val="9"/>
      </w:pPr>
    </w:p>
    <w:p>
      <w:pPr>
        <w:pStyle w:val="9"/>
      </w:pPr>
    </w:p>
    <w:p>
      <w:pPr>
        <w:pStyle w:val="3"/>
        <w:numPr>
          <w:ilvl w:val="0"/>
          <w:numId w:val="1"/>
        </w:numPr>
      </w:pPr>
      <w:bookmarkStart w:id="718" w:name="_Toc498503003"/>
      <w:bookmarkStart w:id="719" w:name="_Toc17923"/>
      <w:bookmarkStart w:id="720" w:name="_Toc30292"/>
      <w:bookmarkStart w:id="721" w:name="_Toc308075820"/>
      <w:bookmarkStart w:id="722" w:name="_Toc309138730"/>
      <w:r>
        <w:t>评标办法（综合评估法）</w:t>
      </w:r>
      <w:bookmarkEnd w:id="718"/>
      <w:bookmarkEnd w:id="719"/>
      <w:bookmarkEnd w:id="720"/>
      <w:bookmarkEnd w:id="721"/>
    </w:p>
    <w:p>
      <w:pPr>
        <w:pStyle w:val="2"/>
        <w:jc w:val="center"/>
      </w:pPr>
      <w:bookmarkStart w:id="723" w:name="_Toc1577"/>
      <w:r>
        <w:rPr>
          <w:rFonts w:hint="eastAsia"/>
        </w:rPr>
        <w:t>评标办法前附表</w:t>
      </w:r>
      <w:bookmarkEnd w:id="723"/>
    </w:p>
    <w:tbl>
      <w:tblPr>
        <w:tblStyle w:val="28"/>
        <w:tblpPr w:leftFromText="180" w:rightFromText="180" w:vertAnchor="text" w:horzAnchor="margin" w:tblpX="-318" w:tblpY="682"/>
        <w:tblOverlap w:val="never"/>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426"/>
        <w:gridCol w:w="458"/>
        <w:gridCol w:w="709"/>
        <w:gridCol w:w="850"/>
        <w:gridCol w:w="671"/>
        <w:gridCol w:w="321"/>
        <w:gridCol w:w="3479"/>
        <w:gridCol w:w="1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551" w:type="dxa"/>
            <w:gridSpan w:val="4"/>
            <w:tcBorders>
              <w:top w:val="single" w:color="auto" w:sz="6" w:space="0"/>
              <w:left w:val="single" w:color="auto" w:sz="6"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245" w:type="dxa"/>
            <w:gridSpan w:val="2"/>
            <w:tcBorders>
              <w:top w:val="single" w:color="auto" w:sz="6" w:space="0"/>
              <w:left w:val="single" w:color="auto" w:sz="6" w:space="0"/>
              <w:bottom w:val="single" w:color="auto" w:sz="6" w:space="0"/>
              <w:right w:val="single" w:color="auto" w:sz="12"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84" w:type="dxa"/>
            <w:gridSpan w:val="2"/>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投标文件签字盖章</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642" w:type="dxa"/>
            <w:vMerge w:val="continue"/>
          </w:tcPr>
          <w:p>
            <w:pPr>
              <w:spacing w:line="312" w:lineRule="auto"/>
              <w:ind w:firstLine="420"/>
              <w:rPr>
                <w:rFonts w:asciiTheme="minorEastAsia" w:hAnsiTheme="minorEastAsia" w:eastAsiaTheme="minorEastAsia"/>
                <w:szCs w:val="21"/>
              </w:rPr>
            </w:pPr>
          </w:p>
        </w:tc>
        <w:tc>
          <w:tcPr>
            <w:tcW w:w="884" w:type="dxa"/>
            <w:gridSpan w:val="2"/>
            <w:vMerge w:val="continue"/>
          </w:tcPr>
          <w:p>
            <w:pPr>
              <w:spacing w:line="312" w:lineRule="auto"/>
              <w:ind w:firstLine="420"/>
              <w:rPr>
                <w:rFonts w:asciiTheme="minorEastAsia" w:hAnsiTheme="minorEastAsia" w:eastAsiaTheme="minorEastAsia"/>
                <w:szCs w:val="21"/>
              </w:rPr>
            </w:pP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245" w:type="dxa"/>
            <w:gridSpan w:val="2"/>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84"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营业执照</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总监理工程师</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单位负责人为同一人或者存在控股、管理关系的</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信用要求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ind w:firstLine="420"/>
              <w:rPr>
                <w:rFonts w:asciiTheme="minorEastAsia" w:hAnsiTheme="minorEastAsia" w:eastAsiaTheme="minorEastAsia"/>
                <w:szCs w:val="21"/>
              </w:rPr>
            </w:pPr>
          </w:p>
        </w:tc>
        <w:tc>
          <w:tcPr>
            <w:tcW w:w="884" w:type="dxa"/>
            <w:gridSpan w:val="2"/>
            <w:vMerge w:val="continue"/>
            <w:vAlign w:val="center"/>
          </w:tcPr>
          <w:p>
            <w:pPr>
              <w:spacing w:line="312" w:lineRule="auto"/>
              <w:ind w:firstLine="420"/>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财务</w:t>
            </w:r>
            <w:r>
              <w:rPr>
                <w:rFonts w:hint="eastAsia" w:asciiTheme="minorEastAsia" w:hAnsiTheme="minorEastAsia" w:eastAsiaTheme="minorEastAsia"/>
                <w:szCs w:val="21"/>
              </w:rPr>
              <w:t>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9322" w:type="dxa"/>
            <w:gridSpan w:val="9"/>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b/>
                <w:bCs/>
                <w:szCs w:val="21"/>
              </w:rPr>
              <w:t>提供相关原件进行资格审查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642"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2.1.3</w:t>
            </w:r>
          </w:p>
        </w:tc>
        <w:tc>
          <w:tcPr>
            <w:tcW w:w="884"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551" w:type="dxa"/>
            <w:gridSpan w:val="4"/>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投标内容</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1</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监理服务期限</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2</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质量要求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3</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投标有效期</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投标保证金</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第3.4.</w:t>
            </w:r>
            <w:r>
              <w:rPr>
                <w:rFonts w:hint="eastAsia" w:asciiTheme="minorEastAsia" w:hAnsiTheme="minorEastAsia" w:eastAsiaTheme="minorEastAsia"/>
                <w:szCs w:val="21"/>
              </w:rPr>
              <w:t>1</w:t>
            </w:r>
            <w:r>
              <w:rPr>
                <w:rFonts w:asciiTheme="minorEastAsia" w:hAnsiTheme="minorEastAsia" w:eastAsiaTheme="minorEastAsia"/>
                <w:szCs w:val="21"/>
              </w:rPr>
              <w:t>项</w:t>
            </w:r>
            <w:r>
              <w:rPr>
                <w:rFonts w:hint="eastAsia" w:asciiTheme="minorEastAsia" w:hAnsiTheme="minorEastAsia" w:eastAsiaTheme="minorEastAsia"/>
                <w:szCs w:val="21"/>
              </w:rPr>
              <w:t>中投标保证金金额、投标保证金形式</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权利义务</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投标函附录中的相关承诺符合第四章</w:t>
            </w:r>
            <w:r>
              <w:rPr>
                <w:rFonts w:hint="eastAsia" w:asciiTheme="minorEastAsia" w:hAnsiTheme="minorEastAsia" w:eastAsiaTheme="minorEastAsia"/>
                <w:szCs w:val="21"/>
              </w:rPr>
              <w:t>“</w:t>
            </w:r>
            <w:r>
              <w:rPr>
                <w:rFonts w:asciiTheme="minorEastAsia" w:hAnsiTheme="minorEastAsia" w:eastAsiaTheme="minorEastAsia"/>
                <w:szCs w:val="21"/>
              </w:rPr>
              <w:t>合同条款及格式</w:t>
            </w:r>
            <w:r>
              <w:rPr>
                <w:rFonts w:hint="eastAsia" w:asciiTheme="minorEastAsia" w:hAnsiTheme="minorEastAsia" w:eastAsiaTheme="minorEastAsia"/>
                <w:szCs w:val="21"/>
              </w:rPr>
              <w:t>”</w:t>
            </w:r>
            <w:r>
              <w:rPr>
                <w:rFonts w:asciiTheme="minorEastAsia" w:hAnsiTheme="minorEastAsia" w:eastAsiaTheme="minorEastAsia"/>
                <w:szCs w:val="21"/>
              </w:rPr>
              <w:t>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技术标准与要求</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符合第五章</w:t>
            </w:r>
            <w:r>
              <w:rPr>
                <w:rFonts w:hint="eastAsia" w:asciiTheme="minorEastAsia" w:hAnsiTheme="minorEastAsia" w:eastAsiaTheme="minorEastAsia"/>
                <w:szCs w:val="21"/>
              </w:rPr>
              <w:t>“监理服务内容、</w:t>
            </w:r>
            <w:r>
              <w:rPr>
                <w:rFonts w:asciiTheme="minorEastAsia" w:hAnsiTheme="minorEastAsia" w:eastAsiaTheme="minorEastAsia"/>
                <w:szCs w:val="21"/>
              </w:rPr>
              <w:t>技术标准与要求</w:t>
            </w:r>
            <w:r>
              <w:rPr>
                <w:rFonts w:hint="eastAsia" w:asciiTheme="minorEastAsia" w:hAnsiTheme="minorEastAsia" w:eastAsiaTheme="minorEastAsia"/>
                <w:szCs w:val="21"/>
              </w:rPr>
              <w:t>”</w:t>
            </w:r>
            <w:r>
              <w:rPr>
                <w:rFonts w:asciiTheme="minorEastAsia" w:hAnsiTheme="minorEastAsia" w:eastAsiaTheme="minorEastAsia"/>
                <w:szCs w:val="21"/>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642" w:type="dxa"/>
            <w:vMerge w:val="continue"/>
            <w:vAlign w:val="center"/>
          </w:tcPr>
          <w:p>
            <w:pPr>
              <w:spacing w:line="312" w:lineRule="auto"/>
              <w:rPr>
                <w:rFonts w:asciiTheme="minorEastAsia" w:hAnsiTheme="minorEastAsia" w:eastAsiaTheme="minorEastAsia"/>
                <w:szCs w:val="21"/>
              </w:rPr>
            </w:pPr>
          </w:p>
        </w:tc>
        <w:tc>
          <w:tcPr>
            <w:tcW w:w="884" w:type="dxa"/>
            <w:gridSpan w:val="2"/>
            <w:vMerge w:val="continue"/>
            <w:vAlign w:val="center"/>
          </w:tcPr>
          <w:p>
            <w:pPr>
              <w:spacing w:line="312" w:lineRule="auto"/>
              <w:rPr>
                <w:rFonts w:asciiTheme="minorEastAsia" w:hAnsiTheme="minorEastAsia" w:eastAsiaTheme="minorEastAsia"/>
                <w:szCs w:val="21"/>
              </w:rPr>
            </w:pPr>
          </w:p>
        </w:tc>
        <w:tc>
          <w:tcPr>
            <w:tcW w:w="2551" w:type="dxa"/>
            <w:gridSpan w:val="4"/>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245" w:type="dxa"/>
            <w:gridSpan w:val="2"/>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低于（含等于）</w:t>
            </w:r>
            <w:r>
              <w:rPr>
                <w:rFonts w:hint="eastAsia" w:asciiTheme="minorEastAsia" w:hAnsiTheme="minorEastAsia" w:eastAsiaTheme="minorEastAsia"/>
                <w:szCs w:val="21"/>
              </w:rPr>
              <w:t>本项目</w:t>
            </w:r>
            <w:r>
              <w:rPr>
                <w:rFonts w:asciiTheme="minorEastAsia" w:hAnsiTheme="minorEastAsia" w:eastAsiaTheme="minorEastAsia"/>
                <w:szCs w:val="21"/>
              </w:rPr>
              <w:t>的招标控制价</w:t>
            </w:r>
            <w:r>
              <w:rPr>
                <w:rFonts w:hint="eastAsia" w:asciiTheme="minorEastAsia" w:hAnsiTheme="minorEastAsia" w:eastAsiaTheme="minorEastAsia"/>
                <w:szCs w:val="21"/>
              </w:rPr>
              <w:t>，</w:t>
            </w:r>
            <w:r>
              <w:rPr>
                <w:rFonts w:asciiTheme="minorEastAsia" w:hAnsiTheme="minorEastAsia" w:eastAsiaTheme="minorEastAsia"/>
                <w:bCs/>
                <w:szCs w:val="21"/>
              </w:rPr>
              <w:t>经评标委员会认定不低于成本竞价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526" w:type="dxa"/>
            <w:gridSpan w:val="3"/>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551" w:type="dxa"/>
            <w:gridSpan w:val="4"/>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245" w:type="dxa"/>
            <w:gridSpan w:val="2"/>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26" w:type="dxa"/>
            <w:gridSpan w:val="3"/>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551" w:type="dxa"/>
            <w:gridSpan w:val="4"/>
            <w:vAlign w:val="center"/>
          </w:tcPr>
          <w:p>
            <w:pPr>
              <w:spacing w:line="312" w:lineRule="auto"/>
              <w:rPr>
                <w:rFonts w:asciiTheme="minorEastAsia" w:hAnsiTheme="minorEastAsia" w:eastAsiaTheme="minorEastAsia"/>
                <w:szCs w:val="21"/>
              </w:rPr>
            </w:pPr>
            <w:r>
              <w:rPr>
                <w:rFonts w:asciiTheme="minorEastAsia" w:hAnsiTheme="minorEastAsia" w:eastAsiaTheme="minorEastAsia"/>
                <w:szCs w:val="21"/>
              </w:rPr>
              <w:t>分值构成（总分100分）</w:t>
            </w:r>
          </w:p>
        </w:tc>
        <w:tc>
          <w:tcPr>
            <w:tcW w:w="5245" w:type="dxa"/>
            <w:gridSpan w:val="2"/>
            <w:vAlign w:val="center"/>
          </w:tcPr>
          <w:p>
            <w:pPr>
              <w:spacing w:line="312" w:lineRule="auto"/>
              <w:rPr>
                <w:rFonts w:asciiTheme="minorEastAsia" w:hAnsiTheme="minorEastAsia" w:eastAsiaTheme="minorEastAsia"/>
                <w:szCs w:val="21"/>
              </w:rPr>
            </w:pPr>
            <w:r>
              <w:rPr>
                <w:rFonts w:asciiTheme="minorEastAsia" w:hAnsiTheme="minorEastAsia" w:eastAsiaTheme="minorEastAsia"/>
                <w:szCs w:val="21"/>
              </w:rPr>
              <w:t>监理大纲：</w:t>
            </w:r>
            <w:r>
              <w:rPr>
                <w:rFonts w:hint="eastAsia" w:asciiTheme="minorEastAsia" w:hAnsiTheme="minorEastAsia" w:eastAsiaTheme="minorEastAsia"/>
                <w:szCs w:val="21"/>
              </w:rPr>
              <w:t>2</w:t>
            </w:r>
            <w:r>
              <w:rPr>
                <w:rFonts w:asciiTheme="minorEastAsia" w:hAnsiTheme="minorEastAsia" w:eastAsiaTheme="minorEastAsia"/>
                <w:szCs w:val="21"/>
              </w:rPr>
              <w:t>0分</w:t>
            </w:r>
          </w:p>
          <w:p>
            <w:pPr>
              <w:spacing w:line="312" w:lineRule="auto"/>
              <w:rPr>
                <w:rFonts w:asciiTheme="minorEastAsia" w:hAnsiTheme="minorEastAsia" w:eastAsiaTheme="minorEastAsia"/>
                <w:szCs w:val="21"/>
              </w:rPr>
            </w:pPr>
            <w:r>
              <w:rPr>
                <w:rFonts w:asciiTheme="minorEastAsia" w:hAnsiTheme="minorEastAsia" w:eastAsiaTheme="minorEastAsia"/>
                <w:szCs w:val="21"/>
              </w:rPr>
              <w:t>商务</w:t>
            </w:r>
            <w:r>
              <w:rPr>
                <w:rFonts w:hint="eastAsia" w:asciiTheme="minorEastAsia" w:hAnsiTheme="minorEastAsia" w:eastAsiaTheme="minorEastAsia"/>
                <w:szCs w:val="21"/>
              </w:rPr>
              <w:t>部分</w:t>
            </w: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0分</w:t>
            </w:r>
          </w:p>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投标报价：30分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asciiTheme="minorEastAsia" w:hAnsiTheme="minorEastAsia" w:eastAsiaTheme="minorEastAsia"/>
                <w:b/>
                <w:szCs w:val="21"/>
              </w:rPr>
            </w:pPr>
            <w:r>
              <w:rPr>
                <w:rFonts w:hint="eastAsia" w:asciiTheme="minorEastAsia" w:hAnsiTheme="minorEastAsia" w:eastAsiaTheme="minorEastAsia"/>
                <w:b/>
                <w:bCs/>
                <w:szCs w:val="21"/>
              </w:rPr>
              <w:t>监理大纲评分表（满分20分，打分保留1位小数）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850" w:type="dxa"/>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标准分</w:t>
            </w:r>
          </w:p>
        </w:tc>
        <w:tc>
          <w:tcPr>
            <w:tcW w:w="4471" w:type="dxa"/>
            <w:gridSpan w:val="3"/>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评分标准</w:t>
            </w:r>
          </w:p>
        </w:tc>
        <w:tc>
          <w:tcPr>
            <w:tcW w:w="1766" w:type="dxa"/>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分值</w:t>
            </w:r>
            <w:r>
              <w:rPr>
                <w:rFonts w:hint="eastAsia" w:asciiTheme="minorEastAsia" w:hAnsiTheme="minorEastAsia" w:eastAsiaTheme="minorEastAsia"/>
                <w:b/>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机构设置与岗位职责</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机构设置科学、合理，岗位职责切实可行</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r>
              <w:rPr>
                <w:rFonts w:asciiTheme="minorEastAsia" w:hAnsiTheme="minorEastAsia" w:eastAsiaTheme="minorEastAsia"/>
                <w:szCs w:val="21"/>
              </w:rPr>
              <w:t>m</w:t>
            </w:r>
            <w:r>
              <w:rPr>
                <w:rFonts w:hint="eastAsia" w:asciiTheme="minorEastAsia" w:hAnsiTheme="minorEastAsia" w:eastAsiaTheme="minorEastAsia"/>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机构设置较好，岗位职责较符合实际</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m&lt;</w:t>
            </w:r>
            <w:r>
              <w:rPr>
                <w:rFonts w:hint="eastAsia" w:asciiTheme="minorEastAsia" w:hAnsiTheme="minorEastAsia" w:eastAsiaTheme="minorEastAsia"/>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机构设置不合理，岗位职责一般符合实际</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r>
              <w:rPr>
                <w:rFonts w:asciiTheme="minorEastAsia" w:hAnsiTheme="minorEastAsia" w:eastAsiaTheme="minorEastAsia"/>
                <w:szCs w:val="21"/>
              </w:rPr>
              <w:t>m&lt;</w:t>
            </w:r>
            <w:r>
              <w:rPr>
                <w:rFonts w:hint="eastAsia" w:asciiTheme="minorEastAsia" w:hAnsiTheme="minorEastAsia" w:eastAsia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质量控制的措施和方法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对质量的控制方法科学、合理，具有先进性，措施有力，有针对性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措施不力、方法一般合理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工期控制的措施和方法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对工期的控制方法科学、合理，具有先进性，措施有力，有针对性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费用控制的措施和方法</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对费用的控制方法科学、合理，具有先进性，措施有力，有针对性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合同、信息管理</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对合同、信息管理的控制方法科学、合理，措施有力，有针对性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协调配合</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协调配合的方法合理，得当，有力，有针对性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安全监理</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对安全监理的控制方法科学、合理，得当，措施有力，有针对性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r>
              <w:rPr>
                <w:rFonts w:asciiTheme="minorEastAsia" w:hAnsiTheme="minorEastAsia" w:eastAsiaTheme="minorEastAsia"/>
                <w:szCs w:val="21"/>
              </w:rPr>
              <w:t>m</w:t>
            </w:r>
            <w:r>
              <w:rPr>
                <w:rFonts w:hint="eastAsia" w:asciiTheme="minorEastAsia" w:hAnsiTheme="minorEastAsia"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方法可行、措施较好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m&lt;</w:t>
            </w:r>
            <w:r>
              <w:rPr>
                <w:rFonts w:hint="eastAsia" w:asciiTheme="minorEastAsia" w:hAnsiTheme="minorEastAsia"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措施、方法一般合理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m&lt;</w:t>
            </w:r>
            <w:r>
              <w:rPr>
                <w:rFonts w:hint="eastAsia" w:asciiTheme="minorEastAsia" w:hAnsiTheme="minorEastAsia"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环境监理（须包含大气污染防治、扬尘治理及建筑垃圾处理监理方案）</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环境监理的方案科学、合理，达到环保要求，有针对性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本工程监理工作的重点与难点分析</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重点与难点分析的科学、合理，能够针对本项目特点进行重点与难点分析</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r>
              <w:rPr>
                <w:rFonts w:asciiTheme="minorEastAsia" w:hAnsiTheme="minorEastAsia" w:eastAsiaTheme="minorEastAsia"/>
                <w:szCs w:val="21"/>
              </w:rPr>
              <w:t>m</w:t>
            </w:r>
            <w:r>
              <w:rPr>
                <w:rFonts w:hint="eastAsia" w:asciiTheme="minorEastAsia" w:hAnsiTheme="minorEastAsia" w:eastAsiaTheme="minorEastAsia"/>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分析较可行、较好</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m&lt;</w:t>
            </w:r>
            <w:r>
              <w:rPr>
                <w:rFonts w:hint="eastAsia" w:asciiTheme="minorEastAsia" w:hAnsiTheme="minorEastAsia" w:eastAsiaTheme="minorEastAsia"/>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结合工程实际情况，</w:t>
            </w:r>
            <w:r>
              <w:rPr>
                <w:rFonts w:hint="eastAsia" w:asciiTheme="minorEastAsia" w:hAnsiTheme="minorEastAsia" w:eastAsiaTheme="minorEastAsia"/>
                <w:szCs w:val="21"/>
              </w:rPr>
              <w:t>重点与难点分析一般到位，针对性一般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r>
              <w:rPr>
                <w:rFonts w:asciiTheme="minorEastAsia" w:hAnsiTheme="minorEastAsia" w:eastAsiaTheme="minorEastAsia"/>
                <w:szCs w:val="21"/>
              </w:rPr>
              <w:t>m&lt;</w:t>
            </w:r>
            <w:r>
              <w:rPr>
                <w:rFonts w:hint="eastAsia" w:asciiTheme="minorEastAsia" w:hAnsiTheme="minorEastAsia" w:eastAsia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其他建议</w:t>
            </w:r>
          </w:p>
        </w:tc>
        <w:tc>
          <w:tcPr>
            <w:tcW w:w="850"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所提建议科学、合理，有针对性</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0.8≤</w:t>
            </w:r>
            <w:r>
              <w:rPr>
                <w:rFonts w:asciiTheme="minorEastAsia" w:hAnsiTheme="minorEastAsia" w:eastAsiaTheme="minorEastAsia"/>
                <w:szCs w:val="21"/>
              </w:rPr>
              <w:t>m</w:t>
            </w:r>
            <w:r>
              <w:rPr>
                <w:rFonts w:hint="eastAsia" w:asciiTheme="minorEastAsia" w:hAnsiTheme="minorEastAsia" w:eastAsia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 w:hRule="atLeast"/>
        </w:trPr>
        <w:tc>
          <w:tcPr>
            <w:tcW w:w="2235" w:type="dxa"/>
            <w:gridSpan w:val="4"/>
            <w:vMerge w:val="continue"/>
            <w:vAlign w:val="center"/>
          </w:tcPr>
          <w:p>
            <w:pPr>
              <w:spacing w:line="312" w:lineRule="auto"/>
              <w:jc w:val="center"/>
              <w:rPr>
                <w:rFonts w:asciiTheme="minorEastAsia" w:hAnsiTheme="minorEastAsia" w:eastAsiaTheme="minorEastAsia"/>
                <w:szCs w:val="21"/>
              </w:rPr>
            </w:pPr>
          </w:p>
        </w:tc>
        <w:tc>
          <w:tcPr>
            <w:tcW w:w="850" w:type="dxa"/>
            <w:vMerge w:val="continue"/>
            <w:vAlign w:val="center"/>
          </w:tcPr>
          <w:p>
            <w:pPr>
              <w:spacing w:line="312" w:lineRule="auto"/>
              <w:jc w:val="center"/>
              <w:rPr>
                <w:rFonts w:asciiTheme="minorEastAsia" w:hAnsiTheme="minorEastAsia" w:eastAsiaTheme="minorEastAsia"/>
                <w:szCs w:val="21"/>
              </w:rPr>
            </w:pPr>
          </w:p>
        </w:tc>
        <w:tc>
          <w:tcPr>
            <w:tcW w:w="4471" w:type="dxa"/>
            <w:gridSpan w:val="3"/>
            <w:vAlign w:val="center"/>
          </w:tcPr>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方法可行、一般</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r>
              <w:rPr>
                <w:rFonts w:asciiTheme="minorEastAsia" w:hAnsiTheme="minorEastAsia" w:eastAsiaTheme="minorEastAsia"/>
                <w:szCs w:val="21"/>
              </w:rPr>
              <w:t>m&lt;</w:t>
            </w:r>
            <w:r>
              <w:rPr>
                <w:rFonts w:hint="eastAsia" w:asciiTheme="minorEastAsia" w:hAnsiTheme="minorEastAsia" w:eastAsiaTheme="minorEastAsia"/>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b/>
                <w:szCs w:val="21"/>
              </w:rPr>
              <w:t>商务部分评分表（满分50分）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企业业绩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自 2012 年 01月 01 日至投标截止时间内（以合同签订时间为准）投标人具有一个类似项目合同金额在1000万元（或项目总投资金额在10亿元）人民币及以上的得3分，每多一项类似项目合同金额在1000万元（或项目总投资金额在10亿元）人民币及以上的加2分，最多得15分。</w:t>
            </w:r>
          </w:p>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投标文件中附复印件，评标时现场核验中标通知书或合同协议书或工程接收证书（或工程竣工验收证书或业主开具的证明文件）原件，无原件或者投标文件中复印件与原件不一致的均不得分。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m</w:t>
            </w:r>
            <w:r>
              <w:rPr>
                <w:rFonts w:hint="eastAsia" w:asciiTheme="minorEastAsia" w:hAnsiTheme="minorEastAsia" w:eastAsiaTheme="minorEastAsia"/>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6" w:hRule="atLeast"/>
        </w:trPr>
        <w:tc>
          <w:tcPr>
            <w:tcW w:w="2235" w:type="dxa"/>
            <w:gridSpan w:val="4"/>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总监理工程师业绩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符合招标文件附表《拟投入监理人员配置一览表》的要求；</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自 2007年 01月 01 日至投标截止时间内（以合同签订时间为准）</w:t>
            </w:r>
            <w:r>
              <w:rPr>
                <w:rFonts w:hint="eastAsia" w:asciiTheme="minorEastAsia" w:hAnsiTheme="minorEastAsia" w:eastAsiaTheme="minorEastAsia"/>
                <w:sz w:val="21"/>
                <w:szCs w:val="21"/>
              </w:rPr>
              <w:t>总监理工程师具有一个类似项目合</w:t>
            </w:r>
            <w:r>
              <w:rPr>
                <w:rFonts w:hint="eastAsia" w:asciiTheme="minorEastAsia" w:hAnsiTheme="minorEastAsia" w:eastAsiaTheme="minorEastAsia"/>
                <w:color w:val="auto"/>
                <w:sz w:val="21"/>
                <w:szCs w:val="21"/>
              </w:rPr>
              <w:t>同金额在500万元（或项目总投资金额在5亿元）人民币及以上的得4分，每多一项类似项目合同金额在500万元（或项目总投资金额在5亿元）人民</w:t>
            </w:r>
            <w:r>
              <w:rPr>
                <w:rFonts w:hint="eastAsia" w:asciiTheme="minorEastAsia" w:hAnsiTheme="minorEastAsia" w:eastAsiaTheme="minorEastAsia"/>
                <w:sz w:val="21"/>
                <w:szCs w:val="21"/>
              </w:rPr>
              <w:t>币及以上的加3分，最多得10分。</w:t>
            </w:r>
          </w:p>
          <w:p>
            <w:pPr>
              <w:pStyle w:val="31"/>
              <w:spacing w:line="312" w:lineRule="auto"/>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投标文件中附复印件，评标时现场核</w:t>
            </w:r>
            <w:r>
              <w:rPr>
                <w:rFonts w:hint="eastAsia" w:asciiTheme="minorEastAsia" w:hAnsiTheme="minorEastAsia" w:eastAsiaTheme="minorEastAsia"/>
                <w:b/>
                <w:bCs/>
                <w:color w:val="auto"/>
                <w:sz w:val="21"/>
                <w:szCs w:val="21"/>
              </w:rPr>
              <w:t>验中标通知书、合同协议书及工程接收证书（或工程竣工验收证书或业主开具的证明文件），缺少其中任何一项证明材料的，均视为无效业绩；</w:t>
            </w:r>
            <w:r>
              <w:rPr>
                <w:rFonts w:hint="eastAsia" w:asciiTheme="minorEastAsia" w:hAnsiTheme="minorEastAsia" w:eastAsiaTheme="minorEastAsia"/>
                <w:b/>
                <w:bCs/>
                <w:sz w:val="21"/>
                <w:szCs w:val="21"/>
              </w:rPr>
              <w:t>且须至少有一项能体现其姓名及所担任的职务等信息（若以上多项证明材料体现的姓名及所担任的职务等信息不一致的，还须出具业主或行政监管部门开具的证明材料）原件，无原件或者投标文件中复印件与原件不一致的均不得分。</w:t>
            </w:r>
          </w:p>
          <w:p>
            <w:pPr>
              <w:pStyle w:val="31"/>
              <w:spacing w:line="312" w:lineRule="auto"/>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企业与项目总监理工程师业绩可重复计分。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m</w:t>
            </w:r>
            <w:r>
              <w:rPr>
                <w:rFonts w:hint="eastAsia" w:asciiTheme="minorEastAsia" w:hAnsiTheme="minorEastAsia" w:eastAsiaTheme="minorEastAsia"/>
                <w:szCs w:val="21"/>
              </w:rPr>
              <w:t>≤10或m=0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总监理工程师代表业绩</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符合招标文件附表《拟投入监理人员配置一览表》的要求；</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自 2007 年 01月 01 日至投标截止时间内（以合同签订时间为准）</w:t>
            </w:r>
            <w:r>
              <w:rPr>
                <w:rFonts w:asciiTheme="minorEastAsia" w:hAnsiTheme="minorEastAsia" w:eastAsiaTheme="minorEastAsia"/>
                <w:sz w:val="21"/>
                <w:szCs w:val="21"/>
              </w:rPr>
              <w:t>总监理工程师代表</w:t>
            </w:r>
            <w:r>
              <w:rPr>
                <w:rFonts w:hint="eastAsia" w:asciiTheme="minorEastAsia" w:hAnsiTheme="minorEastAsia" w:eastAsiaTheme="minorEastAsia"/>
                <w:sz w:val="21"/>
                <w:szCs w:val="21"/>
              </w:rPr>
              <w:t>具有一个类似项目</w:t>
            </w:r>
            <w:r>
              <w:rPr>
                <w:rFonts w:hint="eastAsia" w:asciiTheme="minorEastAsia" w:hAnsiTheme="minorEastAsia" w:eastAsiaTheme="minorEastAsia"/>
                <w:color w:val="auto"/>
                <w:sz w:val="21"/>
                <w:szCs w:val="21"/>
              </w:rPr>
              <w:t>合同金额在500万元（或项目总投资金额在5亿元）人民币及以上的得2分，每多一项类似项目合同金额在500万元（或项目总投资金额在5亿元）人民币及以上的加1.5分，最多得5分。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sz w:val="21"/>
                <w:szCs w:val="21"/>
              </w:rPr>
              <w:t>投标文件中附复印件，评标时现场</w:t>
            </w:r>
            <w:r>
              <w:rPr>
                <w:rFonts w:hint="eastAsia" w:asciiTheme="minorEastAsia" w:hAnsiTheme="minorEastAsia" w:eastAsiaTheme="minorEastAsia"/>
                <w:b/>
                <w:bCs/>
                <w:color w:val="auto"/>
                <w:sz w:val="21"/>
                <w:szCs w:val="21"/>
              </w:rPr>
              <w:t>核验中标通知书、合同协议书及工程接收证书（或工程竣工验收证书或业主开具的证明文件），缺少其中任何一项证明材料的，均视为无效业绩；</w:t>
            </w:r>
            <w:r>
              <w:rPr>
                <w:rFonts w:hint="eastAsia" w:asciiTheme="minorEastAsia" w:hAnsiTheme="minorEastAsia" w:eastAsiaTheme="minorEastAsia"/>
                <w:b/>
                <w:bCs/>
                <w:sz w:val="21"/>
                <w:szCs w:val="21"/>
              </w:rPr>
              <w:t>且须至少有一项能体现其姓名及所担任的职务等信息（若以上多项证明材料体现的姓名及所担任的职务等信息不一致的，还须出具业主或行政监管部门开具的证明材料）原件，无原件或者投标文件中复印件与原件不一致的均不得分。</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m</w:t>
            </w:r>
            <w:r>
              <w:rPr>
                <w:rFonts w:hint="eastAsia" w:asciiTheme="minorEastAsia" w:hAnsiTheme="minorEastAsia" w:eastAsiaTheme="minorEastAsia"/>
                <w:szCs w:val="21"/>
              </w:rPr>
              <w:t>≤5或m=0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宋体" w:hAnsi="宋体" w:cs="宋体"/>
                <w:szCs w:val="21"/>
              </w:rPr>
              <w:t>项目管理团队</w:t>
            </w:r>
          </w:p>
        </w:tc>
        <w:tc>
          <w:tcPr>
            <w:tcW w:w="85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471" w:type="dxa"/>
            <w:gridSpan w:val="3"/>
            <w:vAlign w:val="center"/>
          </w:tcPr>
          <w:p>
            <w:pPr>
              <w:pStyle w:val="31"/>
              <w:spacing w:line="312" w:lineRule="auto"/>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详见附表1</w:t>
            </w:r>
          </w:p>
        </w:tc>
        <w:tc>
          <w:tcPr>
            <w:tcW w:w="1766" w:type="dxa"/>
            <w:vAlign w:val="center"/>
          </w:tcPr>
          <w:p>
            <w:pPr>
              <w:spacing w:line="312" w:lineRule="auto"/>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奖项</w:t>
            </w:r>
          </w:p>
        </w:tc>
        <w:tc>
          <w:tcPr>
            <w:tcW w:w="850"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4471" w:type="dxa"/>
            <w:gridSpan w:val="3"/>
            <w:vAlign w:val="center"/>
          </w:tcPr>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投标人每具有 1 项类似工程项目获得“鲁班奖”或“国家优质工程奖（金奖）”的得2分，每增加1个加2分，最多得4分。否则，得0分。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项目总监理工程师每具有1项国家级优秀项目总监荣誉的加2分，每具有1项省部级优秀项目总监荣誉的加1分，最多得4分。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本项最多得8分。</w:t>
            </w:r>
          </w:p>
          <w:p>
            <w:pPr>
              <w:pStyle w:val="31"/>
              <w:tabs>
                <w:tab w:val="left" w:pos="809"/>
              </w:tabs>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投标文件中附复印件，评标时现场核验原件，无原件或者投标文件中复印件与原件不一致的均不得分。</w:t>
            </w:r>
          </w:p>
        </w:tc>
        <w:tc>
          <w:tcPr>
            <w:tcW w:w="1766"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m</w:t>
            </w:r>
            <w:r>
              <w:rPr>
                <w:rFonts w:hint="eastAsia" w:asciiTheme="minorEastAsia" w:hAnsiTheme="minorEastAsia" w:eastAsiaTheme="minorEastAsia"/>
                <w:sz w:val="21"/>
                <w:szCs w:val="21"/>
              </w:rPr>
              <w:t>≤8</w:t>
            </w:r>
            <w:r>
              <w:rPr>
                <w:rFonts w:hint="eastAsia" w:asciiTheme="minorEastAsia" w:hAnsiTheme="minorEastAsia" w:eastAsiaTheme="minorEastAsia"/>
                <w:color w:val="auto"/>
                <w:sz w:val="21"/>
                <w:szCs w:val="21"/>
              </w:rPr>
              <w:t>或</w:t>
            </w:r>
            <w:r>
              <w:rPr>
                <w:rFonts w:hint="eastAsia" w:asciiTheme="minorEastAsia" w:hAnsiTheme="minorEastAsia" w:eastAsiaTheme="minorEastAsia"/>
                <w:sz w:val="21"/>
                <w:szCs w:val="21"/>
              </w:rPr>
              <w:t>m=</w:t>
            </w:r>
            <w:r>
              <w:rPr>
                <w:rFonts w:asciiTheme="minorEastAsia" w:hAnsiTheme="minorEastAsia" w:eastAsiaTheme="minorEastAsia"/>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管理体系认证</w:t>
            </w:r>
          </w:p>
        </w:tc>
        <w:tc>
          <w:tcPr>
            <w:tcW w:w="850" w:type="dxa"/>
            <w:vAlign w:val="center"/>
          </w:tcPr>
          <w:p>
            <w:pPr>
              <w:pStyle w:val="31"/>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471" w:type="dxa"/>
            <w:gridSpan w:val="3"/>
            <w:vAlign w:val="center"/>
          </w:tcPr>
          <w:p>
            <w:pPr>
              <w:pStyle w:val="31"/>
              <w:spacing w:line="312"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质量管理体系认证、环境管理体系认证及职业健康安全管理体系认证，全部通过的，得2分；否则，得0分。</w:t>
            </w:r>
          </w:p>
          <w:p>
            <w:pPr>
              <w:pStyle w:val="31"/>
              <w:spacing w:line="312" w:lineRule="auto"/>
              <w:jc w:val="both"/>
              <w:rPr>
                <w:rFonts w:asciiTheme="minorEastAsia" w:hAnsiTheme="minorEastAsia" w:eastAsiaTheme="minorEastAsia"/>
                <w:sz w:val="21"/>
                <w:szCs w:val="21"/>
              </w:rPr>
            </w:pPr>
            <w:r>
              <w:rPr>
                <w:rFonts w:hint="eastAsia" w:asciiTheme="minorEastAsia" w:hAnsiTheme="minorEastAsia" w:eastAsiaTheme="minorEastAsia"/>
                <w:b/>
                <w:bCs/>
                <w:color w:val="auto"/>
                <w:sz w:val="21"/>
                <w:szCs w:val="21"/>
              </w:rPr>
              <w:t>投标文件中附复印件，评标时现场核验原件，无原件或者投标文件中复印件与原件不一致的均不得分。</w:t>
            </w:r>
          </w:p>
        </w:tc>
        <w:tc>
          <w:tcPr>
            <w:tcW w:w="1766" w:type="dxa"/>
            <w:vAlign w:val="center"/>
          </w:tcPr>
          <w:p>
            <w:pPr>
              <w:tabs>
                <w:tab w:val="left" w:pos="724"/>
              </w:tabs>
              <w:spacing w:line="312"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m=2 或</w:t>
            </w:r>
            <w:r>
              <w:rPr>
                <w:rFonts w:hint="eastAsia" w:asciiTheme="minorEastAsia" w:hAnsiTheme="minorEastAsia" w:eastAsiaTheme="minorEastAsia"/>
                <w:szCs w:val="21"/>
              </w:rPr>
              <w:t>m=</w:t>
            </w:r>
            <w:r>
              <w:rPr>
                <w:rFonts w:asciiTheme="minorEastAsia" w:hAnsiTheme="minorEastAsia" w:eastAsiaTheme="minor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322" w:type="dxa"/>
            <w:gridSpan w:val="9"/>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投标报价得分（满分30分</w:t>
            </w:r>
            <w:r>
              <w:rPr>
                <w:rFonts w:hint="eastAsia" w:asciiTheme="minorEastAsia" w:hAnsiTheme="minorEastAsia" w:eastAsiaTheme="minorEastAsia"/>
                <w:b/>
                <w:szCs w:val="21"/>
              </w:rPr>
              <w:t>，</w:t>
            </w:r>
            <w:r>
              <w:rPr>
                <w:rFonts w:hint="eastAsia" w:asciiTheme="minorEastAsia" w:hAnsiTheme="minorEastAsia" w:eastAsiaTheme="minorEastAsia"/>
                <w:b/>
                <w:bCs/>
                <w:szCs w:val="21"/>
              </w:rPr>
              <w:t>打分保留2位小数</w:t>
            </w:r>
            <w:r>
              <w:rPr>
                <w:rFonts w:hint="eastAsia" w:cs="宋体" w:asciiTheme="minorEastAsia" w:hAnsiTheme="minorEastAsia" w:eastAsiaTheme="minorEastAsia"/>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w:t>
            </w:r>
          </w:p>
        </w:tc>
        <w:tc>
          <w:tcPr>
            <w:tcW w:w="850" w:type="dxa"/>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标准分</w:t>
            </w:r>
          </w:p>
        </w:tc>
        <w:tc>
          <w:tcPr>
            <w:tcW w:w="4471" w:type="dxa"/>
            <w:gridSpan w:val="3"/>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评分标准</w:t>
            </w:r>
          </w:p>
        </w:tc>
        <w:tc>
          <w:tcPr>
            <w:tcW w:w="1766" w:type="dxa"/>
            <w:vAlign w:val="center"/>
          </w:tcPr>
          <w:p>
            <w:pPr>
              <w:spacing w:line="312"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2235" w:type="dxa"/>
            <w:gridSpan w:val="4"/>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投标报价</w:t>
            </w:r>
          </w:p>
        </w:tc>
        <w:tc>
          <w:tcPr>
            <w:tcW w:w="850" w:type="dxa"/>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4471" w:type="dxa"/>
            <w:gridSpan w:val="3"/>
            <w:vAlign w:val="center"/>
          </w:tcPr>
          <w:p>
            <w:pPr>
              <w:adjustRightInd w:val="0"/>
              <w:spacing w:line="312" w:lineRule="auto"/>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有效投标报价为通过初步评审的投标人报价。</w:t>
            </w:r>
          </w:p>
          <w:p>
            <w:pPr>
              <w:spacing w:line="276" w:lineRule="auto"/>
              <w:rPr>
                <w:rFonts w:ascii="宋体" w:hAnsi="宋体" w:cs="宋体"/>
                <w:szCs w:val="21"/>
              </w:rPr>
            </w:pPr>
            <w:r>
              <w:rPr>
                <w:rFonts w:hint="eastAsia" w:ascii="宋体" w:hAnsi="宋体" w:cs="宋体"/>
                <w:szCs w:val="21"/>
              </w:rPr>
              <w:t>1.确定评标基准价</w:t>
            </w:r>
          </w:p>
          <w:p>
            <w:pPr>
              <w:spacing w:line="276" w:lineRule="auto"/>
              <w:rPr>
                <w:rFonts w:ascii="宋体" w:hAnsi="宋体" w:cs="宋体"/>
                <w:szCs w:val="21"/>
              </w:rPr>
            </w:pPr>
            <w:r>
              <w:rPr>
                <w:rFonts w:hint="eastAsia" w:ascii="宋体" w:hAnsi="宋体" w:cs="宋体"/>
                <w:szCs w:val="21"/>
              </w:rPr>
              <w:t>当合格投标人少于五家（包括五家）时，取所有合格投标人投标报价的算术平均值的50%与招标控制价的50%之和作为评标基准价；</w:t>
            </w:r>
          </w:p>
          <w:p>
            <w:pPr>
              <w:spacing w:line="276" w:lineRule="auto"/>
              <w:rPr>
                <w:rFonts w:ascii="宋体" w:hAnsi="宋体" w:cs="宋体"/>
                <w:szCs w:val="21"/>
              </w:rPr>
            </w:pPr>
            <w:r>
              <w:rPr>
                <w:rFonts w:hint="eastAsia" w:ascii="宋体" w:hAnsi="宋体" w:cs="宋体"/>
                <w:szCs w:val="21"/>
              </w:rPr>
              <w:t>当合格投标人超过五家时，取所有合格投标人投标报价中去掉一个最高价和一个最低价后的算术平均值的50%与招标控制价的50%之和作为评标基准价。</w:t>
            </w:r>
          </w:p>
          <w:p>
            <w:pPr>
              <w:spacing w:line="276" w:lineRule="auto"/>
              <w:rPr>
                <w:rFonts w:ascii="宋体" w:hAnsi="宋体" w:cs="宋体"/>
                <w:szCs w:val="21"/>
              </w:rPr>
            </w:pPr>
            <w:r>
              <w:rPr>
                <w:rFonts w:hint="eastAsia" w:ascii="宋体" w:hAnsi="宋体" w:cs="宋体"/>
                <w:szCs w:val="21"/>
              </w:rPr>
              <w:t>2.偏差率计算</w:t>
            </w:r>
          </w:p>
          <w:p>
            <w:pPr>
              <w:spacing w:line="276" w:lineRule="auto"/>
              <w:rPr>
                <w:rFonts w:ascii="宋体" w:hAnsi="宋体" w:cs="宋体"/>
                <w:szCs w:val="21"/>
              </w:rPr>
            </w:pPr>
            <w:r>
              <w:rPr>
                <w:rFonts w:hint="eastAsia" w:ascii="宋体" w:hAnsi="宋体" w:cs="宋体"/>
                <w:szCs w:val="21"/>
              </w:rPr>
              <w:t>偏差率（δ）=100%×（合格投标人报价-评标基准价）/评标基准价</w:t>
            </w:r>
          </w:p>
          <w:p>
            <w:pPr>
              <w:spacing w:line="276" w:lineRule="auto"/>
              <w:rPr>
                <w:rFonts w:ascii="宋体" w:hAnsi="宋体" w:cs="宋体"/>
                <w:szCs w:val="21"/>
              </w:rPr>
            </w:pPr>
            <w:r>
              <w:rPr>
                <w:rFonts w:hint="eastAsia" w:ascii="宋体" w:hAnsi="宋体" w:cs="宋体"/>
                <w:szCs w:val="21"/>
              </w:rPr>
              <w:t>3.价格得分</w:t>
            </w:r>
          </w:p>
          <w:p>
            <w:pPr>
              <w:spacing w:line="276" w:lineRule="auto"/>
              <w:rPr>
                <w:rFonts w:ascii="宋体" w:hAnsi="宋体" w:cs="宋体"/>
                <w:szCs w:val="21"/>
              </w:rPr>
            </w:pPr>
            <w:r>
              <w:rPr>
                <w:rFonts w:hint="eastAsia" w:ascii="宋体" w:hAnsi="宋体" w:cs="宋体"/>
                <w:szCs w:val="21"/>
              </w:rPr>
              <w:t>当偏差率为-3%时，价格得分为满分30分。</w:t>
            </w:r>
          </w:p>
          <w:p>
            <w:pPr>
              <w:spacing w:line="276" w:lineRule="auto"/>
              <w:rPr>
                <w:rFonts w:ascii="宋体" w:hAnsi="宋体" w:cs="宋体"/>
                <w:szCs w:val="21"/>
              </w:rPr>
            </w:pPr>
            <w:r>
              <w:rPr>
                <w:rFonts w:hint="eastAsia" w:ascii="宋体" w:hAnsi="宋体" w:cs="宋体"/>
                <w:szCs w:val="21"/>
              </w:rPr>
              <w:t>合格投标人的投标报价偏差率与-3%比较，按照每高或低1%扣1分的比例扣分，最多扣10分，打分公式如下：</w:t>
            </w:r>
          </w:p>
          <w:p>
            <w:pPr>
              <w:spacing w:line="276" w:lineRule="auto"/>
              <w:rPr>
                <w:rFonts w:cs="宋体" w:asciiTheme="minorEastAsia" w:hAnsiTheme="minorEastAsia" w:eastAsiaTheme="minorEastAsia"/>
                <w:b/>
                <w:szCs w:val="21"/>
              </w:rPr>
            </w:pPr>
            <w:r>
              <w:rPr>
                <w:rFonts w:hint="eastAsia" w:ascii="宋体" w:hAnsi="宋体" w:cs="宋体"/>
                <w:szCs w:val="21"/>
              </w:rPr>
              <w:t>m＝30-</w:t>
            </w:r>
            <w:r>
              <w:rPr>
                <w:rFonts w:hint="eastAsia" w:ascii="宋体" w:hAnsi="宋体" w:cs="宋体"/>
                <w:b/>
                <w:bCs/>
                <w:szCs w:val="21"/>
              </w:rPr>
              <w:t>|</w:t>
            </w:r>
            <w:r>
              <w:rPr>
                <w:rFonts w:hint="eastAsia" w:ascii="宋体" w:hAnsi="宋体" w:cs="宋体"/>
                <w:szCs w:val="21"/>
              </w:rPr>
              <w:t>[δ-（-3%）]</w:t>
            </w:r>
            <w:r>
              <w:rPr>
                <w:rFonts w:hint="eastAsia" w:ascii="宋体" w:hAnsi="宋体" w:cs="宋体"/>
                <w:b/>
                <w:bCs/>
                <w:szCs w:val="21"/>
              </w:rPr>
              <w:t>|</w:t>
            </w:r>
            <w:r>
              <w:rPr>
                <w:rFonts w:hint="eastAsia" w:ascii="宋体" w:hAnsi="宋体" w:cs="宋体"/>
                <w:szCs w:val="21"/>
              </w:rPr>
              <w:t>×1×100</w:t>
            </w:r>
          </w:p>
        </w:tc>
        <w:tc>
          <w:tcPr>
            <w:tcW w:w="176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20≤m≤30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068" w:type="dxa"/>
            <w:gridSpan w:val="2"/>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688" w:type="dxa"/>
            <w:gridSpan w:val="4"/>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评标程序</w:t>
            </w:r>
          </w:p>
        </w:tc>
        <w:tc>
          <w:tcPr>
            <w:tcW w:w="5566" w:type="dxa"/>
            <w:gridSpan w:val="3"/>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详见本章附件A：评标详细程序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068" w:type="dxa"/>
            <w:gridSpan w:val="2"/>
            <w:vAlign w:val="center"/>
          </w:tcPr>
          <w:p>
            <w:pPr>
              <w:spacing w:line="312"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3.1.2</w:t>
            </w:r>
          </w:p>
        </w:tc>
        <w:tc>
          <w:tcPr>
            <w:tcW w:w="2688" w:type="dxa"/>
            <w:gridSpan w:val="4"/>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否决投标条件</w:t>
            </w:r>
          </w:p>
        </w:tc>
        <w:tc>
          <w:tcPr>
            <w:tcW w:w="5566" w:type="dxa"/>
            <w:gridSpan w:val="3"/>
            <w:vAlign w:val="center"/>
          </w:tcPr>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详见本章附件B：否决投标条件</w:t>
            </w:r>
          </w:p>
        </w:tc>
      </w:tr>
    </w:tbl>
    <w:p/>
    <w:p/>
    <w:p/>
    <w:p>
      <w:bookmarkStart w:id="724" w:name="_Toc296520746"/>
      <w:bookmarkStart w:id="725" w:name="_Toc498502999"/>
      <w:bookmarkStart w:id="726" w:name="_Toc3227"/>
      <w:bookmarkStart w:id="727" w:name="_Toc498503004"/>
    </w:p>
    <w:p/>
    <w:p/>
    <w:p/>
    <w:p/>
    <w:p/>
    <w:p/>
    <w:p/>
    <w:p/>
    <w:p/>
    <w:p/>
    <w:p/>
    <w:p/>
    <w:p/>
    <w:p/>
    <w:p/>
    <w:p/>
    <w:p/>
    <w:p/>
    <w:p/>
    <w:p/>
    <w:p/>
    <w:p/>
    <w:p/>
    <w:p/>
    <w:p/>
    <w:p/>
    <w:p/>
    <w:p/>
    <w:p/>
    <w:p/>
    <w:p/>
    <w:p/>
    <w:p>
      <w:pPr>
        <w:outlineLvl w:val="1"/>
        <w:rPr>
          <w:b/>
          <w:bCs/>
        </w:rPr>
      </w:pPr>
      <w:bookmarkStart w:id="728" w:name="_Toc701"/>
      <w:r>
        <w:rPr>
          <w:rFonts w:hint="eastAsia"/>
          <w:b/>
          <w:bCs/>
        </w:rPr>
        <w:t>附表1</w:t>
      </w:r>
      <w:bookmarkEnd w:id="728"/>
    </w:p>
    <w:tbl>
      <w:tblPr>
        <w:tblStyle w:val="28"/>
        <w:tblW w:w="9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65"/>
        <w:gridCol w:w="1780"/>
        <w:gridCol w:w="4128"/>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176" w:type="dxa"/>
            <w:gridSpan w:val="3"/>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评审内容</w:t>
            </w:r>
          </w:p>
        </w:tc>
        <w:tc>
          <w:tcPr>
            <w:tcW w:w="4128"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评审标准</w:t>
            </w:r>
          </w:p>
        </w:tc>
        <w:tc>
          <w:tcPr>
            <w:tcW w:w="1013"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评审分值</w:t>
            </w:r>
            <w:r>
              <w:rPr>
                <w:rFonts w:hint="eastAsia" w:ascii="宋体" w:hAnsi="宋体" w:cs="宋体"/>
                <w:szCs w:val="21"/>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rPr>
              <w:t>项目管理团队</w:t>
            </w:r>
          </w:p>
          <w:p>
            <w:pPr>
              <w:spacing w:line="400" w:lineRule="atLeast"/>
              <w:jc w:val="center"/>
              <w:rPr>
                <w:rFonts w:ascii="宋体" w:hAnsi="宋体" w:cs="宋体"/>
                <w:szCs w:val="21"/>
                <w:lang w:val="zh-TW" w:eastAsia="zh-TW"/>
              </w:rPr>
            </w:pPr>
            <w:r>
              <w:rPr>
                <w:rFonts w:hint="eastAsia" w:ascii="宋体" w:hAnsi="宋体" w:cs="宋体"/>
                <w:szCs w:val="21"/>
              </w:rPr>
              <w:t>10</w:t>
            </w:r>
            <w:r>
              <w:rPr>
                <w:rFonts w:hint="eastAsia" w:ascii="宋体" w:hAnsi="宋体" w:cs="宋体"/>
                <w:szCs w:val="21"/>
                <w:lang w:val="zh-TW" w:eastAsia="zh-TW"/>
              </w:rPr>
              <w:t>分</w:t>
            </w:r>
            <w:r>
              <w:rPr>
                <w:rFonts w:hint="eastAsia" w:ascii="宋体" w:hAnsi="宋体" w:cs="宋体"/>
                <w:szCs w:val="21"/>
                <w:lang w:val="zh-TW"/>
              </w:rPr>
              <w:t>（详见附表</w:t>
            </w:r>
            <w:r>
              <w:rPr>
                <w:rFonts w:hint="eastAsia" w:ascii="宋体" w:hAnsi="宋体" w:cs="宋体"/>
                <w:szCs w:val="21"/>
              </w:rPr>
              <w:t>2）</w:t>
            </w: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项目</w:t>
            </w:r>
            <w:r>
              <w:rPr>
                <w:rFonts w:hint="eastAsia" w:ascii="宋体" w:hAnsi="宋体" w:cs="宋体"/>
                <w:szCs w:val="21"/>
              </w:rPr>
              <w:t>监理</w:t>
            </w:r>
            <w:r>
              <w:rPr>
                <w:rFonts w:hint="eastAsia" w:ascii="宋体" w:hAnsi="宋体" w:cs="宋体"/>
                <w:szCs w:val="21"/>
                <w:lang w:val="zh-TW" w:eastAsia="zh-TW"/>
              </w:rPr>
              <w:t>部</w:t>
            </w:r>
          </w:p>
          <w:p>
            <w:pPr>
              <w:spacing w:line="400" w:lineRule="atLeast"/>
              <w:jc w:val="center"/>
              <w:rPr>
                <w:rFonts w:ascii="宋体" w:hAnsi="宋体" w:cs="宋体"/>
                <w:szCs w:val="21"/>
                <w:lang w:val="zh-TW" w:eastAsia="zh-TW"/>
              </w:rPr>
            </w:pPr>
            <w:r>
              <w:rPr>
                <w:rFonts w:hint="eastAsia" w:ascii="宋体" w:hAnsi="宋体" w:cs="宋体"/>
                <w:szCs w:val="21"/>
                <w:lang w:val="zh-TW" w:eastAsia="zh-TW"/>
              </w:rPr>
              <w:t>组织机构（详见附表2 ）</w:t>
            </w:r>
          </w:p>
          <w:p>
            <w:pPr>
              <w:spacing w:line="400" w:lineRule="atLeast"/>
              <w:jc w:val="center"/>
              <w:rPr>
                <w:rFonts w:ascii="宋体" w:hAnsi="宋体" w:cs="宋体"/>
                <w:szCs w:val="21"/>
                <w:lang w:val="zh-TW" w:eastAsia="zh-TW"/>
              </w:rPr>
            </w:pPr>
            <w:r>
              <w:rPr>
                <w:rFonts w:hint="eastAsia" w:ascii="宋体" w:hAnsi="宋体" w:cs="宋体"/>
                <w:szCs w:val="21"/>
              </w:rPr>
              <w:t>（2</w:t>
            </w:r>
            <w:r>
              <w:rPr>
                <w:rFonts w:hint="eastAsia" w:ascii="宋体" w:hAnsi="宋体" w:cs="宋体"/>
                <w:szCs w:val="21"/>
                <w:lang w:val="zh-TW" w:eastAsia="zh-TW"/>
              </w:rPr>
              <w:t>分</w:t>
            </w:r>
            <w:r>
              <w:rPr>
                <w:rFonts w:hint="eastAsia" w:ascii="宋体" w:hAnsi="宋体" w:cs="宋体"/>
                <w:szCs w:val="21"/>
                <w:lang w:val="zh-TW"/>
              </w:rPr>
              <w:t>）</w:t>
            </w:r>
          </w:p>
        </w:tc>
        <w:tc>
          <w:tcPr>
            <w:tcW w:w="1780" w:type="dxa"/>
            <w:vMerge w:val="restart"/>
            <w:shd w:val="clear" w:color="auto" w:fill="auto"/>
            <w:vAlign w:val="center"/>
          </w:tcPr>
          <w:p>
            <w:pPr>
              <w:adjustRightInd w:val="0"/>
              <w:spacing w:line="400" w:lineRule="exact"/>
              <w:jc w:val="center"/>
              <w:textAlignment w:val="baseline"/>
              <w:rPr>
                <w:rFonts w:ascii="宋体" w:hAnsi="宋体" w:cs="宋体"/>
                <w:szCs w:val="21"/>
                <w:lang w:val="zh-TW" w:eastAsia="zh-TW"/>
              </w:rPr>
            </w:pPr>
            <w:r>
              <w:rPr>
                <w:rFonts w:hint="eastAsia" w:ascii="宋体" w:hAnsi="宋体" w:cs="宋体"/>
                <w:szCs w:val="21"/>
                <w:lang w:val="zh-TW" w:eastAsia="zh-TW"/>
              </w:rPr>
              <w:t>组织机构</w:t>
            </w: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设置齐全</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jc w:val="center"/>
              <w:rPr>
                <w:rFonts w:ascii="宋体" w:hAnsi="宋体" w:cs="宋体"/>
                <w:szCs w:val="21"/>
              </w:rPr>
            </w:pPr>
          </w:p>
        </w:tc>
        <w:tc>
          <w:tcPr>
            <w:tcW w:w="1465" w:type="dxa"/>
            <w:vMerge w:val="continue"/>
            <w:shd w:val="clear" w:color="auto" w:fill="auto"/>
            <w:vAlign w:val="center"/>
          </w:tcPr>
          <w:p>
            <w:pPr>
              <w:pStyle w:val="9"/>
              <w:ind w:left="63" w:right="63"/>
              <w:rPr>
                <w:szCs w:val="21"/>
                <w:lang w:val="zh-TW" w:eastAsia="zh-TW"/>
              </w:rPr>
            </w:pPr>
          </w:p>
        </w:tc>
        <w:tc>
          <w:tcPr>
            <w:tcW w:w="1780" w:type="dxa"/>
            <w:vMerge w:val="continue"/>
            <w:shd w:val="clear" w:color="auto" w:fill="auto"/>
            <w:vAlign w:val="center"/>
          </w:tcPr>
          <w:p>
            <w:pPr>
              <w:adjustRightInd w:val="0"/>
              <w:spacing w:line="400" w:lineRule="exact"/>
              <w:jc w:val="center"/>
              <w:textAlignment w:val="baseline"/>
              <w:rPr>
                <w:rFonts w:ascii="宋体" w:hAnsi="宋体" w:cs="宋体"/>
                <w:szCs w:val="21"/>
                <w:lang w:val="zh-TW" w:eastAsia="zh-TW"/>
              </w:rPr>
            </w:pP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设置</w:t>
            </w:r>
            <w:r>
              <w:rPr>
                <w:rFonts w:hint="eastAsia" w:ascii="宋体" w:hAnsi="宋体" w:cs="宋体"/>
                <w:szCs w:val="21"/>
                <w:lang w:val="zh-TW"/>
              </w:rPr>
              <w:t>不</w:t>
            </w:r>
            <w:r>
              <w:rPr>
                <w:rFonts w:hint="eastAsia" w:ascii="宋体" w:hAnsi="宋体" w:cs="宋体"/>
                <w:szCs w:val="21"/>
                <w:lang w:val="zh-TW" w:eastAsia="zh-TW"/>
              </w:rPr>
              <w:t>齐全</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adjustRightInd w:val="0"/>
              <w:spacing w:line="400" w:lineRule="exact"/>
              <w:jc w:val="center"/>
              <w:textAlignment w:val="baseline"/>
              <w:rPr>
                <w:rFonts w:ascii="宋体" w:hAnsi="宋体" w:cs="宋体"/>
                <w:szCs w:val="21"/>
                <w:lang w:val="zh-TW" w:eastAsia="zh-TW"/>
              </w:rPr>
            </w:pPr>
            <w:r>
              <w:rPr>
                <w:rFonts w:hint="eastAsia" w:ascii="宋体" w:hAnsi="宋体" w:cs="宋体"/>
                <w:szCs w:val="21"/>
                <w:lang w:val="zh-TW" w:eastAsia="zh-TW"/>
              </w:rPr>
              <w:t>人员专业配套</w:t>
            </w: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专业完全配套</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adjustRightInd w:val="0"/>
              <w:spacing w:line="400" w:lineRule="exact"/>
              <w:textAlignment w:val="baseline"/>
              <w:rPr>
                <w:rFonts w:ascii="宋体" w:hAnsi="宋体" w:cs="宋体"/>
                <w:szCs w:val="21"/>
                <w:lang w:val="zh-TW" w:eastAsia="zh-TW"/>
              </w:rPr>
            </w:pPr>
            <w:r>
              <w:rPr>
                <w:rFonts w:hint="eastAsia" w:ascii="宋体" w:hAnsi="宋体" w:cs="宋体"/>
                <w:szCs w:val="21"/>
                <w:lang w:val="zh-TW" w:eastAsia="zh-TW"/>
              </w:rPr>
              <w:t>专业配套</w:t>
            </w:r>
            <w:r>
              <w:rPr>
                <w:rFonts w:hint="eastAsia" w:ascii="宋体" w:hAnsi="宋体" w:cs="宋体"/>
                <w:szCs w:val="21"/>
                <w:lang w:val="zh-TW"/>
              </w:rPr>
              <w:t>不</w:t>
            </w:r>
            <w:r>
              <w:rPr>
                <w:rFonts w:hint="eastAsia" w:ascii="宋体" w:hAnsi="宋体" w:cs="宋体"/>
                <w:szCs w:val="21"/>
                <w:lang w:val="zh-TW" w:eastAsia="zh-TW"/>
              </w:rPr>
              <w:t>齐全</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拟派项目</w:t>
            </w:r>
            <w:r>
              <w:rPr>
                <w:rFonts w:hint="eastAsia" w:ascii="宋体" w:hAnsi="宋体" w:cs="宋体"/>
                <w:szCs w:val="21"/>
                <w:lang w:val="zh-TW"/>
              </w:rPr>
              <w:t>总监理工程师</w:t>
            </w:r>
            <w:r>
              <w:rPr>
                <w:rFonts w:hint="eastAsia" w:ascii="宋体" w:hAnsi="宋体" w:cs="宋体"/>
                <w:szCs w:val="21"/>
              </w:rPr>
              <w:t>（3</w:t>
            </w:r>
            <w:r>
              <w:rPr>
                <w:rFonts w:hint="eastAsia" w:ascii="宋体" w:hAnsi="宋体" w:cs="宋体"/>
                <w:szCs w:val="21"/>
                <w:lang w:val="zh-TW" w:eastAsia="zh-TW"/>
              </w:rPr>
              <w:t>分</w:t>
            </w:r>
            <w:r>
              <w:rPr>
                <w:rFonts w:hint="eastAsia" w:ascii="宋体" w:hAnsi="宋体" w:cs="宋体"/>
                <w:szCs w:val="21"/>
                <w:lang w:val="zh-TW"/>
              </w:rPr>
              <w:t>）</w:t>
            </w:r>
          </w:p>
        </w:tc>
        <w:tc>
          <w:tcPr>
            <w:tcW w:w="1780"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职称</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rPr>
              <w:t>高</w:t>
            </w:r>
            <w:r>
              <w:rPr>
                <w:rFonts w:hint="eastAsia" w:ascii="宋体" w:hAnsi="宋体" w:cs="宋体"/>
                <w:szCs w:val="21"/>
                <w:lang w:val="zh-TW" w:eastAsia="zh-TW"/>
              </w:rPr>
              <w:t>级</w:t>
            </w:r>
            <w:r>
              <w:rPr>
                <w:rFonts w:hint="eastAsia" w:ascii="宋体" w:hAnsi="宋体" w:cs="宋体"/>
                <w:szCs w:val="21"/>
                <w:lang w:val="zh-TW"/>
              </w:rPr>
              <w:t>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rPr>
            </w:pPr>
            <w:r>
              <w:rPr>
                <w:rFonts w:hint="eastAsia" w:ascii="宋体" w:hAnsi="宋体" w:cs="宋体"/>
                <w:szCs w:val="21"/>
              </w:rPr>
              <w:t>20年及以上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rPr>
            </w:pPr>
            <w:r>
              <w:rPr>
                <w:rFonts w:hint="eastAsia" w:ascii="宋体" w:hAnsi="宋体" w:cs="宋体"/>
                <w:szCs w:val="21"/>
              </w:rPr>
              <w:t>20年以下</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拟派项目</w:t>
            </w:r>
          </w:p>
          <w:p>
            <w:pPr>
              <w:spacing w:line="400" w:lineRule="atLeast"/>
              <w:jc w:val="center"/>
              <w:rPr>
                <w:rFonts w:ascii="宋体" w:hAnsi="宋体" w:cs="宋体"/>
                <w:szCs w:val="21"/>
                <w:lang w:val="zh-TW" w:eastAsia="zh-TW"/>
              </w:rPr>
            </w:pPr>
            <w:r>
              <w:rPr>
                <w:rFonts w:hint="eastAsia" w:ascii="宋体" w:hAnsi="宋体" w:cs="宋体"/>
                <w:szCs w:val="21"/>
                <w:lang w:val="zh-TW"/>
              </w:rPr>
              <w:t>总监理工程师代表</w:t>
            </w:r>
            <w:r>
              <w:rPr>
                <w:rFonts w:hint="eastAsia" w:ascii="宋体" w:hAnsi="宋体" w:cs="宋体"/>
                <w:szCs w:val="21"/>
              </w:rPr>
              <w:t>（3</w:t>
            </w:r>
            <w:r>
              <w:rPr>
                <w:rFonts w:hint="eastAsia" w:ascii="宋体" w:hAnsi="宋体" w:cs="宋体"/>
                <w:szCs w:val="21"/>
                <w:lang w:val="zh-TW" w:eastAsia="zh-TW"/>
              </w:rPr>
              <w:t>分</w:t>
            </w:r>
            <w:r>
              <w:rPr>
                <w:rFonts w:hint="eastAsia" w:ascii="宋体" w:hAnsi="宋体" w:cs="宋体"/>
                <w:szCs w:val="21"/>
                <w:lang w:val="zh-TW"/>
              </w:rPr>
              <w:t>）</w:t>
            </w:r>
          </w:p>
        </w:tc>
        <w:tc>
          <w:tcPr>
            <w:tcW w:w="1780" w:type="dxa"/>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eastAsia="zh-TW"/>
              </w:rPr>
              <w:t>职称</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rPr>
              <w:t>中</w:t>
            </w:r>
            <w:r>
              <w:rPr>
                <w:rFonts w:hint="eastAsia" w:ascii="宋体" w:hAnsi="宋体" w:cs="宋体"/>
                <w:szCs w:val="21"/>
                <w:lang w:val="zh-TW" w:eastAsia="zh-TW"/>
              </w:rPr>
              <w:t>级及以上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20年及以上</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jc w:val="center"/>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20年以下</w:t>
            </w:r>
          </w:p>
        </w:tc>
        <w:tc>
          <w:tcPr>
            <w:tcW w:w="1013" w:type="dxa"/>
            <w:shd w:val="clear" w:color="auto" w:fill="auto"/>
            <w:vAlign w:val="center"/>
          </w:tcPr>
          <w:p>
            <w:pPr>
              <w:spacing w:line="400" w:lineRule="atLeast"/>
              <w:jc w:val="center"/>
              <w:rPr>
                <w:rFonts w:ascii="宋体" w:hAnsi="宋体" w:cs="宋体"/>
                <w:szCs w:val="21"/>
                <w:lang w:val="zh-TW"/>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各专业监理工程师</w:t>
            </w:r>
            <w:r>
              <w:rPr>
                <w:rFonts w:hint="eastAsia" w:ascii="宋体" w:hAnsi="宋体" w:cs="宋体"/>
                <w:szCs w:val="21"/>
              </w:rPr>
              <w:t>（2</w:t>
            </w:r>
            <w:r>
              <w:rPr>
                <w:rFonts w:hint="eastAsia" w:ascii="宋体" w:hAnsi="宋体" w:cs="宋体"/>
                <w:szCs w:val="21"/>
                <w:lang w:val="zh-TW" w:eastAsia="zh-TW"/>
              </w:rPr>
              <w:t>分</w:t>
            </w:r>
            <w:r>
              <w:rPr>
                <w:rFonts w:hint="eastAsia" w:ascii="宋体" w:hAnsi="宋体" w:cs="宋体"/>
                <w:szCs w:val="21"/>
                <w:lang w:val="zh-TW"/>
              </w:rPr>
              <w:t>）</w:t>
            </w: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各专业监理工程师</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eastAsia="zh-TW"/>
              </w:rPr>
              <w:t>完全符合附表</w:t>
            </w:r>
            <w:r>
              <w:rPr>
                <w:rFonts w:hint="eastAsia" w:ascii="宋体" w:hAnsi="宋体" w:cs="宋体"/>
                <w:szCs w:val="21"/>
              </w:rPr>
              <w:t>2</w:t>
            </w:r>
            <w:r>
              <w:rPr>
                <w:rFonts w:hint="eastAsia" w:ascii="宋体" w:hAnsi="宋体" w:cs="宋体"/>
                <w:szCs w:val="21"/>
                <w:lang w:val="zh-TW" w:eastAsia="zh-TW"/>
              </w:rPr>
              <w:t>中的人员资历要求</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lang w:val="zh-TW" w:eastAsia="zh-TW"/>
              </w:rPr>
              <w:t>不符合附表</w:t>
            </w:r>
            <w:r>
              <w:rPr>
                <w:rFonts w:hint="eastAsia" w:ascii="宋体" w:hAnsi="宋体" w:cs="宋体"/>
                <w:szCs w:val="21"/>
              </w:rPr>
              <w:t>2</w:t>
            </w:r>
            <w:r>
              <w:rPr>
                <w:rFonts w:hint="eastAsia" w:ascii="宋体" w:hAnsi="宋体" w:cs="宋体"/>
                <w:szCs w:val="21"/>
                <w:lang w:val="zh-TW" w:eastAsia="zh-TW"/>
              </w:rPr>
              <w:t>中的人员资历要求，每人每一项不符合扣0.</w:t>
            </w:r>
            <w:r>
              <w:rPr>
                <w:rFonts w:hint="eastAsia" w:ascii="宋体" w:hAnsi="宋体" w:cs="宋体"/>
                <w:szCs w:val="21"/>
              </w:rPr>
              <w:t>25</w:t>
            </w:r>
            <w:r>
              <w:rPr>
                <w:rFonts w:hint="eastAsia" w:ascii="宋体" w:hAnsi="宋体" w:cs="宋体"/>
                <w:szCs w:val="21"/>
                <w:lang w:val="zh-TW" w:eastAsia="zh-TW"/>
              </w:rPr>
              <w:t>分，扣至</w:t>
            </w:r>
            <w:r>
              <w:rPr>
                <w:rFonts w:hint="eastAsia" w:ascii="宋体" w:hAnsi="宋体" w:cs="宋体"/>
                <w:szCs w:val="21"/>
              </w:rPr>
              <w:t>0.5</w:t>
            </w:r>
            <w:r>
              <w:rPr>
                <w:rFonts w:hint="eastAsia" w:ascii="宋体" w:hAnsi="宋体" w:cs="宋体"/>
                <w:szCs w:val="21"/>
                <w:lang w:val="zh-TW" w:eastAsia="zh-TW"/>
              </w:rPr>
              <w:t>分为止</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restart"/>
            <w:shd w:val="clear" w:color="auto" w:fill="auto"/>
            <w:vAlign w:val="center"/>
          </w:tcPr>
          <w:p>
            <w:pPr>
              <w:spacing w:line="400" w:lineRule="atLeast"/>
              <w:jc w:val="center"/>
              <w:rPr>
                <w:rFonts w:ascii="宋体" w:hAnsi="宋体" w:cs="宋体"/>
                <w:szCs w:val="21"/>
                <w:lang w:val="zh-TW" w:eastAsia="zh-TW"/>
              </w:rPr>
            </w:pPr>
            <w:r>
              <w:rPr>
                <w:rFonts w:hint="eastAsia" w:ascii="宋体" w:hAnsi="宋体" w:cs="宋体"/>
                <w:szCs w:val="21"/>
                <w:lang w:val="zh-TW"/>
              </w:rPr>
              <w:t>工作年限（以毕业证或劳动合同为准）</w:t>
            </w: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5年及以上</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vMerge w:val="continue"/>
            <w:shd w:val="clear" w:color="auto" w:fill="auto"/>
            <w:vAlign w:val="center"/>
          </w:tcPr>
          <w:p>
            <w:pPr>
              <w:spacing w:line="400" w:lineRule="atLeast"/>
              <w:rPr>
                <w:rFonts w:ascii="宋体" w:hAnsi="宋体" w:cs="宋体"/>
                <w:szCs w:val="21"/>
                <w:lang w:val="zh-TW" w:eastAsia="zh-TW"/>
              </w:rPr>
            </w:pPr>
          </w:p>
        </w:tc>
        <w:tc>
          <w:tcPr>
            <w:tcW w:w="1465" w:type="dxa"/>
            <w:vMerge w:val="continue"/>
            <w:shd w:val="clear" w:color="auto" w:fill="auto"/>
            <w:vAlign w:val="center"/>
          </w:tcPr>
          <w:p>
            <w:pPr>
              <w:spacing w:line="400" w:lineRule="atLeast"/>
              <w:rPr>
                <w:rFonts w:ascii="宋体" w:hAnsi="宋体" w:cs="宋体"/>
                <w:szCs w:val="21"/>
                <w:lang w:val="zh-TW" w:eastAsia="zh-TW"/>
              </w:rPr>
            </w:pPr>
          </w:p>
        </w:tc>
        <w:tc>
          <w:tcPr>
            <w:tcW w:w="1780" w:type="dxa"/>
            <w:vMerge w:val="continue"/>
            <w:shd w:val="clear" w:color="auto" w:fill="auto"/>
            <w:vAlign w:val="center"/>
          </w:tcPr>
          <w:p>
            <w:pPr>
              <w:spacing w:line="400" w:lineRule="atLeast"/>
              <w:jc w:val="center"/>
              <w:rPr>
                <w:rFonts w:ascii="宋体" w:hAnsi="宋体" w:cs="宋体"/>
                <w:szCs w:val="21"/>
                <w:lang w:val="zh-TW" w:eastAsia="zh-TW"/>
              </w:rPr>
            </w:pPr>
          </w:p>
        </w:tc>
        <w:tc>
          <w:tcPr>
            <w:tcW w:w="4128" w:type="dxa"/>
            <w:shd w:val="clear" w:color="auto" w:fill="auto"/>
            <w:vAlign w:val="center"/>
          </w:tcPr>
          <w:p>
            <w:pPr>
              <w:spacing w:line="400" w:lineRule="atLeast"/>
              <w:rPr>
                <w:rFonts w:ascii="宋体" w:hAnsi="宋体" w:cs="宋体"/>
                <w:szCs w:val="21"/>
                <w:lang w:val="zh-TW" w:eastAsia="zh-TW"/>
              </w:rPr>
            </w:pPr>
            <w:r>
              <w:rPr>
                <w:rFonts w:hint="eastAsia" w:ascii="宋体" w:hAnsi="宋体" w:cs="宋体"/>
                <w:szCs w:val="21"/>
              </w:rPr>
              <w:t>5年以下</w:t>
            </w:r>
          </w:p>
        </w:tc>
        <w:tc>
          <w:tcPr>
            <w:tcW w:w="1013" w:type="dxa"/>
            <w:shd w:val="clear" w:color="auto" w:fill="auto"/>
            <w:vAlign w:val="center"/>
          </w:tcPr>
          <w:p>
            <w:pPr>
              <w:spacing w:line="400" w:lineRule="atLeast"/>
              <w:jc w:val="center"/>
              <w:rPr>
                <w:rFonts w:ascii="宋体" w:hAnsi="宋体" w:cs="宋体"/>
                <w:szCs w:val="21"/>
              </w:rPr>
            </w:pPr>
            <w:r>
              <w:rPr>
                <w:rFonts w:hint="eastAsia" w:ascii="宋体" w:hAnsi="宋体" w:cs="宋体"/>
                <w:szCs w:val="21"/>
              </w:rPr>
              <w:t>0.5</w:t>
            </w:r>
          </w:p>
        </w:tc>
      </w:tr>
    </w:tbl>
    <w:p/>
    <w:p/>
    <w:p/>
    <w:p/>
    <w:p/>
    <w:p/>
    <w:p/>
    <w:p/>
    <w:p/>
    <w:p/>
    <w:p/>
    <w:p/>
    <w:p/>
    <w:p>
      <w:pPr>
        <w:pStyle w:val="2"/>
      </w:pPr>
      <w:bookmarkStart w:id="729" w:name="_Toc11378"/>
      <w:r>
        <w:t>附</w:t>
      </w:r>
      <w:r>
        <w:rPr>
          <w:rFonts w:hint="eastAsia"/>
        </w:rPr>
        <w:t>表2：</w:t>
      </w:r>
      <w:r>
        <w:t>拟投入监理人员</w:t>
      </w:r>
      <w:r>
        <w:rPr>
          <w:rFonts w:hint="eastAsia"/>
        </w:rPr>
        <w:t>配置</w:t>
      </w:r>
      <w:r>
        <w:t>一览表</w:t>
      </w:r>
      <w:bookmarkEnd w:id="724"/>
      <w:bookmarkEnd w:id="725"/>
      <w:bookmarkEnd w:id="729"/>
    </w:p>
    <w:tbl>
      <w:tblPr>
        <w:tblStyle w:val="28"/>
        <w:tblW w:w="89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75"/>
        <w:gridCol w:w="944"/>
        <w:gridCol w:w="709"/>
        <w:gridCol w:w="1843"/>
        <w:gridCol w:w="2326"/>
        <w:gridCol w:w="55"/>
        <w:gridCol w:w="1163"/>
      </w:tblGrid>
      <w:tr>
        <w:tblPrEx>
          <w:tblLayout w:type="fixed"/>
          <w:tblCellMar>
            <w:top w:w="0" w:type="dxa"/>
            <w:left w:w="108" w:type="dxa"/>
            <w:bottom w:w="0" w:type="dxa"/>
            <w:right w:w="108" w:type="dxa"/>
          </w:tblCellMar>
        </w:tblPrEx>
        <w:trPr>
          <w:cantSplit/>
          <w:trHeight w:val="707" w:hRule="atLeast"/>
        </w:trPr>
        <w:tc>
          <w:tcPr>
            <w:tcW w:w="61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1275"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监理岗位</w:t>
            </w:r>
          </w:p>
        </w:tc>
        <w:tc>
          <w:tcPr>
            <w:tcW w:w="944" w:type="dxa"/>
            <w:tcMar>
              <w:left w:w="0" w:type="dxa"/>
              <w:right w:w="0" w:type="dxa"/>
            </w:tcMar>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职称</w:t>
            </w:r>
            <w:r>
              <w:rPr>
                <w:rFonts w:asciiTheme="minorEastAsia" w:hAnsiTheme="minorEastAsia" w:eastAsiaTheme="minorEastAsia"/>
                <w:b/>
                <w:szCs w:val="21"/>
              </w:rPr>
              <w:t>专业</w:t>
            </w:r>
          </w:p>
        </w:tc>
        <w:tc>
          <w:tcPr>
            <w:tcW w:w="709"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职称</w:t>
            </w:r>
            <w:r>
              <w:rPr>
                <w:rFonts w:hint="eastAsia" w:asciiTheme="minorEastAsia" w:hAnsiTheme="minorEastAsia" w:eastAsiaTheme="minorEastAsia"/>
                <w:b/>
                <w:szCs w:val="21"/>
              </w:rPr>
              <w:t>级别</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资格</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经验</w:t>
            </w:r>
          </w:p>
        </w:tc>
        <w:tc>
          <w:tcPr>
            <w:tcW w:w="1163" w:type="dxa"/>
            <w:tcMar>
              <w:left w:w="0" w:type="dxa"/>
              <w:right w:w="0" w:type="dxa"/>
            </w:tcMar>
            <w:vAlign w:val="center"/>
          </w:tcPr>
          <w:p>
            <w:pPr>
              <w:spacing w:line="276" w:lineRule="auto"/>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人</w:t>
            </w:r>
            <w:r>
              <w:rPr>
                <w:rFonts w:asciiTheme="minorEastAsia" w:hAnsiTheme="minorEastAsia" w:eastAsiaTheme="minorEastAsia"/>
                <w:b/>
                <w:szCs w:val="21"/>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总监理工程师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高级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注册监理工程师</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至少</w:t>
            </w:r>
            <w:r>
              <w:rPr>
                <w:rFonts w:asciiTheme="minorEastAsia" w:hAnsiTheme="minorEastAsia" w:eastAsiaTheme="minorEastAsia"/>
                <w:szCs w:val="21"/>
              </w:rPr>
              <w:t>担任过一项类似项目总监理工程师职务</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总监理工程师代表</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szCs w:val="21"/>
              </w:rPr>
              <w:t>注册监理工程师</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担任过一项类似项目总监理工程师</w:t>
            </w:r>
            <w:r>
              <w:rPr>
                <w:rFonts w:hint="eastAsia" w:asciiTheme="minorEastAsia" w:hAnsiTheme="minorEastAsia" w:eastAsiaTheme="minorEastAsia"/>
                <w:szCs w:val="21"/>
              </w:rPr>
              <w:t>代表或总监理工程师</w:t>
            </w:r>
            <w:r>
              <w:rPr>
                <w:rFonts w:asciiTheme="minorEastAsia" w:hAnsiTheme="minorEastAsia" w:eastAsiaTheme="minorEastAsia"/>
                <w:szCs w:val="21"/>
              </w:rPr>
              <w:t>职务</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8931" w:type="dxa"/>
            <w:gridSpan w:val="8"/>
            <w:tcMar>
              <w:left w:w="0" w:type="dxa"/>
              <w:right w:w="0" w:type="dxa"/>
            </w:tcMar>
            <w:vAlign w:val="center"/>
          </w:tcPr>
          <w:p>
            <w:pPr>
              <w:spacing w:line="276" w:lineRule="auto"/>
              <w:ind w:firstLine="15"/>
              <w:jc w:val="center"/>
              <w:rPr>
                <w:rFonts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bCs/>
                <w:kern w:val="0"/>
                <w:szCs w:val="21"/>
              </w:rPr>
              <w:t>专业监理工程师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616"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1275"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监理岗位</w:t>
            </w:r>
          </w:p>
        </w:tc>
        <w:tc>
          <w:tcPr>
            <w:tcW w:w="944" w:type="dxa"/>
            <w:tcMar>
              <w:left w:w="0" w:type="dxa"/>
              <w:right w:w="0" w:type="dxa"/>
            </w:tcMar>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职称</w:t>
            </w:r>
            <w:r>
              <w:rPr>
                <w:rFonts w:asciiTheme="minorEastAsia" w:hAnsiTheme="minorEastAsia" w:eastAsiaTheme="minorEastAsia"/>
                <w:b/>
                <w:szCs w:val="21"/>
              </w:rPr>
              <w:t>专业</w:t>
            </w:r>
          </w:p>
        </w:tc>
        <w:tc>
          <w:tcPr>
            <w:tcW w:w="709"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职称</w:t>
            </w:r>
            <w:r>
              <w:rPr>
                <w:rFonts w:hint="eastAsia" w:asciiTheme="minorEastAsia" w:hAnsiTheme="minorEastAsia" w:eastAsiaTheme="minorEastAsia"/>
                <w:b/>
                <w:szCs w:val="21"/>
              </w:rPr>
              <w:t>级别</w:t>
            </w:r>
          </w:p>
        </w:tc>
        <w:tc>
          <w:tcPr>
            <w:tcW w:w="1843"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资格</w:t>
            </w:r>
          </w:p>
        </w:tc>
        <w:tc>
          <w:tcPr>
            <w:tcW w:w="2381" w:type="dxa"/>
            <w:gridSpan w:val="2"/>
            <w:tcMar>
              <w:left w:w="0" w:type="dxa"/>
              <w:right w:w="0" w:type="dxa"/>
            </w:tcMar>
            <w:vAlign w:val="center"/>
          </w:tcPr>
          <w:p>
            <w:pPr>
              <w:spacing w:line="276" w:lineRule="auto"/>
              <w:ind w:firstLine="422"/>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经验</w:t>
            </w:r>
          </w:p>
        </w:tc>
        <w:tc>
          <w:tcPr>
            <w:tcW w:w="1163" w:type="dxa"/>
            <w:tcMar>
              <w:left w:w="0" w:type="dxa"/>
              <w:right w:w="0" w:type="dxa"/>
            </w:tcMar>
            <w:vAlign w:val="center"/>
          </w:tcPr>
          <w:p>
            <w:pPr>
              <w:spacing w:line="276" w:lineRule="auto"/>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人</w:t>
            </w:r>
            <w:r>
              <w:rPr>
                <w:rFonts w:asciiTheme="minorEastAsia" w:hAnsiTheme="minorEastAsia" w:eastAsiaTheme="minorEastAsia"/>
                <w:b/>
                <w:szCs w:val="21"/>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安全总监</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中级及以上</w:t>
            </w:r>
          </w:p>
        </w:tc>
        <w:tc>
          <w:tcPr>
            <w:tcW w:w="184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注册监理工程师</w:t>
            </w:r>
            <w:r>
              <w:rPr>
                <w:rFonts w:hint="eastAsia" w:asciiTheme="minorEastAsia" w:hAnsiTheme="minorEastAsia" w:eastAsiaTheme="minorEastAsia"/>
                <w:szCs w:val="21"/>
              </w:rPr>
              <w:t>或注册安全工程师</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合约计量工程师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系列或</w:t>
            </w:r>
            <w:r>
              <w:rPr>
                <w:rFonts w:asciiTheme="minorEastAsia" w:hAnsiTheme="minorEastAsia" w:eastAsiaTheme="minorEastAsia"/>
                <w:szCs w:val="21"/>
              </w:rPr>
              <w:t>经济专业</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中级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注册造价工程师</w:t>
            </w:r>
            <w:r>
              <w:rPr>
                <w:rFonts w:hint="eastAsia" w:asciiTheme="minorEastAsia" w:hAnsiTheme="minorEastAsia" w:eastAsiaTheme="minorEastAsia"/>
                <w:szCs w:val="21"/>
              </w:rPr>
              <w:t>证书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试验检测工程师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测量工程师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土建专业监理工程师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桥梁专业监理工程</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隧道专业监理工程</w:t>
            </w:r>
          </w:p>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（仅第一标段需配置此岗位，第二标段不需配置）</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站场专业监理工程</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275"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轨道专业监理工程师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275" w:type="dxa"/>
            <w:tcMar>
              <w:left w:w="0" w:type="dxa"/>
              <w:right w:w="0" w:type="dxa"/>
            </w:tcMar>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机电专业监理工程师</w:t>
            </w:r>
          </w:p>
        </w:tc>
        <w:tc>
          <w:tcPr>
            <w:tcW w:w="944" w:type="dxa"/>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工程</w:t>
            </w:r>
            <w:r>
              <w:rPr>
                <w:rFonts w:hint="eastAsia" w:asciiTheme="minorEastAsia" w:hAnsiTheme="minorEastAsia" w:eastAsiaTheme="minorEastAsia"/>
                <w:szCs w:val="21"/>
              </w:rPr>
              <w:t>系列</w:t>
            </w:r>
          </w:p>
        </w:tc>
        <w:tc>
          <w:tcPr>
            <w:tcW w:w="709"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中</w:t>
            </w:r>
            <w:r>
              <w:rPr>
                <w:rFonts w:asciiTheme="minorEastAsia" w:hAnsiTheme="minorEastAsia" w:eastAsiaTheme="minorEastAsia"/>
                <w:szCs w:val="21"/>
              </w:rPr>
              <w:t>级</w:t>
            </w:r>
            <w:r>
              <w:rPr>
                <w:rFonts w:hint="eastAsia" w:asciiTheme="minorEastAsia" w:hAnsiTheme="minorEastAsia" w:eastAsiaTheme="minorEastAsia"/>
                <w:szCs w:val="21"/>
              </w:rPr>
              <w:t>及以上</w:t>
            </w:r>
          </w:p>
        </w:tc>
        <w:tc>
          <w:tcPr>
            <w:tcW w:w="1843" w:type="dxa"/>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行政主管部门或相关行业协会颁发的</w:t>
            </w:r>
            <w:r>
              <w:rPr>
                <w:rFonts w:asciiTheme="minorEastAsia" w:hAnsiTheme="minorEastAsia" w:eastAsiaTheme="minorEastAsia"/>
                <w:szCs w:val="21"/>
              </w:rPr>
              <w:t>监理培训</w:t>
            </w:r>
            <w:r>
              <w:rPr>
                <w:rFonts w:hint="eastAsia" w:asciiTheme="minorEastAsia" w:hAnsiTheme="minorEastAsia" w:eastAsiaTheme="minorEastAsia"/>
                <w:szCs w:val="21"/>
              </w:rPr>
              <w:t>相关</w:t>
            </w:r>
            <w:r>
              <w:rPr>
                <w:rFonts w:asciiTheme="minorEastAsia" w:hAnsiTheme="minorEastAsia" w:eastAsiaTheme="minorEastAsia"/>
                <w:szCs w:val="21"/>
              </w:rPr>
              <w:t>证</w:t>
            </w:r>
            <w:r>
              <w:rPr>
                <w:rFonts w:hint="eastAsia" w:asciiTheme="minorEastAsia" w:hAnsiTheme="minorEastAsia" w:eastAsiaTheme="minorEastAsia"/>
                <w:szCs w:val="21"/>
              </w:rPr>
              <w:t>书</w:t>
            </w:r>
          </w:p>
        </w:tc>
        <w:tc>
          <w:tcPr>
            <w:tcW w:w="2381"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具有类似项目相关工作</w:t>
            </w:r>
            <w:r>
              <w:rPr>
                <w:rFonts w:asciiTheme="minorEastAsia" w:hAnsiTheme="minorEastAsia" w:eastAsiaTheme="minorEastAsia"/>
                <w:szCs w:val="21"/>
              </w:rPr>
              <w:t>经验</w:t>
            </w:r>
          </w:p>
        </w:tc>
        <w:tc>
          <w:tcPr>
            <w:tcW w:w="1163" w:type="dxa"/>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3人（水、暖通、电气各一人）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8931" w:type="dxa"/>
            <w:gridSpan w:val="8"/>
            <w:tcMar>
              <w:left w:w="0" w:type="dxa"/>
              <w:right w:w="0" w:type="dxa"/>
            </w:tcMar>
            <w:vAlign w:val="center"/>
          </w:tcPr>
          <w:p>
            <w:pPr>
              <w:spacing w:line="276" w:lineRule="auto"/>
              <w:ind w:firstLine="420"/>
              <w:jc w:val="center"/>
              <w:rPr>
                <w:rFonts w:asciiTheme="minorEastAsia" w:hAnsiTheme="minorEastAsia" w:eastAsiaTheme="minorEastAsia"/>
                <w:szCs w:val="21"/>
              </w:rPr>
            </w:pPr>
            <w:r>
              <w:rPr>
                <w:rFonts w:hint="eastAsia" w:asciiTheme="minorEastAsia" w:hAnsiTheme="minorEastAsia" w:eastAsiaTheme="minorEastAsia"/>
                <w:szCs w:val="21"/>
              </w:rPr>
              <w:t>四、其他专业监理工程师及人员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616" w:type="dxa"/>
            <w:tcMar>
              <w:left w:w="0" w:type="dxa"/>
              <w:right w:w="0" w:type="dxa"/>
            </w:tcMar>
            <w:vAlign w:val="center"/>
          </w:tcPr>
          <w:p>
            <w:pPr>
              <w:spacing w:line="276" w:lineRule="auto"/>
              <w:rPr>
                <w:rFonts w:asciiTheme="minorEastAsia" w:hAnsiTheme="minorEastAsia" w:eastAsiaTheme="minorEastAsia"/>
                <w:b/>
                <w:szCs w:val="21"/>
              </w:rPr>
            </w:pPr>
            <w:r>
              <w:rPr>
                <w:rFonts w:asciiTheme="minorEastAsia" w:hAnsiTheme="minorEastAsia" w:eastAsiaTheme="minorEastAsia"/>
                <w:b/>
                <w:szCs w:val="21"/>
              </w:rPr>
              <w:t>序号</w:t>
            </w:r>
          </w:p>
        </w:tc>
        <w:tc>
          <w:tcPr>
            <w:tcW w:w="1275" w:type="dxa"/>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监理岗位</w:t>
            </w:r>
          </w:p>
        </w:tc>
        <w:tc>
          <w:tcPr>
            <w:tcW w:w="5822" w:type="dxa"/>
            <w:gridSpan w:val="4"/>
            <w:tcMar>
              <w:left w:w="0" w:type="dxa"/>
              <w:right w:w="0" w:type="dxa"/>
            </w:tcMar>
            <w:vAlign w:val="center"/>
          </w:tcPr>
          <w:p>
            <w:pPr>
              <w:spacing w:line="276"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要求</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岗位</w:t>
            </w:r>
            <w:r>
              <w:rPr>
                <w:rFonts w:hint="eastAsia" w:asciiTheme="minorEastAsia" w:hAnsiTheme="minorEastAsia" w:eastAsiaTheme="minorEastAsia"/>
                <w:b/>
                <w:szCs w:val="21"/>
              </w:rPr>
              <w:t>人</w:t>
            </w:r>
            <w:r>
              <w:rPr>
                <w:rFonts w:asciiTheme="minorEastAsia" w:hAnsiTheme="minorEastAsia" w:eastAsiaTheme="minorEastAsia"/>
                <w:b/>
                <w:szCs w:val="21"/>
              </w:rPr>
              <w:t>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5"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环境监理工程师</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工程系列中级及以上职称，并具有相关岗位工作经验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安全工程师</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工程系列中级及以上职称，并具有相关岗位工作经验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土建工程师</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工程系列中级及以上职称，并具有相关岗位工作经验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8人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机电工程师</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工程系列中级及以上职称，并具有相关岗位工作经验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见证取样员</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工程系列初级及以上职称，并具有相关岗位工作经验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4人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现场监理</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工程系列初级及以上职称，并具有相关岗位工作经验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616" w:type="dxa"/>
            <w:shd w:val="clear" w:color="auto" w:fill="auto"/>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5" w:type="dxa"/>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资料管理员</w:t>
            </w:r>
          </w:p>
        </w:tc>
        <w:tc>
          <w:tcPr>
            <w:tcW w:w="5822" w:type="dxa"/>
            <w:gridSpan w:val="4"/>
            <w:shd w:val="clear" w:color="auto" w:fill="auto"/>
            <w:tcMar>
              <w:left w:w="0" w:type="dxa"/>
              <w:right w:w="0" w:type="dxa"/>
            </w:tcMar>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工程系列初级及以上职称，并具有相关岗位工作经验</w:t>
            </w:r>
          </w:p>
        </w:tc>
        <w:tc>
          <w:tcPr>
            <w:tcW w:w="1218" w:type="dxa"/>
            <w:gridSpan w:val="2"/>
            <w:tcMar>
              <w:left w:w="0" w:type="dxa"/>
              <w:right w:w="0" w:type="dxa"/>
            </w:tcMar>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2人</w:t>
            </w:r>
          </w:p>
        </w:tc>
      </w:tr>
    </w:tbl>
    <w:p>
      <w:pPr>
        <w:ind w:firstLine="420"/>
      </w:pPr>
      <w:r>
        <w:rPr>
          <w:rFonts w:hint="eastAsia" w:ascii="宋体" w:hAnsi="宋体"/>
          <w:szCs w:val="21"/>
        </w:rPr>
        <w:t>注：</w:t>
      </w:r>
    </w:p>
    <w:p>
      <w:pPr>
        <w:ind w:firstLine="422" w:firstLineChars="200"/>
        <w:rPr>
          <w:rFonts w:ascii="宋体" w:hAnsi="宋体"/>
          <w:b/>
          <w:bCs/>
          <w:szCs w:val="21"/>
        </w:rPr>
      </w:pPr>
      <w:r>
        <w:rPr>
          <w:rFonts w:hint="eastAsia" w:ascii="宋体" w:hAnsi="宋体"/>
          <w:b/>
          <w:bCs/>
          <w:szCs w:val="21"/>
        </w:rPr>
        <w:t>1.表格中要求的“一：总监理工程师、二：总监理工程师代表、</w:t>
      </w:r>
      <w:r>
        <w:rPr>
          <w:rFonts w:hint="eastAsia" w:asciiTheme="minorEastAsia" w:hAnsiTheme="minorEastAsia" w:eastAsiaTheme="minorEastAsia"/>
          <w:b/>
          <w:bCs/>
          <w:szCs w:val="21"/>
        </w:rPr>
        <w:t>三：</w:t>
      </w:r>
      <w:r>
        <w:rPr>
          <w:rFonts w:asciiTheme="minorEastAsia" w:hAnsiTheme="minorEastAsia" w:eastAsiaTheme="minorEastAsia"/>
          <w:b/>
          <w:bCs/>
          <w:kern w:val="0"/>
          <w:szCs w:val="21"/>
        </w:rPr>
        <w:t>专业监理工程师</w:t>
      </w:r>
      <w:r>
        <w:rPr>
          <w:rFonts w:hint="eastAsia" w:asciiTheme="minorEastAsia" w:hAnsiTheme="minorEastAsia" w:eastAsiaTheme="minorEastAsia"/>
          <w:b/>
          <w:bCs/>
          <w:kern w:val="0"/>
          <w:szCs w:val="21"/>
        </w:rPr>
        <w:t>”在开标时提交原件进行审查打分；</w:t>
      </w:r>
    </w:p>
    <w:p>
      <w:pPr>
        <w:ind w:firstLine="420" w:firstLineChars="200"/>
        <w:rPr>
          <w:rFonts w:ascii="宋体" w:hAnsi="宋体"/>
          <w:szCs w:val="21"/>
        </w:rPr>
      </w:pPr>
      <w:r>
        <w:rPr>
          <w:rFonts w:hint="eastAsia" w:ascii="宋体" w:hAnsi="宋体"/>
          <w:szCs w:val="21"/>
        </w:rPr>
        <w:t>2.施工高峰阶段，以上人员数量不能满足现场实际需要的，监理人应按照委托人要求无条件增加监理人员；</w:t>
      </w:r>
    </w:p>
    <w:p>
      <w:pPr>
        <w:ind w:firstLine="420" w:firstLineChars="200"/>
        <w:rPr>
          <w:rFonts w:ascii="宋体" w:hAnsi="宋体"/>
          <w:szCs w:val="21"/>
        </w:rPr>
      </w:pPr>
      <w:r>
        <w:rPr>
          <w:rFonts w:hint="eastAsia" w:ascii="宋体" w:hAnsi="宋体"/>
          <w:szCs w:val="21"/>
        </w:rPr>
        <w:t>3.投标人无需在投标文件中填写“四、其他专业监理工程师及人员”中人员信息，但需提供配置表；合同签订前，投标人须按本表要求配置“其他专业监理工程师及人员”中人员，且人员须经招标人同意。</w:t>
      </w:r>
    </w:p>
    <w:p/>
    <w:p/>
    <w:p/>
    <w:p/>
    <w:p/>
    <w:p/>
    <w:p/>
    <w:p/>
    <w:p/>
    <w:p/>
    <w:p/>
    <w:p/>
    <w:p/>
    <w:p/>
    <w:p/>
    <w:p/>
    <w:p>
      <w:pPr>
        <w:pStyle w:val="2"/>
      </w:pPr>
      <w:bookmarkStart w:id="730" w:name="_Toc9714"/>
      <w:bookmarkStart w:id="731" w:name="_Toc498503000"/>
      <w:r>
        <w:t>附表</w:t>
      </w:r>
      <w:r>
        <w:rPr>
          <w:rFonts w:hint="eastAsia"/>
        </w:rPr>
        <w:t>3：</w:t>
      </w:r>
      <w:r>
        <w:t>拟投入监理工作条件要求</w:t>
      </w:r>
      <w:bookmarkEnd w:id="730"/>
      <w:bookmarkEnd w:id="731"/>
    </w:p>
    <w:p>
      <w:pPr>
        <w:adjustRightInd w:val="0"/>
        <w:snapToGrid w:val="0"/>
        <w:spacing w:line="400" w:lineRule="exact"/>
        <w:ind w:firstLine="424" w:firstLineChars="202"/>
        <w:rPr>
          <w:szCs w:val="21"/>
        </w:rPr>
      </w:pPr>
      <w:r>
        <w:rPr>
          <w:szCs w:val="21"/>
        </w:rPr>
        <w:t>1</w:t>
      </w:r>
      <w:r>
        <w:rPr>
          <w:rFonts w:hAnsi="宋体"/>
          <w:szCs w:val="21"/>
        </w:rPr>
        <w:t>、交通工具：汽车</w:t>
      </w:r>
      <w:r>
        <w:rPr>
          <w:rFonts w:hint="eastAsia"/>
          <w:szCs w:val="21"/>
        </w:rPr>
        <w:t>至少5</w:t>
      </w:r>
      <w:r>
        <w:rPr>
          <w:rFonts w:hAnsi="宋体"/>
          <w:szCs w:val="21"/>
        </w:rPr>
        <w:t>辆，车辆须满足在项目实施期间正常使用的要求。</w:t>
      </w:r>
    </w:p>
    <w:p>
      <w:pPr>
        <w:adjustRightInd w:val="0"/>
        <w:snapToGrid w:val="0"/>
        <w:spacing w:line="400" w:lineRule="exact"/>
        <w:ind w:firstLine="424" w:firstLineChars="202"/>
        <w:rPr>
          <w:szCs w:val="21"/>
        </w:rPr>
      </w:pPr>
      <w:r>
        <w:rPr>
          <w:szCs w:val="21"/>
        </w:rPr>
        <w:t>2、办公设备：计算机 P4 配置或以上，具备宽带上网条件每人 1 台，传真机 1 台，激光或喷墨打印机 2 台（其中一台可打印 A3 幅面），复印机 1 台，数码照相机 2 台</w:t>
      </w:r>
      <w:r>
        <w:rPr>
          <w:rFonts w:hint="eastAsia"/>
          <w:szCs w:val="21"/>
        </w:rPr>
        <w:t>。</w:t>
      </w:r>
    </w:p>
    <w:p>
      <w:pPr>
        <w:adjustRightInd w:val="0"/>
        <w:snapToGrid w:val="0"/>
        <w:spacing w:line="400" w:lineRule="exact"/>
        <w:ind w:firstLine="424" w:firstLineChars="202"/>
        <w:rPr>
          <w:szCs w:val="21"/>
        </w:rPr>
      </w:pPr>
      <w:r>
        <w:rPr>
          <w:szCs w:val="21"/>
        </w:rPr>
        <w:t>3、通讯设施：办公电话</w:t>
      </w:r>
      <w:r>
        <w:rPr>
          <w:rFonts w:hint="eastAsia"/>
          <w:szCs w:val="21"/>
        </w:rPr>
        <w:t>5</w:t>
      </w:r>
      <w:r>
        <w:rPr>
          <w:szCs w:val="21"/>
        </w:rPr>
        <w:t>部，投入人员每人需配备手机 1 部，现场监理须配备对讲机。</w:t>
      </w:r>
    </w:p>
    <w:p>
      <w:pPr>
        <w:adjustRightInd w:val="0"/>
        <w:snapToGrid w:val="0"/>
        <w:spacing w:line="400" w:lineRule="exact"/>
        <w:ind w:firstLine="424" w:firstLineChars="202"/>
        <w:rPr>
          <w:szCs w:val="21"/>
        </w:rPr>
      </w:pPr>
      <w:r>
        <w:rPr>
          <w:szCs w:val="21"/>
        </w:rPr>
        <w:t>4、工作依据和工具：有关质量检验评定标准、施工技术规范和试验检测规程 1 套；有关建设监理的法律法规和规范性文件 1 套；监理人员每人配备 5 米卷尺一个，靠尺（2M）一个，焊缝检测尺一套，每人配备一套相关施工技术规范、质量检验评定标准、标准图集等工作依据和计算器等工具，每人配备一个工具包，包括质量检验评定标准 1 套、笔记本 1 个、笔 1 支、计算器一个等；其它日常检测必备仪器见附表。</w:t>
      </w:r>
    </w:p>
    <w:p>
      <w:pPr>
        <w:adjustRightInd w:val="0"/>
        <w:snapToGrid w:val="0"/>
        <w:ind w:firstLine="420"/>
        <w:rPr>
          <w:rFonts w:hAnsi="宋体"/>
          <w:szCs w:val="21"/>
        </w:rPr>
      </w:pPr>
      <w:r>
        <w:rPr>
          <w:szCs w:val="21"/>
        </w:rPr>
        <w:t>5</w:t>
      </w:r>
      <w:r>
        <w:rPr>
          <w:rFonts w:hAnsi="宋体"/>
          <w:szCs w:val="21"/>
        </w:rPr>
        <w:t>、其他必要的辅助人员、工作设备、设施或工具。</w:t>
      </w:r>
    </w:p>
    <w:p>
      <w:pPr>
        <w:adjustRightInd w:val="0"/>
        <w:snapToGrid w:val="0"/>
        <w:ind w:firstLine="422"/>
        <w:rPr>
          <w:b/>
          <w:szCs w:val="21"/>
        </w:rPr>
      </w:pPr>
      <w:r>
        <w:rPr>
          <w:rFonts w:hint="eastAsia"/>
          <w:b/>
          <w:szCs w:val="21"/>
        </w:rPr>
        <w:t>附表：</w:t>
      </w:r>
    </w:p>
    <w:tbl>
      <w:tblPr>
        <w:tblStyle w:val="28"/>
        <w:tblW w:w="77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3617"/>
        <w:gridCol w:w="1641"/>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序号</w:t>
            </w:r>
          </w:p>
        </w:tc>
        <w:tc>
          <w:tcPr>
            <w:tcW w:w="3617" w:type="dxa"/>
            <w:vAlign w:val="center"/>
          </w:tcPr>
          <w:p>
            <w:pPr>
              <w:ind w:leftChars="-38" w:hanging="79" w:hangingChars="38"/>
              <w:jc w:val="center"/>
              <w:rPr>
                <w:rFonts w:ascii="宋体" w:hAnsi="宋体" w:cs="宋体"/>
                <w:bCs/>
                <w:szCs w:val="21"/>
              </w:rPr>
            </w:pPr>
            <w:r>
              <w:rPr>
                <w:rFonts w:hint="eastAsia" w:ascii="宋体" w:hAnsi="宋体" w:cs="宋体"/>
                <w:bCs/>
                <w:szCs w:val="21"/>
              </w:rPr>
              <w:t>设备名称</w:t>
            </w:r>
          </w:p>
        </w:tc>
        <w:tc>
          <w:tcPr>
            <w:tcW w:w="1641" w:type="dxa"/>
            <w:vAlign w:val="center"/>
          </w:tcPr>
          <w:p>
            <w:pPr>
              <w:jc w:val="center"/>
              <w:rPr>
                <w:rFonts w:ascii="宋体" w:hAnsi="宋体" w:cs="宋体"/>
                <w:bCs/>
                <w:szCs w:val="21"/>
              </w:rPr>
            </w:pPr>
            <w:r>
              <w:rPr>
                <w:rFonts w:hint="eastAsia" w:ascii="宋体" w:hAnsi="宋体" w:cs="宋体"/>
                <w:bCs/>
                <w:szCs w:val="21"/>
              </w:rPr>
              <w:t>数量</w:t>
            </w:r>
          </w:p>
        </w:tc>
        <w:tc>
          <w:tcPr>
            <w:tcW w:w="1404" w:type="dxa"/>
            <w:vAlign w:val="center"/>
          </w:tcPr>
          <w:p>
            <w:pPr>
              <w:ind w:firstLine="4" w:firstLineChars="2"/>
              <w:jc w:val="center"/>
              <w:rPr>
                <w:rFonts w:ascii="宋体" w:hAnsi="宋体" w:cs="宋体"/>
                <w:bCs/>
                <w:szCs w:val="21"/>
              </w:rPr>
            </w:pPr>
            <w:r>
              <w:rPr>
                <w:rFonts w:hint="eastAsia" w:ascii="宋体" w:hAnsi="宋体" w:cs="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混凝土回弹仪</w:t>
            </w:r>
          </w:p>
        </w:tc>
        <w:tc>
          <w:tcPr>
            <w:tcW w:w="1641" w:type="dxa"/>
            <w:vAlign w:val="center"/>
          </w:tcPr>
          <w:p>
            <w:pPr>
              <w:jc w:val="center"/>
              <w:rPr>
                <w:rFonts w:ascii="宋体" w:hAnsi="宋体" w:cs="宋体"/>
                <w:bCs/>
                <w:szCs w:val="21"/>
              </w:rPr>
            </w:pPr>
            <w:r>
              <w:rPr>
                <w:rFonts w:hint="eastAsia" w:ascii="宋体" w:hAnsi="宋体" w:cs="宋体"/>
                <w:bCs/>
                <w:szCs w:val="21"/>
              </w:rPr>
              <w:t>5</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游标卡尺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扭力扳手</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水平尺</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经纬仪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水准仪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全站仪</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扫描仪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万用表</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漏电断路器测试仪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接地电阻检测仪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数码相位测试仪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绝缘电阻测试仪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金属结构及焊缝质量检测仪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钢管壁厚超声波检测仪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数显超声波测厚仪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钢筋保护层测试仪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灌砂仪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19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核子密度仪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噪声频谱分析仪</w:t>
            </w:r>
          </w:p>
        </w:tc>
        <w:tc>
          <w:tcPr>
            <w:tcW w:w="1641" w:type="dxa"/>
            <w:vAlign w:val="center"/>
          </w:tcPr>
          <w:p>
            <w:pPr>
              <w:jc w:val="center"/>
              <w:rPr>
                <w:rFonts w:ascii="宋体" w:hAnsi="宋体" w:cs="宋体"/>
                <w:bCs/>
                <w:szCs w:val="21"/>
              </w:rPr>
            </w:pPr>
            <w:r>
              <w:rPr>
                <w:rFonts w:hint="eastAsia" w:ascii="宋体" w:hAnsi="宋体" w:cs="宋体"/>
                <w:bCs/>
                <w:szCs w:val="21"/>
              </w:rPr>
              <w:t>2</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内径千分尺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外径千分尺</w:t>
            </w:r>
          </w:p>
        </w:tc>
        <w:tc>
          <w:tcPr>
            <w:tcW w:w="1641" w:type="dxa"/>
            <w:vAlign w:val="center"/>
          </w:tcPr>
          <w:p>
            <w:pPr>
              <w:jc w:val="center"/>
              <w:rPr>
                <w:rFonts w:ascii="宋体" w:hAnsi="宋体" w:cs="宋体"/>
                <w:bCs/>
                <w:szCs w:val="21"/>
              </w:rPr>
            </w:pPr>
            <w:r>
              <w:rPr>
                <w:rFonts w:hint="eastAsia" w:ascii="宋体" w:hAnsi="宋体" w:cs="宋体"/>
                <w:bCs/>
                <w:szCs w:val="21"/>
              </w:rPr>
              <w:t>3</w:t>
            </w:r>
          </w:p>
        </w:tc>
        <w:tc>
          <w:tcPr>
            <w:tcW w:w="1404" w:type="dxa"/>
            <w:vAlign w:val="center"/>
          </w:tcPr>
          <w:p>
            <w:pPr>
              <w:ind w:firstLine="4" w:firstLineChars="2"/>
              <w:jc w:val="center"/>
              <w:rPr>
                <w:rFonts w:ascii="宋体" w:hAnsi="宋体" w:cs="宋体"/>
                <w:bCs/>
                <w:szCs w:val="21"/>
              </w:rPr>
            </w:pPr>
          </w:p>
        </w:tc>
      </w:tr>
      <w:tr>
        <w:tblPrEx>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塞尺</w:t>
            </w:r>
          </w:p>
        </w:tc>
        <w:tc>
          <w:tcPr>
            <w:tcW w:w="1641" w:type="dxa"/>
            <w:vAlign w:val="center"/>
          </w:tcPr>
          <w:p>
            <w:pPr>
              <w:jc w:val="center"/>
              <w:rPr>
                <w:rFonts w:ascii="宋体" w:hAnsi="宋体" w:cs="宋体"/>
                <w:bCs/>
                <w:szCs w:val="21"/>
              </w:rPr>
            </w:pPr>
            <w:r>
              <w:rPr>
                <w:rFonts w:hint="eastAsia" w:ascii="宋体" w:hAnsi="宋体" w:cs="宋体"/>
                <w:bCs/>
                <w:szCs w:val="21"/>
              </w:rPr>
              <w:t>4</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框式水平仪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网络分析仪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气囊</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环刀</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螺纹规</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29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测速仪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30</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测振仪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31</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硬度仪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32</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多功能检测仪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33</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水灰比测定仪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34</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沥青针入度仪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35</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电动击实仪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36</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量砂测平仪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37</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弯沉仪</w:t>
            </w:r>
          </w:p>
        </w:tc>
        <w:tc>
          <w:tcPr>
            <w:tcW w:w="1641" w:type="dxa"/>
            <w:vAlign w:val="center"/>
          </w:tcPr>
          <w:p>
            <w:pPr>
              <w:jc w:val="center"/>
              <w:rPr>
                <w:rFonts w:ascii="宋体" w:hAnsi="宋体" w:cs="宋体"/>
                <w:bCs/>
                <w:szCs w:val="21"/>
              </w:rPr>
            </w:pPr>
            <w:r>
              <w:rPr>
                <w:rFonts w:hint="eastAsia" w:ascii="宋体" w:hAnsi="宋体" w:cs="宋体"/>
                <w:bCs/>
                <w:szCs w:val="21"/>
              </w:rPr>
              <w:t>1</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38</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测距仪</w:t>
            </w:r>
          </w:p>
        </w:tc>
        <w:tc>
          <w:tcPr>
            <w:tcW w:w="1641" w:type="dxa"/>
            <w:vAlign w:val="center"/>
          </w:tcPr>
          <w:p>
            <w:pPr>
              <w:jc w:val="center"/>
              <w:rPr>
                <w:rFonts w:ascii="宋体" w:hAnsi="宋体" w:cs="宋体"/>
                <w:bCs/>
                <w:szCs w:val="21"/>
              </w:rPr>
            </w:pPr>
            <w:r>
              <w:rPr>
                <w:rFonts w:hint="eastAsia" w:ascii="宋体" w:hAnsi="宋体" w:cs="宋体"/>
                <w:bCs/>
                <w:szCs w:val="21"/>
              </w:rPr>
              <w:t>5</w:t>
            </w:r>
          </w:p>
        </w:tc>
        <w:tc>
          <w:tcPr>
            <w:tcW w:w="1404" w:type="dxa"/>
            <w:vAlign w:val="center"/>
          </w:tcPr>
          <w:p>
            <w:pPr>
              <w:ind w:firstLine="4" w:firstLineChars="2"/>
              <w:jc w:val="cente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1087" w:type="dxa"/>
            <w:vAlign w:val="center"/>
          </w:tcPr>
          <w:p>
            <w:pPr>
              <w:jc w:val="center"/>
              <w:rPr>
                <w:rFonts w:ascii="宋体" w:hAnsi="宋体" w:cs="宋体"/>
                <w:bCs/>
                <w:szCs w:val="21"/>
              </w:rPr>
            </w:pPr>
            <w:r>
              <w:rPr>
                <w:rFonts w:hint="eastAsia" w:ascii="宋体" w:hAnsi="宋体" w:cs="宋体"/>
                <w:bCs/>
                <w:szCs w:val="21"/>
              </w:rPr>
              <w:t>39</w:t>
            </w:r>
          </w:p>
        </w:tc>
        <w:tc>
          <w:tcPr>
            <w:tcW w:w="3617" w:type="dxa"/>
          </w:tcPr>
          <w:p>
            <w:pPr>
              <w:ind w:leftChars="-38" w:hanging="79" w:hangingChars="38"/>
              <w:jc w:val="center"/>
              <w:rPr>
                <w:rFonts w:ascii="宋体" w:hAnsi="宋体" w:cs="宋体"/>
                <w:bCs/>
                <w:szCs w:val="21"/>
              </w:rPr>
            </w:pPr>
            <w:r>
              <w:rPr>
                <w:rFonts w:hint="eastAsia" w:ascii="宋体" w:hAnsi="宋体" w:cs="宋体"/>
                <w:bCs/>
                <w:szCs w:val="21"/>
              </w:rPr>
              <w:t>其它设备</w:t>
            </w:r>
          </w:p>
        </w:tc>
        <w:tc>
          <w:tcPr>
            <w:tcW w:w="1641" w:type="dxa"/>
            <w:vAlign w:val="center"/>
          </w:tcPr>
          <w:p>
            <w:pPr>
              <w:jc w:val="center"/>
              <w:rPr>
                <w:rFonts w:ascii="宋体" w:hAnsi="宋体" w:cs="宋体"/>
                <w:bCs/>
                <w:szCs w:val="21"/>
              </w:rPr>
            </w:pPr>
          </w:p>
        </w:tc>
        <w:tc>
          <w:tcPr>
            <w:tcW w:w="1404" w:type="dxa"/>
            <w:vAlign w:val="center"/>
          </w:tcPr>
          <w:p>
            <w:pPr>
              <w:ind w:firstLine="4" w:firstLineChars="2"/>
              <w:jc w:val="center"/>
              <w:rPr>
                <w:rFonts w:ascii="宋体" w:hAnsi="宋体" w:cs="宋体"/>
                <w:bCs/>
                <w:szCs w:val="21"/>
              </w:rPr>
            </w:pPr>
          </w:p>
        </w:tc>
      </w:tr>
    </w:tbl>
    <w:p/>
    <w:p/>
    <w:p/>
    <w:p/>
    <w:p/>
    <w:p/>
    <w:p/>
    <w:p/>
    <w:p/>
    <w:p/>
    <w:p/>
    <w:p/>
    <w:p/>
    <w:p/>
    <w:p/>
    <w:p/>
    <w:p/>
    <w:p/>
    <w:p/>
    <w:p/>
    <w:p/>
    <w:p/>
    <w:p/>
    <w:p/>
    <w:p/>
    <w:p/>
    <w:p/>
    <w:p/>
    <w:p/>
    <w:p/>
    <w:bookmarkEnd w:id="722"/>
    <w:bookmarkEnd w:id="726"/>
    <w:bookmarkEnd w:id="727"/>
    <w:p>
      <w:pPr>
        <w:pStyle w:val="2"/>
      </w:pPr>
      <w:bookmarkStart w:id="732" w:name="_Toc5832"/>
      <w:bookmarkStart w:id="733" w:name="_Toc25210"/>
      <w:bookmarkStart w:id="734" w:name="_Toc498503005"/>
      <w:r>
        <w:t>1.评标方法</w:t>
      </w:r>
      <w:bookmarkEnd w:id="732"/>
      <w:bookmarkEnd w:id="733"/>
      <w:bookmarkEnd w:id="734"/>
    </w:p>
    <w:p>
      <w:pPr>
        <w:autoSpaceDE w:val="0"/>
        <w:autoSpaceDN w:val="0"/>
        <w:adjustRightInd w:val="0"/>
        <w:spacing w:before="56" w:line="360" w:lineRule="auto"/>
        <w:ind w:right="98" w:firstLine="420"/>
        <w:jc w:val="left"/>
        <w:rPr>
          <w:rFonts w:asciiTheme="minorEastAsia" w:hAnsiTheme="minorEastAsia" w:eastAsiaTheme="minorEastAsia"/>
          <w:kern w:val="0"/>
          <w:sz w:val="24"/>
        </w:rPr>
      </w:pPr>
      <w:r>
        <w:rPr>
          <w:rFonts w:asciiTheme="minorEastAsia" w:hAnsiTheme="minorEastAsia" w:eastAsiaTheme="minorEastAsia"/>
          <w:kern w:val="0"/>
          <w:sz w:val="24"/>
        </w:rPr>
        <w:t>评标委员会对满足招标文件实质性要求的投标文件</w:t>
      </w:r>
      <w:r>
        <w:rPr>
          <w:rFonts w:asciiTheme="minorEastAsia" w:hAnsiTheme="minorEastAsia" w:eastAsiaTheme="minorEastAsia"/>
          <w:sz w:val="24"/>
        </w:rPr>
        <w:t>按公平、公正、科学、择优的原则</w:t>
      </w:r>
      <w:r>
        <w:rPr>
          <w:rFonts w:asciiTheme="minorEastAsia" w:hAnsiTheme="minorEastAsia" w:eastAsiaTheme="minorEastAsia"/>
          <w:spacing w:val="-47"/>
          <w:kern w:val="0"/>
          <w:sz w:val="24"/>
        </w:rPr>
        <w:t>，</w:t>
      </w:r>
      <w:r>
        <w:rPr>
          <w:rFonts w:asciiTheme="minorEastAsia" w:hAnsiTheme="minorEastAsia" w:eastAsiaTheme="minorEastAsia"/>
          <w:kern w:val="0"/>
          <w:sz w:val="24"/>
        </w:rPr>
        <w:t xml:space="preserve">按照本章第 </w:t>
      </w:r>
      <w:r>
        <w:rPr>
          <w:rFonts w:asciiTheme="minorEastAsia" w:hAnsiTheme="minorEastAsia" w:eastAsiaTheme="minorEastAsia"/>
          <w:spacing w:val="1"/>
          <w:kern w:val="0"/>
          <w:sz w:val="24"/>
        </w:rPr>
        <w:t>2</w:t>
      </w:r>
      <w:r>
        <w:rPr>
          <w:rFonts w:asciiTheme="minorEastAsia" w:hAnsiTheme="minorEastAsia" w:eastAsiaTheme="minorEastAsia"/>
          <w:spacing w:val="-1"/>
          <w:kern w:val="0"/>
          <w:sz w:val="24"/>
        </w:rPr>
        <w:t>.</w:t>
      </w:r>
      <w:r>
        <w:rPr>
          <w:rFonts w:asciiTheme="minorEastAsia" w:hAnsiTheme="minorEastAsia" w:eastAsiaTheme="minorEastAsia"/>
          <w:kern w:val="0"/>
          <w:sz w:val="24"/>
        </w:rPr>
        <w:t>2款</w:t>
      </w:r>
      <w:r>
        <w:rPr>
          <w:rFonts w:asciiTheme="minorEastAsia" w:hAnsiTheme="minorEastAsia" w:eastAsiaTheme="minorEastAsia"/>
          <w:spacing w:val="-1"/>
          <w:kern w:val="0"/>
          <w:sz w:val="24"/>
        </w:rPr>
        <w:t>规</w:t>
      </w:r>
      <w:r>
        <w:rPr>
          <w:rFonts w:asciiTheme="minorEastAsia" w:hAnsiTheme="minorEastAsia" w:eastAsiaTheme="minorEastAsia"/>
          <w:kern w:val="0"/>
          <w:sz w:val="24"/>
        </w:rPr>
        <w:t>定的评分标准进行打分</w:t>
      </w:r>
      <w:r>
        <w:rPr>
          <w:rFonts w:asciiTheme="minorEastAsia" w:hAnsiTheme="minorEastAsia" w:eastAsiaTheme="minorEastAsia"/>
          <w:spacing w:val="-20"/>
          <w:kern w:val="0"/>
          <w:sz w:val="24"/>
        </w:rPr>
        <w:t>，</w:t>
      </w:r>
      <w:r>
        <w:rPr>
          <w:rFonts w:asciiTheme="minorEastAsia" w:hAnsiTheme="minorEastAsia" w:eastAsiaTheme="minorEastAsia"/>
          <w:kern w:val="0"/>
          <w:sz w:val="24"/>
        </w:rPr>
        <w:t>并按得分由高到低顺序推荐中标候选人</w:t>
      </w:r>
      <w:r>
        <w:rPr>
          <w:rFonts w:asciiTheme="minorEastAsia" w:hAnsiTheme="minorEastAsia" w:eastAsiaTheme="minorEastAsia"/>
          <w:spacing w:val="-31"/>
          <w:kern w:val="0"/>
          <w:sz w:val="24"/>
        </w:rPr>
        <w:t>，</w:t>
      </w:r>
      <w:r>
        <w:rPr>
          <w:rFonts w:asciiTheme="minorEastAsia" w:hAnsiTheme="minorEastAsia" w:eastAsiaTheme="minorEastAsia"/>
          <w:kern w:val="0"/>
          <w:sz w:val="24"/>
        </w:rPr>
        <w:t>但投标报价低于其成本的除外</w:t>
      </w:r>
      <w:r>
        <w:rPr>
          <w:rFonts w:asciiTheme="minorEastAsia" w:hAnsiTheme="minorEastAsia" w:eastAsiaTheme="minorEastAsia"/>
          <w:spacing w:val="-31"/>
          <w:kern w:val="0"/>
          <w:sz w:val="24"/>
        </w:rPr>
        <w:t>。</w:t>
      </w:r>
      <w:r>
        <w:rPr>
          <w:rFonts w:asciiTheme="minorEastAsia" w:hAnsiTheme="minorEastAsia" w:eastAsiaTheme="minorEastAsia"/>
          <w:kern w:val="0"/>
          <w:sz w:val="24"/>
        </w:rPr>
        <w:t>综合评分相等时</w:t>
      </w:r>
      <w:r>
        <w:rPr>
          <w:rFonts w:asciiTheme="minorEastAsia" w:hAnsiTheme="minorEastAsia" w:eastAsiaTheme="minorEastAsia"/>
          <w:spacing w:val="-31"/>
          <w:kern w:val="0"/>
          <w:sz w:val="24"/>
        </w:rPr>
        <w:t>，</w:t>
      </w:r>
      <w:r>
        <w:rPr>
          <w:rFonts w:asciiTheme="minorEastAsia" w:hAnsiTheme="minorEastAsia" w:eastAsiaTheme="minorEastAsia"/>
          <w:kern w:val="0"/>
          <w:sz w:val="24"/>
        </w:rPr>
        <w:t>以投标报价低的优先；投标报价也相等的，</w:t>
      </w:r>
      <w:r>
        <w:rPr>
          <w:rFonts w:asciiTheme="minorEastAsia" w:hAnsiTheme="minorEastAsia" w:eastAsiaTheme="minorEastAsia"/>
          <w:sz w:val="24"/>
        </w:rPr>
        <w:t>由评标委员会根据业绩等因素择优确定。</w:t>
      </w:r>
    </w:p>
    <w:p>
      <w:pPr>
        <w:pStyle w:val="2"/>
      </w:pPr>
      <w:bookmarkStart w:id="735" w:name="_Toc498503006"/>
      <w:bookmarkStart w:id="736" w:name="_Toc31063"/>
      <w:bookmarkStart w:id="737" w:name="_Toc10423"/>
      <w:r>
        <w:t>2.评审标准</w:t>
      </w:r>
      <w:bookmarkEnd w:id="735"/>
      <w:bookmarkEnd w:id="736"/>
      <w:bookmarkEnd w:id="737"/>
    </w:p>
    <w:p>
      <w:pPr>
        <w:pStyle w:val="4"/>
      </w:pPr>
      <w:bookmarkStart w:id="738" w:name="_Toc499204913"/>
      <w:bookmarkStart w:id="739" w:name="_Toc498503007"/>
      <w:bookmarkStart w:id="740" w:name="_Toc27388"/>
      <w:bookmarkStart w:id="741" w:name="_Toc30201"/>
      <w:bookmarkStart w:id="742" w:name="_Toc4162"/>
      <w:bookmarkStart w:id="743" w:name="_Toc23413"/>
      <w:r>
        <w:t>2.1初步评审标准</w:t>
      </w:r>
      <w:bookmarkEnd w:id="738"/>
      <w:bookmarkEnd w:id="739"/>
      <w:bookmarkEnd w:id="740"/>
      <w:bookmarkEnd w:id="741"/>
      <w:bookmarkEnd w:id="742"/>
      <w:bookmarkEnd w:id="743"/>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kern w:val="0"/>
          <w:sz w:val="24"/>
        </w:rPr>
      </w:pPr>
      <w:r>
        <w:rPr>
          <w:rFonts w:asciiTheme="minorEastAsia" w:hAnsiTheme="minorEastAsia" w:eastAsiaTheme="minorEastAsia"/>
          <w:spacing w:val="1"/>
          <w:kern w:val="0"/>
          <w:sz w:val="24"/>
        </w:rPr>
        <w:t>2</w:t>
      </w:r>
      <w:r>
        <w:rPr>
          <w:rFonts w:asciiTheme="minorEastAsia" w:hAnsiTheme="minorEastAsia" w:eastAsiaTheme="minorEastAsia"/>
          <w:kern w:val="0"/>
          <w:sz w:val="24"/>
        </w:rPr>
        <w:t>.1.1形式</w:t>
      </w:r>
      <w:r>
        <w:rPr>
          <w:rFonts w:asciiTheme="minorEastAsia" w:hAnsiTheme="minorEastAsia" w:eastAsiaTheme="minorEastAsia"/>
          <w:spacing w:val="-1"/>
          <w:kern w:val="0"/>
          <w:sz w:val="24"/>
        </w:rPr>
        <w:t>评</w:t>
      </w:r>
      <w:r>
        <w:rPr>
          <w:rFonts w:asciiTheme="minorEastAsia" w:hAnsiTheme="minorEastAsia" w:eastAsiaTheme="minorEastAsia"/>
          <w:kern w:val="0"/>
          <w:sz w:val="24"/>
        </w:rPr>
        <w:t>审标准：见评标办法前附表</w:t>
      </w:r>
      <w:r>
        <w:rPr>
          <w:rFonts w:hint="eastAsia" w:asciiTheme="minorEastAsia" w:hAnsiTheme="minorEastAsia" w:eastAsiaTheme="minorEastAsia"/>
          <w:kern w:val="0"/>
          <w:sz w:val="24"/>
        </w:rPr>
        <w:t>；</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2.1.2资格评审标准：见评标办法前附表</w:t>
      </w:r>
      <w:r>
        <w:rPr>
          <w:rFonts w:hint="eastAsia" w:asciiTheme="minorEastAsia" w:hAnsiTheme="minorEastAsia" w:eastAsiaTheme="minorEastAsia"/>
          <w:spacing w:val="1"/>
          <w:kern w:val="0"/>
          <w:sz w:val="24"/>
        </w:rPr>
        <w:t>；</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 xml:space="preserve">2.1.3 </w:t>
      </w:r>
      <w:r>
        <w:rPr>
          <w:rFonts w:hint="eastAsia" w:asciiTheme="minorEastAsia" w:hAnsiTheme="minorEastAsia" w:eastAsiaTheme="minorEastAsia"/>
          <w:spacing w:val="1"/>
          <w:kern w:val="0"/>
          <w:sz w:val="24"/>
        </w:rPr>
        <w:t>响</w:t>
      </w:r>
      <w:r>
        <w:rPr>
          <w:rFonts w:asciiTheme="minorEastAsia" w:hAnsiTheme="minorEastAsia" w:eastAsiaTheme="minorEastAsia"/>
          <w:spacing w:val="1"/>
          <w:kern w:val="0"/>
          <w:sz w:val="24"/>
        </w:rPr>
        <w:t>应性评审标准：见评标办法前附表。</w:t>
      </w:r>
    </w:p>
    <w:p>
      <w:pPr>
        <w:pStyle w:val="4"/>
      </w:pPr>
      <w:bookmarkStart w:id="744" w:name="_Toc22876"/>
      <w:bookmarkStart w:id="745" w:name="_Toc13388"/>
      <w:bookmarkStart w:id="746" w:name="_Toc12028"/>
      <w:bookmarkStart w:id="747" w:name="_Toc498503008"/>
      <w:bookmarkStart w:id="748" w:name="_Toc499204914"/>
      <w:bookmarkStart w:id="749" w:name="_Toc24970"/>
      <w:r>
        <w:t>2.2分值构成与评分标准</w:t>
      </w:r>
      <w:bookmarkEnd w:id="744"/>
      <w:bookmarkEnd w:id="745"/>
      <w:bookmarkEnd w:id="746"/>
      <w:bookmarkEnd w:id="747"/>
      <w:bookmarkEnd w:id="748"/>
      <w:bookmarkEnd w:id="749"/>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2.2.1分值构成</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asciiTheme="minorEastAsia" w:hAnsiTheme="minorEastAsia" w:eastAsiaTheme="minorEastAsia"/>
          <w:spacing w:val="1"/>
          <w:kern w:val="0"/>
          <w:sz w:val="24"/>
        </w:rPr>
        <w:t>1</w:t>
      </w:r>
      <w:r>
        <w:rPr>
          <w:rFonts w:asciiTheme="minorEastAsia" w:hAnsiTheme="minorEastAsia" w:eastAsiaTheme="minorEastAsia"/>
          <w:kern w:val="0"/>
          <w:sz w:val="24"/>
        </w:rPr>
        <w:t>）监理大纲：见评标办法前附表；</w:t>
      </w:r>
    </w:p>
    <w:p>
      <w:pPr>
        <w:autoSpaceDE w:val="0"/>
        <w:autoSpaceDN w:val="0"/>
        <w:adjustRightInd w:val="0"/>
        <w:spacing w:before="70"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asciiTheme="minorEastAsia" w:hAnsiTheme="minorEastAsia" w:eastAsiaTheme="minorEastAsia"/>
          <w:spacing w:val="1"/>
          <w:kern w:val="0"/>
          <w:sz w:val="24"/>
        </w:rPr>
        <w:t>2</w:t>
      </w:r>
      <w:r>
        <w:rPr>
          <w:rFonts w:asciiTheme="minorEastAsia" w:hAnsiTheme="minorEastAsia" w:eastAsiaTheme="minorEastAsia"/>
          <w:kern w:val="0"/>
          <w:sz w:val="24"/>
        </w:rPr>
        <w:t>）商务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：见评标办法前附表；</w:t>
      </w:r>
    </w:p>
    <w:p>
      <w:pPr>
        <w:autoSpaceDE w:val="0"/>
        <w:autoSpaceDN w:val="0"/>
        <w:adjustRightInd w:val="0"/>
        <w:spacing w:before="70"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p>
    <w:p>
      <w:pPr>
        <w:autoSpaceDE w:val="0"/>
        <w:autoSpaceDN w:val="0"/>
        <w:adjustRightInd w:val="0"/>
        <w:spacing w:before="64" w:line="360" w:lineRule="auto"/>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2.2.2 评分标准</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（1）监理大纲评分标准：见评标办法前附表；</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评分标准：见评标办法前附表；</w:t>
      </w:r>
    </w:p>
    <w:p>
      <w:pPr>
        <w:autoSpaceDE w:val="0"/>
        <w:autoSpaceDN w:val="0"/>
        <w:adjustRightInd w:val="0"/>
        <w:spacing w:before="72" w:line="360" w:lineRule="auto"/>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p>
    <w:p>
      <w:pPr>
        <w:pStyle w:val="2"/>
      </w:pPr>
      <w:bookmarkStart w:id="750" w:name="_Toc498503009"/>
      <w:bookmarkStart w:id="751" w:name="_Toc31443"/>
      <w:bookmarkStart w:id="752" w:name="_Toc30244"/>
      <w:r>
        <w:t>3.评标程序</w:t>
      </w:r>
      <w:bookmarkEnd w:id="750"/>
      <w:bookmarkEnd w:id="751"/>
      <w:bookmarkEnd w:id="752"/>
    </w:p>
    <w:p>
      <w:pPr>
        <w:spacing w:line="360" w:lineRule="auto"/>
        <w:ind w:firstLine="422"/>
        <w:rPr>
          <w:rFonts w:asciiTheme="minorEastAsia" w:hAnsiTheme="minorEastAsia" w:eastAsiaTheme="minorEastAsia"/>
          <w:b/>
          <w:sz w:val="24"/>
        </w:rPr>
      </w:pPr>
      <w:bookmarkStart w:id="753" w:name="_Toc2120"/>
      <w:r>
        <w:rPr>
          <w:rFonts w:asciiTheme="minorEastAsia" w:hAnsiTheme="minorEastAsia" w:eastAsiaTheme="minorEastAsia"/>
          <w:b/>
          <w:bCs/>
          <w:sz w:val="24"/>
        </w:rPr>
        <w:t>投标人递交投标文件时，须</w:t>
      </w:r>
      <w:r>
        <w:rPr>
          <w:rFonts w:hint="eastAsia" w:asciiTheme="minorEastAsia" w:hAnsiTheme="minorEastAsia" w:eastAsiaTheme="minorEastAsia"/>
          <w:b/>
          <w:bCs/>
          <w:sz w:val="24"/>
        </w:rPr>
        <w:t>同时递交</w:t>
      </w:r>
      <w:r>
        <w:rPr>
          <w:rFonts w:asciiTheme="minorEastAsia" w:hAnsiTheme="minorEastAsia" w:eastAsiaTheme="minorEastAsia"/>
          <w:b/>
          <w:bCs/>
          <w:sz w:val="24"/>
        </w:rPr>
        <w:t>招标文件第六章</w:t>
      </w:r>
      <w:r>
        <w:rPr>
          <w:rFonts w:hint="eastAsia" w:asciiTheme="minorEastAsia" w:hAnsiTheme="minorEastAsia" w:eastAsiaTheme="minorEastAsia"/>
          <w:b/>
          <w:bCs/>
          <w:sz w:val="24"/>
        </w:rPr>
        <w:t>《</w:t>
      </w:r>
      <w:r>
        <w:rPr>
          <w:rFonts w:asciiTheme="minorEastAsia" w:hAnsiTheme="minorEastAsia" w:eastAsiaTheme="minorEastAsia"/>
          <w:b/>
          <w:bCs/>
          <w:sz w:val="24"/>
        </w:rPr>
        <w:t>投标人递交</w:t>
      </w:r>
      <w:r>
        <w:rPr>
          <w:rFonts w:hint="eastAsia" w:asciiTheme="minorEastAsia" w:hAnsiTheme="minorEastAsia" w:eastAsiaTheme="minorEastAsia"/>
          <w:b/>
          <w:bCs/>
          <w:sz w:val="24"/>
        </w:rPr>
        <w:t>资料</w:t>
      </w:r>
      <w:r>
        <w:rPr>
          <w:rFonts w:asciiTheme="minorEastAsia" w:hAnsiTheme="minorEastAsia" w:eastAsiaTheme="minorEastAsia"/>
          <w:b/>
          <w:bCs/>
          <w:sz w:val="24"/>
        </w:rPr>
        <w:t>原件清单</w:t>
      </w:r>
      <w:r>
        <w:rPr>
          <w:rFonts w:hint="eastAsia" w:asciiTheme="minorEastAsia" w:hAnsiTheme="minorEastAsia" w:eastAsiaTheme="minorEastAsia"/>
          <w:b/>
          <w:bCs/>
          <w:sz w:val="24"/>
        </w:rPr>
        <w:t>》</w:t>
      </w:r>
      <w:r>
        <w:rPr>
          <w:rFonts w:asciiTheme="minorEastAsia" w:hAnsiTheme="minorEastAsia" w:eastAsiaTheme="minorEastAsia"/>
          <w:b/>
          <w:bCs/>
          <w:sz w:val="24"/>
        </w:rPr>
        <w:t>及其所提到的全部资料的原件，评标委员会依据投标人提供的清单表及原件对</w:t>
      </w:r>
      <w:r>
        <w:rPr>
          <w:rFonts w:hint="eastAsia" w:asciiTheme="minorEastAsia" w:hAnsiTheme="minorEastAsia" w:eastAsiaTheme="minorEastAsia"/>
          <w:b/>
          <w:bCs/>
          <w:sz w:val="24"/>
        </w:rPr>
        <w:t>相关内容</w:t>
      </w:r>
      <w:r>
        <w:rPr>
          <w:rFonts w:asciiTheme="minorEastAsia" w:hAnsiTheme="minorEastAsia" w:eastAsiaTheme="minorEastAsia"/>
          <w:b/>
          <w:bCs/>
          <w:sz w:val="24"/>
        </w:rPr>
        <w:t>进行评审</w:t>
      </w:r>
      <w:r>
        <w:rPr>
          <w:rFonts w:asciiTheme="minorEastAsia" w:hAnsiTheme="minorEastAsia" w:eastAsiaTheme="minorEastAsia"/>
          <w:b/>
          <w:spacing w:val="1"/>
          <w:kern w:val="0"/>
          <w:sz w:val="24"/>
        </w:rPr>
        <w:t>。</w:t>
      </w:r>
    </w:p>
    <w:p>
      <w:pPr>
        <w:pStyle w:val="4"/>
      </w:pPr>
      <w:bookmarkStart w:id="754" w:name="_Toc499204916"/>
      <w:bookmarkStart w:id="755" w:name="_Toc32372"/>
      <w:bookmarkStart w:id="756" w:name="_Toc24658"/>
      <w:bookmarkStart w:id="757" w:name="_Toc7938"/>
      <w:bookmarkStart w:id="758" w:name="_Toc498503010"/>
      <w:r>
        <w:t>3.1初步评审</w:t>
      </w:r>
      <w:bookmarkEnd w:id="753"/>
      <w:bookmarkEnd w:id="754"/>
      <w:bookmarkEnd w:id="755"/>
      <w:bookmarkEnd w:id="756"/>
      <w:bookmarkEnd w:id="757"/>
      <w:bookmarkEnd w:id="758"/>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3.1.1评标委员会依据本章第 2.1 款规定的标准对投标文件进行初步评审。有一项不符合评审标准的，作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3" w:firstLineChars="175"/>
        <w:jc w:val="left"/>
        <w:rPr>
          <w:rFonts w:asciiTheme="minorEastAsia" w:hAnsiTheme="minorEastAsia" w:eastAsiaTheme="minorEastAsia"/>
          <w:kern w:val="0"/>
          <w:sz w:val="24"/>
        </w:rPr>
      </w:pPr>
      <w:r>
        <w:rPr>
          <w:rFonts w:asciiTheme="minorEastAsia" w:hAnsiTheme="minorEastAsia" w:eastAsiaTheme="minorEastAsia"/>
          <w:spacing w:val="1"/>
          <w:kern w:val="0"/>
          <w:sz w:val="24"/>
        </w:rPr>
        <w:t>3.1.2投标人有以下情形之一的，作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1</w:t>
      </w:r>
      <w:r>
        <w:rPr>
          <w:rFonts w:asciiTheme="minorEastAsia" w:hAnsiTheme="minorEastAsia" w:eastAsiaTheme="minorEastAsia"/>
          <w:kern w:val="0"/>
          <w:sz w:val="24"/>
        </w:rPr>
        <w:t>）附件B：</w:t>
      </w:r>
      <w:r>
        <w:rPr>
          <w:rFonts w:hint="eastAsia" w:asciiTheme="minorEastAsia" w:hAnsiTheme="minorEastAsia" w:eastAsiaTheme="minorEastAsia"/>
          <w:kern w:val="0"/>
          <w:sz w:val="24"/>
        </w:rPr>
        <w:t>否决投标</w:t>
      </w:r>
      <w:r>
        <w:rPr>
          <w:rFonts w:asciiTheme="minorEastAsia" w:hAnsiTheme="minorEastAsia" w:eastAsiaTheme="minorEastAsia"/>
          <w:kern w:val="0"/>
          <w:sz w:val="24"/>
        </w:rPr>
        <w:t>条件规定的任何一种情形的；</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3.1.3 投标报价有算术错误的，评标委员会按以下原则对投标报价进行修正，修正的价格经投标人书面确认后具有约束力。投标人不接受修正价格的，其投标作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asciiTheme="minorEastAsia" w:hAnsiTheme="minorEastAsia" w:eastAsiaTheme="minorEastAsia"/>
          <w:kern w:val="0"/>
          <w:sz w:val="24"/>
        </w:rPr>
        <w:t>（1）投标文件中</w:t>
      </w:r>
      <w:r>
        <w:rPr>
          <w:rFonts w:hint="eastAsia" w:asciiTheme="minorEastAsia" w:hAnsiTheme="minorEastAsia" w:eastAsiaTheme="minorEastAsia"/>
          <w:kern w:val="0"/>
          <w:sz w:val="24"/>
        </w:rPr>
        <w:t>投标报价</w:t>
      </w:r>
      <w:r>
        <w:rPr>
          <w:rFonts w:asciiTheme="minorEastAsia" w:hAnsiTheme="minorEastAsia" w:eastAsiaTheme="minorEastAsia"/>
          <w:kern w:val="0"/>
          <w:sz w:val="24"/>
        </w:rPr>
        <w:t>的大写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与小写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不一致的，以大写</w:t>
      </w:r>
      <w:r>
        <w:rPr>
          <w:rFonts w:hint="eastAsia" w:asciiTheme="minorEastAsia" w:hAnsiTheme="minorEastAsia" w:eastAsiaTheme="minorEastAsia"/>
          <w:kern w:val="0"/>
          <w:sz w:val="24"/>
        </w:rPr>
        <w:t>方式</w:t>
      </w:r>
      <w:r>
        <w:rPr>
          <w:rFonts w:asciiTheme="minorEastAsia" w:hAnsiTheme="minorEastAsia" w:eastAsiaTheme="minorEastAsia"/>
          <w:kern w:val="0"/>
          <w:sz w:val="24"/>
        </w:rPr>
        <w:t>为准</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 w:firstLine="420" w:firstLineChars="175"/>
        <w:jc w:val="left"/>
        <w:rPr>
          <w:rFonts w:asciiTheme="minorEastAsia" w:hAnsiTheme="minorEastAsia" w:eastAsiaTheme="minorEastAsia"/>
          <w:kern w:val="0"/>
          <w:sz w:val="24"/>
        </w:rPr>
      </w:pPr>
      <w:r>
        <w:rPr>
          <w:rFonts w:hint="eastAsia" w:asciiTheme="minorEastAsia" w:hAnsiTheme="minorEastAsia" w:eastAsiaTheme="minorEastAsia"/>
          <w:kern w:val="0"/>
          <w:sz w:val="24"/>
        </w:rPr>
        <w:t>（2）无论出现何种情况，</w:t>
      </w:r>
      <w:r>
        <w:rPr>
          <w:rFonts w:asciiTheme="minorEastAsia" w:hAnsiTheme="minorEastAsia" w:eastAsiaTheme="minorEastAsia"/>
          <w:kern w:val="0"/>
          <w:sz w:val="24"/>
        </w:rPr>
        <w:t>投标文件中</w:t>
      </w:r>
      <w:r>
        <w:rPr>
          <w:rFonts w:hint="eastAsia" w:asciiTheme="minorEastAsia" w:hAnsiTheme="minorEastAsia" w:eastAsiaTheme="minorEastAsia"/>
          <w:kern w:val="0"/>
          <w:sz w:val="24"/>
        </w:rPr>
        <w:t>投标报价均以所报费率为准。</w:t>
      </w:r>
    </w:p>
    <w:p>
      <w:pPr>
        <w:autoSpaceDE w:val="0"/>
        <w:autoSpaceDN w:val="0"/>
        <w:adjustRightInd w:val="0"/>
        <w:spacing w:before="72" w:line="360" w:lineRule="auto"/>
        <w:ind w:left="1" w:right="-20" w:firstLine="423" w:firstLineChars="175"/>
        <w:jc w:val="left"/>
        <w:rPr>
          <w:rFonts w:asciiTheme="minorEastAsia" w:hAnsiTheme="minorEastAsia" w:eastAsiaTheme="minorEastAsia"/>
          <w:kern w:val="0"/>
          <w:sz w:val="24"/>
        </w:rPr>
      </w:pPr>
      <w:r>
        <w:rPr>
          <w:rFonts w:asciiTheme="minorEastAsia" w:hAnsiTheme="minorEastAsia" w:eastAsiaTheme="minorEastAsia"/>
          <w:spacing w:val="1"/>
          <w:kern w:val="0"/>
          <w:sz w:val="24"/>
        </w:rPr>
        <w:t>3.</w:t>
      </w:r>
      <w:r>
        <w:rPr>
          <w:rFonts w:hint="eastAsia" w:asciiTheme="minorEastAsia" w:hAnsiTheme="minorEastAsia" w:eastAsiaTheme="minorEastAsia"/>
          <w:spacing w:val="1"/>
          <w:kern w:val="0"/>
          <w:sz w:val="24"/>
        </w:rPr>
        <w:t>1</w:t>
      </w:r>
      <w:r>
        <w:rPr>
          <w:rFonts w:asciiTheme="minorEastAsia" w:hAnsiTheme="minorEastAsia" w:eastAsiaTheme="minorEastAsia"/>
          <w:spacing w:val="1"/>
          <w:kern w:val="0"/>
          <w:sz w:val="24"/>
        </w:rPr>
        <w:t>.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w:t>
      </w:r>
      <w:r>
        <w:rPr>
          <w:rFonts w:hint="eastAsia" w:asciiTheme="minorEastAsia" w:hAnsiTheme="minorEastAsia" w:eastAsiaTheme="minorEastAsia"/>
          <w:spacing w:val="1"/>
          <w:kern w:val="0"/>
          <w:sz w:val="24"/>
        </w:rPr>
        <w:t>否决投标</w:t>
      </w:r>
      <w:r>
        <w:rPr>
          <w:rFonts w:asciiTheme="minorEastAsia" w:hAnsiTheme="minorEastAsia" w:eastAsiaTheme="minorEastAsia"/>
          <w:spacing w:val="1"/>
          <w:kern w:val="0"/>
          <w:sz w:val="24"/>
        </w:rPr>
        <w:t>处理。</w:t>
      </w:r>
    </w:p>
    <w:p>
      <w:pPr>
        <w:pStyle w:val="4"/>
      </w:pPr>
      <w:bookmarkStart w:id="759" w:name="_Toc9084"/>
      <w:bookmarkStart w:id="760" w:name="_Toc13534"/>
      <w:bookmarkStart w:id="761" w:name="_Toc24177"/>
      <w:bookmarkStart w:id="762" w:name="_Toc4772"/>
      <w:bookmarkStart w:id="763" w:name="_Toc498503011"/>
      <w:bookmarkStart w:id="764" w:name="_Toc499204917"/>
      <w:r>
        <w:t>3.2详细评审</w:t>
      </w:r>
      <w:bookmarkEnd w:id="759"/>
      <w:bookmarkEnd w:id="760"/>
      <w:bookmarkEnd w:id="761"/>
      <w:bookmarkEnd w:id="762"/>
      <w:bookmarkEnd w:id="763"/>
      <w:bookmarkEnd w:id="764"/>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3.2.1评标委员会按本章第2.2款规定的量化因素和分值进行打分，并计算出综合评估得分。</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（1）按本章第2.2.2（1）目规定的评审因素和分值对监理大纲打分计算出得分A</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（2）按本章第2.2.2（2）目规定的评审因素和分值对商务文件打分计算出得分B</w:t>
      </w:r>
      <w:r>
        <w:rPr>
          <w:rFonts w:hint="eastAsia" w:asciiTheme="minorEastAsia" w:hAnsiTheme="minorEastAsia" w:eastAsiaTheme="minorEastAsia"/>
          <w:kern w:val="0"/>
          <w:sz w:val="24"/>
        </w:rPr>
        <w:t>。</w:t>
      </w:r>
    </w:p>
    <w:p>
      <w:pPr>
        <w:autoSpaceDE w:val="0"/>
        <w:autoSpaceDN w:val="0"/>
        <w:adjustRightInd w:val="0"/>
        <w:spacing w:before="72" w:line="360" w:lineRule="auto"/>
        <w:ind w:left="1" w:right="-200"/>
        <w:jc w:val="left"/>
        <w:rPr>
          <w:rFonts w:asciiTheme="minorEastAsia" w:hAnsiTheme="minorEastAsia" w:eastAsiaTheme="minorEastAsia"/>
          <w:kern w:val="0"/>
          <w:sz w:val="24"/>
        </w:rPr>
      </w:pPr>
      <w:r>
        <w:rPr>
          <w:rFonts w:asciiTheme="minorEastAsia" w:hAnsiTheme="minorEastAsia" w:eastAsiaTheme="minorEastAsia"/>
          <w:kern w:val="0"/>
          <w:sz w:val="24"/>
        </w:rPr>
        <w:t>（3）按本章第2.2.2（3）目规定的评审因素和分值对投标报价打分计算出得分C</w:t>
      </w:r>
      <w:r>
        <w:rPr>
          <w:rFonts w:hint="eastAsia" w:asciiTheme="minorEastAsia" w:hAnsiTheme="minorEastAsia" w:eastAsiaTheme="minorEastAsia"/>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3.2.2评分分值计算保留小数点后两位，小数点后第三位</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四舍五入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3.2.3投标人得分=A+B+C。</w:t>
      </w:r>
    </w:p>
    <w:p>
      <w:pPr>
        <w:pStyle w:val="4"/>
        <w:ind w:left="1" w:firstLine="422" w:firstLineChars="175"/>
      </w:pPr>
      <w:bookmarkStart w:id="765" w:name="_Toc499204918"/>
      <w:bookmarkStart w:id="766" w:name="_Toc4890"/>
      <w:bookmarkStart w:id="767" w:name="_Toc32384"/>
      <w:bookmarkStart w:id="768" w:name="_Toc29535"/>
      <w:bookmarkStart w:id="769" w:name="_Toc29007"/>
      <w:bookmarkStart w:id="770" w:name="_Toc498503012"/>
      <w:r>
        <w:t>3.3投标文件的澄清和补正</w:t>
      </w:r>
      <w:bookmarkEnd w:id="765"/>
      <w:bookmarkEnd w:id="766"/>
      <w:bookmarkEnd w:id="767"/>
      <w:bookmarkEnd w:id="768"/>
      <w:bookmarkEnd w:id="769"/>
      <w:bookmarkEnd w:id="770"/>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3.3.1在评标过程中，评标委员会可以书面形式要求投标人对所提交投标文件中不明确的内容进行书面澄清或说明，或者对细微偏差进行补正。评标委员会不接受投标人主动提出的澄清、说明或补正。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3.3.2澄清、说明和补正不得改变投标文件的实质性内容（算术性错误修正的除外）。投标人的书面澄清、说明和补正属于投标文件的组成部分。</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3.3.3评标委员会对投标人提交的澄清、说明或补正有疑问的，可以要求投标人进一步澄清、说明或补正，直至满足评标委员会的要求。</w:t>
      </w:r>
    </w:p>
    <w:p>
      <w:pPr>
        <w:pStyle w:val="4"/>
        <w:ind w:left="1" w:firstLine="422" w:firstLineChars="175"/>
      </w:pPr>
      <w:bookmarkStart w:id="771" w:name="_Toc498503013"/>
      <w:bookmarkStart w:id="772" w:name="_Toc28167"/>
      <w:bookmarkStart w:id="773" w:name="_Toc14687"/>
      <w:bookmarkStart w:id="774" w:name="_Toc499204919"/>
      <w:bookmarkStart w:id="775" w:name="_Toc2597"/>
      <w:bookmarkStart w:id="776" w:name="_Toc7362"/>
      <w:r>
        <w:t>3.4评标结果</w:t>
      </w:r>
      <w:bookmarkEnd w:id="771"/>
      <w:bookmarkEnd w:id="772"/>
      <w:bookmarkEnd w:id="773"/>
      <w:bookmarkEnd w:id="774"/>
      <w:bookmarkEnd w:id="775"/>
      <w:bookmarkEnd w:id="776"/>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3.4.1除第二章</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投标人须知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前附表授权直接确定中标人外，评标委员会按照得分由高到低的顺序</w:t>
      </w:r>
      <w:r>
        <w:rPr>
          <w:rFonts w:hint="eastAsia" w:asciiTheme="minorEastAsia" w:hAnsiTheme="minorEastAsia" w:eastAsiaTheme="minorEastAsia"/>
          <w:spacing w:val="1"/>
          <w:kern w:val="0"/>
          <w:sz w:val="24"/>
        </w:rPr>
        <w:t>并依据第二章“投标人须知”前附表第7.1款要求推荐中标候选人</w:t>
      </w:r>
      <w:r>
        <w:rPr>
          <w:rFonts w:asciiTheme="minorEastAsia" w:hAnsiTheme="minorEastAsia" w:eastAsiaTheme="minorEastAsia"/>
          <w:spacing w:val="1"/>
          <w:kern w:val="0"/>
          <w:sz w:val="24"/>
        </w:rPr>
        <w:t>。</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3.4.2评标委员会完成评标后，应当向招标人提交书面评标报告。</w:t>
      </w:r>
    </w:p>
    <w:p/>
    <w:p/>
    <w:p/>
    <w:p/>
    <w:p/>
    <w:p/>
    <w:p/>
    <w:p/>
    <w:p/>
    <w:p/>
    <w:p/>
    <w:p/>
    <w:p/>
    <w:p/>
    <w:p/>
    <w:p/>
    <w:p/>
    <w:p/>
    <w:p/>
    <w:p/>
    <w:p/>
    <w:p/>
    <w:p/>
    <w:p/>
    <w:p/>
    <w:p/>
    <w:p/>
    <w:p/>
    <w:p/>
    <w:p/>
    <w:p/>
    <w:p/>
    <w:p/>
    <w:p/>
    <w:p/>
    <w:p/>
    <w:p>
      <w:pPr>
        <w:pStyle w:val="2"/>
      </w:pPr>
      <w:bookmarkStart w:id="777" w:name="_Toc25006"/>
      <w:bookmarkStart w:id="778" w:name="_Toc25874"/>
      <w:bookmarkStart w:id="779" w:name="_Toc17461"/>
      <w:bookmarkStart w:id="780" w:name="_Toc498503014"/>
      <w:bookmarkStart w:id="781" w:name="_Toc14971"/>
      <w:bookmarkStart w:id="782" w:name="_Toc11599"/>
      <w:bookmarkStart w:id="783" w:name="_Toc21868"/>
      <w:bookmarkStart w:id="784" w:name="_Toc24584"/>
      <w:r>
        <w:t>附件A：评标详细程序</w:t>
      </w:r>
      <w:bookmarkEnd w:id="777"/>
      <w:bookmarkEnd w:id="778"/>
      <w:bookmarkEnd w:id="779"/>
      <w:bookmarkEnd w:id="780"/>
      <w:bookmarkEnd w:id="781"/>
      <w:bookmarkEnd w:id="782"/>
      <w:bookmarkEnd w:id="783"/>
      <w:bookmarkEnd w:id="784"/>
    </w:p>
    <w:p>
      <w:pPr>
        <w:pStyle w:val="4"/>
      </w:pPr>
      <w:bookmarkStart w:id="785" w:name="_Toc7321"/>
      <w:bookmarkStart w:id="786" w:name="_Toc499204921"/>
      <w:bookmarkStart w:id="787" w:name="_Toc4421"/>
      <w:bookmarkStart w:id="788" w:name="_Toc9641"/>
      <w:bookmarkStart w:id="789" w:name="_Toc498503015"/>
      <w:bookmarkStart w:id="790" w:name="_Toc4004"/>
      <w:bookmarkStart w:id="791" w:name="_Toc27781"/>
      <w:bookmarkStart w:id="792" w:name="_Toc27375"/>
      <w:bookmarkStart w:id="793" w:name="_Toc16157"/>
      <w:bookmarkStart w:id="794" w:name="_Toc296520749"/>
      <w:r>
        <w:t>1.总则</w:t>
      </w:r>
      <w:bookmarkEnd w:id="785"/>
      <w:bookmarkEnd w:id="786"/>
      <w:bookmarkEnd w:id="787"/>
      <w:bookmarkEnd w:id="788"/>
      <w:bookmarkEnd w:id="789"/>
      <w:bookmarkEnd w:id="790"/>
      <w:bookmarkEnd w:id="791"/>
      <w:bookmarkEnd w:id="792"/>
      <w:bookmarkEnd w:id="793"/>
      <w:bookmarkEnd w:id="794"/>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1.1为加强</w:t>
      </w:r>
      <w:r>
        <w:rPr>
          <w:rFonts w:hint="eastAsia" w:asciiTheme="minorEastAsia" w:hAnsiTheme="minorEastAsia" w:eastAsiaTheme="minorEastAsia"/>
          <w:spacing w:val="1"/>
          <w:kern w:val="0"/>
          <w:sz w:val="24"/>
        </w:rPr>
        <w:t>郑州机场至许昌市域铁路工程许昌段建设项目(施工总承包)监理（第一（二）标段）</w:t>
      </w:r>
      <w:r>
        <w:rPr>
          <w:rFonts w:asciiTheme="minorEastAsia" w:hAnsiTheme="minorEastAsia" w:eastAsiaTheme="minorEastAsia"/>
          <w:spacing w:val="1"/>
          <w:kern w:val="0"/>
          <w:sz w:val="24"/>
        </w:rPr>
        <w:t>的评标工作，以期达到工程质量合格、造价合理、工期适当的总目标，依据《中华人民共和国招标投标法》及相关法规、文件特制定本评标办法。</w:t>
      </w:r>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1.2本工程评标委员会按公平、公正、科学、择优的原则进行评标。</w:t>
      </w:r>
    </w:p>
    <w:p>
      <w:pPr>
        <w:autoSpaceDE w:val="0"/>
        <w:autoSpaceDN w:val="0"/>
        <w:adjustRightInd w:val="0"/>
        <w:spacing w:before="10" w:line="360" w:lineRule="auto"/>
        <w:ind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1.3</w:t>
      </w:r>
      <w:r>
        <w:rPr>
          <w:rFonts w:hint="eastAsia" w:asciiTheme="minorEastAsia" w:hAnsiTheme="minorEastAsia" w:eastAsiaTheme="minorEastAsia"/>
          <w:spacing w:val="1"/>
          <w:kern w:val="0"/>
          <w:sz w:val="24"/>
        </w:rPr>
        <w:t xml:space="preserve"> 许昌</w:t>
      </w:r>
      <w:r>
        <w:rPr>
          <w:rFonts w:asciiTheme="minorEastAsia" w:hAnsiTheme="minorEastAsia" w:eastAsiaTheme="minorEastAsia"/>
          <w:spacing w:val="1"/>
          <w:kern w:val="0"/>
          <w:sz w:val="24"/>
        </w:rPr>
        <w:t>市建设工程招标投标管理部门对工程的开标、评标、定标实施监督管理。</w:t>
      </w:r>
      <w:bookmarkStart w:id="795" w:name="_Toc13889"/>
      <w:bookmarkStart w:id="796" w:name="_Toc296520750"/>
      <w:bookmarkStart w:id="797" w:name="_Toc10117"/>
      <w:bookmarkStart w:id="798" w:name="_Toc11485"/>
    </w:p>
    <w:p>
      <w:pPr>
        <w:pStyle w:val="4"/>
      </w:pPr>
      <w:bookmarkStart w:id="799" w:name="_Toc3597"/>
      <w:bookmarkStart w:id="800" w:name="_Toc9484"/>
      <w:bookmarkStart w:id="801" w:name="_Toc498503016"/>
      <w:bookmarkStart w:id="802" w:name="_Toc29226"/>
      <w:bookmarkStart w:id="803" w:name="_Toc499204922"/>
      <w:bookmarkStart w:id="804" w:name="_Toc11424"/>
      <w:r>
        <w:t>2.评标委员会的组成和工作</w:t>
      </w:r>
      <w:bookmarkEnd w:id="795"/>
      <w:bookmarkEnd w:id="796"/>
      <w:bookmarkEnd w:id="797"/>
      <w:bookmarkEnd w:id="798"/>
      <w:bookmarkEnd w:id="799"/>
      <w:bookmarkEnd w:id="800"/>
      <w:bookmarkEnd w:id="801"/>
      <w:bookmarkEnd w:id="802"/>
      <w:bookmarkEnd w:id="803"/>
      <w:bookmarkEnd w:id="804"/>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2.1招标人依据有关法律法规组成评标委员会。</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2.2招标人将按国家、河南省和</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市有关法律法规的要求</w:t>
      </w:r>
      <w:r>
        <w:rPr>
          <w:rFonts w:hint="eastAsia" w:asciiTheme="minorEastAsia" w:hAnsiTheme="minorEastAsia" w:eastAsiaTheme="minorEastAsia"/>
          <w:spacing w:val="1"/>
          <w:kern w:val="0"/>
          <w:sz w:val="24"/>
        </w:rPr>
        <w:t>及招标文件的规定</w:t>
      </w:r>
      <w:r>
        <w:rPr>
          <w:rFonts w:asciiTheme="minorEastAsia" w:hAnsiTheme="minorEastAsia" w:eastAsiaTheme="minorEastAsia"/>
          <w:spacing w:val="1"/>
          <w:kern w:val="0"/>
          <w:sz w:val="24"/>
        </w:rPr>
        <w:t>，组建评标委员会，其中技术经济专家由招标人从满足本工程需要的专家库抽取。</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2.3保密与纪律要求：评审期间，评审人员必须严格遵守保密规定，不得泄露与评审有关的情况，不得索贿受贿，不得参加影响公正评审的任何活动。评审人员与投标人存在经济利益关系的，应主动提出回避。</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2.4评审活动接受</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市建设工程招标投标管理部门和招标人纪检监察部门的监督管理。</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2.5投标人不得采取任何方式干扰评审工作。</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2.6评标委员会代表招标人，对实质上符合招标要求的投标文件进行评审。</w:t>
      </w:r>
      <w:bookmarkStart w:id="805" w:name="_Toc26542"/>
      <w:bookmarkStart w:id="806" w:name="_Toc10989"/>
      <w:bookmarkStart w:id="807" w:name="_Toc3750"/>
      <w:bookmarkStart w:id="808" w:name="_Toc296520751"/>
    </w:p>
    <w:p>
      <w:pPr>
        <w:pStyle w:val="4"/>
      </w:pPr>
      <w:bookmarkStart w:id="809" w:name="_Toc16934"/>
      <w:bookmarkStart w:id="810" w:name="_Toc499204923"/>
      <w:bookmarkStart w:id="811" w:name="_Toc498503017"/>
      <w:bookmarkStart w:id="812" w:name="_Toc6363"/>
      <w:bookmarkStart w:id="813" w:name="_Toc21314"/>
      <w:bookmarkStart w:id="814" w:name="_Toc15830"/>
      <w:r>
        <w:t>3.评标程序</w:t>
      </w:r>
      <w:bookmarkEnd w:id="805"/>
      <w:bookmarkEnd w:id="806"/>
      <w:bookmarkEnd w:id="807"/>
      <w:bookmarkEnd w:id="808"/>
      <w:bookmarkEnd w:id="809"/>
      <w:bookmarkEnd w:id="810"/>
      <w:bookmarkEnd w:id="811"/>
      <w:bookmarkEnd w:id="812"/>
      <w:bookmarkEnd w:id="813"/>
      <w:bookmarkEnd w:id="814"/>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3.1评标准备与初步评审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3.2详细评审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3.3投标文件的澄清和补正</w:t>
      </w:r>
    </w:p>
    <w:p>
      <w:pPr>
        <w:autoSpaceDE w:val="0"/>
        <w:autoSpaceDN w:val="0"/>
        <w:adjustRightInd w:val="0"/>
        <w:spacing w:before="10" w:line="360" w:lineRule="auto"/>
        <w:ind w:left="120" w:right="-89" w:firstLine="424"/>
        <w:jc w:val="left"/>
        <w:rPr>
          <w:rFonts w:asciiTheme="minorEastAsia" w:hAnsiTheme="minorEastAsia" w:eastAsiaTheme="minorEastAsia"/>
          <w:sz w:val="24"/>
        </w:rPr>
      </w:pPr>
      <w:r>
        <w:rPr>
          <w:rFonts w:asciiTheme="minorEastAsia" w:hAnsiTheme="minorEastAsia" w:eastAsiaTheme="minorEastAsia"/>
          <w:spacing w:val="1"/>
          <w:kern w:val="0"/>
          <w:sz w:val="24"/>
        </w:rPr>
        <w:t>3.4推荐中标候选人与定标</w:t>
      </w:r>
      <w:bookmarkStart w:id="815" w:name="_Toc25639"/>
      <w:bookmarkStart w:id="816" w:name="_Toc21706"/>
      <w:bookmarkStart w:id="817" w:name="_Toc17174"/>
      <w:bookmarkStart w:id="818" w:name="_Toc296520752"/>
    </w:p>
    <w:p>
      <w:pPr>
        <w:pStyle w:val="4"/>
      </w:pPr>
      <w:bookmarkStart w:id="819" w:name="_Toc499204924"/>
      <w:bookmarkStart w:id="820" w:name="_Toc30732"/>
      <w:bookmarkStart w:id="821" w:name="_Toc9536"/>
      <w:bookmarkStart w:id="822" w:name="_Toc27431"/>
      <w:bookmarkStart w:id="823" w:name="_Toc30315"/>
      <w:bookmarkStart w:id="824" w:name="_Toc498503018"/>
      <w:r>
        <w:t>4.评标准备与初步评审</w:t>
      </w:r>
      <w:bookmarkEnd w:id="815"/>
      <w:bookmarkEnd w:id="816"/>
      <w:bookmarkEnd w:id="817"/>
      <w:bookmarkEnd w:id="818"/>
      <w:bookmarkEnd w:id="819"/>
      <w:bookmarkEnd w:id="820"/>
      <w:bookmarkEnd w:id="821"/>
      <w:bookmarkEnd w:id="822"/>
      <w:bookmarkEnd w:id="823"/>
      <w:bookmarkEnd w:id="824"/>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4.1评标委员会进入评标室后，首先应当推选评标委员会主任，由其组织和引导成员按照约定程序进行评标。</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4.2熟悉相关的文字资料，包括工程概况、招标范围、评标办法、评标表格等。</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4.3评标委员会首先进行初步评审，对通过初步评审的文件进行算术性修正。修正原则为：</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（1）投标文件中的大写金额与小写金额不一致的，以大写金额为准</w:t>
      </w:r>
      <w:r>
        <w:rPr>
          <w:rFonts w:hint="eastAsia" w:asciiTheme="minorEastAsia" w:hAnsiTheme="minorEastAsia" w:eastAsiaTheme="minorEastAsia"/>
          <w:spacing w:val="1"/>
          <w:kern w:val="0"/>
          <w:sz w:val="24"/>
        </w:rPr>
        <w:t>。</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4.4评标委员会认为需要时，可书面通知投标人，要求其澄清投标报价或其他问题，或者要求补充某些资料，但评标委员会不能提出或允许更改投标文件中的价格或其它实质性内容。对此，投标人不得拒绝。有关要求澄清的答复，应以书面形式提供。</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4.5</w:t>
      </w:r>
      <w:bookmarkStart w:id="825" w:name="_Toc296520754"/>
      <w:bookmarkStart w:id="826" w:name="_Toc11208"/>
      <w:r>
        <w:rPr>
          <w:rFonts w:asciiTheme="minorEastAsia" w:hAnsiTheme="minorEastAsia" w:eastAsiaTheme="minorEastAsia"/>
          <w:spacing w:val="1"/>
          <w:kern w:val="0"/>
          <w:sz w:val="24"/>
        </w:rPr>
        <w:t>初步评审项目见评标办法前附表。未通过初步评审的投标人不得进入下一步评审。初步评审中的资格审查由评标委员会按评标办法前附表的要求进行。</w:t>
      </w:r>
      <w:bookmarkStart w:id="827" w:name="_Toc25227"/>
      <w:bookmarkStart w:id="828" w:name="_Toc19140"/>
    </w:p>
    <w:p>
      <w:pPr>
        <w:pStyle w:val="4"/>
      </w:pPr>
      <w:bookmarkStart w:id="829" w:name="_Toc31043"/>
      <w:bookmarkStart w:id="830" w:name="_Toc4584"/>
      <w:bookmarkStart w:id="831" w:name="_Toc756"/>
      <w:bookmarkStart w:id="832" w:name="_Toc26654"/>
      <w:bookmarkStart w:id="833" w:name="_Toc499204925"/>
      <w:bookmarkStart w:id="834" w:name="_Toc498503019"/>
      <w:r>
        <w:t>5.详细评审</w:t>
      </w:r>
      <w:bookmarkEnd w:id="825"/>
      <w:bookmarkEnd w:id="826"/>
      <w:bookmarkEnd w:id="827"/>
      <w:bookmarkEnd w:id="828"/>
      <w:bookmarkEnd w:id="829"/>
      <w:bookmarkEnd w:id="830"/>
      <w:bookmarkEnd w:id="831"/>
      <w:bookmarkEnd w:id="832"/>
      <w:bookmarkEnd w:id="833"/>
      <w:bookmarkEnd w:id="834"/>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5.1 经初步评审的投标文件，评标委员会应当根据招标文件确定的评标标准和方法，对监理大纲、商务</w:t>
      </w:r>
      <w:r>
        <w:rPr>
          <w:rFonts w:hint="eastAsia" w:asciiTheme="minorEastAsia" w:hAnsiTheme="minorEastAsia" w:eastAsiaTheme="minorEastAsia"/>
          <w:spacing w:val="1"/>
          <w:kern w:val="0"/>
          <w:sz w:val="24"/>
        </w:rPr>
        <w:t>部分</w:t>
      </w:r>
      <w:r>
        <w:rPr>
          <w:rFonts w:asciiTheme="minorEastAsia" w:hAnsiTheme="minorEastAsia" w:eastAsiaTheme="minorEastAsia"/>
          <w:spacing w:val="1"/>
          <w:kern w:val="0"/>
          <w:sz w:val="24"/>
        </w:rPr>
        <w:t>、投标报价进行评审。</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5.2 详细评审采用综合评</w:t>
      </w:r>
      <w:r>
        <w:rPr>
          <w:rFonts w:hint="eastAsia" w:asciiTheme="minorEastAsia" w:hAnsiTheme="minorEastAsia" w:eastAsiaTheme="minorEastAsia"/>
          <w:spacing w:val="1"/>
          <w:kern w:val="0"/>
          <w:sz w:val="24"/>
        </w:rPr>
        <w:t>估</w:t>
      </w:r>
      <w:r>
        <w:rPr>
          <w:rFonts w:asciiTheme="minorEastAsia" w:hAnsiTheme="minorEastAsia" w:eastAsiaTheme="minorEastAsia"/>
          <w:spacing w:val="1"/>
          <w:kern w:val="0"/>
          <w:sz w:val="24"/>
        </w:rPr>
        <w:t>法，即按照规定的评分标准，对投标文件进行综合评分。</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5.3 评分标准：总分100分，详见评标办法前附表。</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5.4 评标委员会</w:t>
      </w:r>
      <w:r>
        <w:rPr>
          <w:rFonts w:hint="eastAsia" w:asciiTheme="minorEastAsia" w:hAnsiTheme="minorEastAsia" w:eastAsiaTheme="minorEastAsia"/>
          <w:spacing w:val="1"/>
          <w:kern w:val="0"/>
          <w:sz w:val="24"/>
        </w:rPr>
        <w:t>按照详细评审最终得分（以全部评委打分的算术平均值为准）由高至低的次序对投标人进行排序</w:t>
      </w:r>
      <w:r>
        <w:rPr>
          <w:rFonts w:asciiTheme="minorEastAsia" w:hAnsiTheme="minorEastAsia" w:eastAsiaTheme="minorEastAsia"/>
          <w:spacing w:val="1"/>
          <w:kern w:val="0"/>
          <w:sz w:val="24"/>
        </w:rPr>
        <w:t>，编制评标报告，按照得分高低推荐排名前三位的投标人为中标候选人；评标委员会按照得分由高到低的顺序</w:t>
      </w:r>
      <w:r>
        <w:rPr>
          <w:rFonts w:hint="eastAsia" w:asciiTheme="minorEastAsia" w:hAnsiTheme="minorEastAsia" w:eastAsiaTheme="minorEastAsia"/>
          <w:spacing w:val="1"/>
          <w:kern w:val="0"/>
          <w:sz w:val="24"/>
        </w:rPr>
        <w:t>及招标文件第一章投标须知前附表第7.1款规定</w:t>
      </w:r>
      <w:r>
        <w:rPr>
          <w:rFonts w:asciiTheme="minorEastAsia" w:hAnsiTheme="minorEastAsia" w:eastAsiaTheme="minorEastAsia"/>
          <w:spacing w:val="1"/>
          <w:kern w:val="0"/>
          <w:sz w:val="24"/>
        </w:rPr>
        <w:t>推荐中标候选人。</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5.5 招标人将按照评标委员会提交的评标报告，确定中标人，并将评标报告和中标结果报</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市建设工程招标投标管理部门进行备案和公示。</w:t>
      </w:r>
    </w:p>
    <w:p>
      <w:pPr>
        <w:pStyle w:val="4"/>
      </w:pPr>
      <w:bookmarkStart w:id="835" w:name="_Toc5489"/>
      <w:bookmarkStart w:id="836" w:name="_Toc27438"/>
      <w:bookmarkStart w:id="837" w:name="_Toc4453"/>
      <w:bookmarkStart w:id="838" w:name="_Toc498503020"/>
      <w:bookmarkStart w:id="839" w:name="_Toc7599"/>
      <w:bookmarkStart w:id="840" w:name="_Toc12922"/>
      <w:bookmarkStart w:id="841" w:name="_Toc10589"/>
      <w:bookmarkStart w:id="842" w:name="_Toc499204926"/>
      <w:r>
        <w:t>6.定标原则和方法</w:t>
      </w:r>
      <w:bookmarkEnd w:id="835"/>
      <w:bookmarkEnd w:id="836"/>
      <w:bookmarkEnd w:id="837"/>
      <w:bookmarkEnd w:id="838"/>
      <w:bookmarkEnd w:id="839"/>
      <w:bookmarkEnd w:id="840"/>
      <w:bookmarkEnd w:id="841"/>
      <w:bookmarkEnd w:id="842"/>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6.1除第二章</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投标人须知</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前附表授权直接确定中标人外，评标委员会按照得分由高到低的顺序</w:t>
      </w:r>
      <w:r>
        <w:rPr>
          <w:rFonts w:hint="eastAsia" w:asciiTheme="minorEastAsia" w:hAnsiTheme="minorEastAsia" w:eastAsiaTheme="minorEastAsia"/>
          <w:spacing w:val="1"/>
          <w:kern w:val="0"/>
          <w:sz w:val="24"/>
        </w:rPr>
        <w:t>并依据第二章“投标人须知”前附表第7.1款要求推荐中标候选人</w:t>
      </w:r>
      <w:r>
        <w:rPr>
          <w:rFonts w:asciiTheme="minorEastAsia" w:hAnsiTheme="minorEastAsia" w:eastAsiaTheme="minorEastAsia"/>
          <w:spacing w:val="1"/>
          <w:kern w:val="0"/>
          <w:sz w:val="24"/>
        </w:rPr>
        <w:t>。</w:t>
      </w:r>
    </w:p>
    <w:p>
      <w:pPr>
        <w:autoSpaceDE w:val="0"/>
        <w:autoSpaceDN w:val="0"/>
        <w:adjustRightInd w:val="0"/>
        <w:spacing w:before="10" w:line="360" w:lineRule="auto"/>
        <w:ind w:left="120" w:right="-89" w:firstLine="420"/>
        <w:jc w:val="left"/>
        <w:rPr>
          <w:rFonts w:asciiTheme="minorEastAsia" w:hAnsiTheme="minorEastAsia" w:eastAsiaTheme="minorEastAsia"/>
          <w:spacing w:val="1"/>
          <w:kern w:val="0"/>
          <w:sz w:val="24"/>
        </w:rPr>
      </w:pPr>
      <w:r>
        <w:rPr>
          <w:rFonts w:hint="eastAsia" w:asciiTheme="minorEastAsia" w:hAnsiTheme="minorEastAsia" w:eastAsiaTheme="minorEastAsia"/>
          <w:sz w:val="24"/>
        </w:rPr>
        <w:t>6.2如果评标委员会根据规定作否决投标处理后，有效投标不足三个，且少于第二章“投标人须知”前附表第</w:t>
      </w:r>
      <w:r>
        <w:rPr>
          <w:rFonts w:asciiTheme="minorEastAsia" w:hAnsiTheme="minorEastAsia" w:eastAsiaTheme="minorEastAsia"/>
          <w:sz w:val="24"/>
        </w:rPr>
        <w:t>7.1</w:t>
      </w:r>
      <w:r>
        <w:rPr>
          <w:rFonts w:hint="eastAsia" w:asciiTheme="minorEastAsia" w:hAnsiTheme="minorEastAsia" w:eastAsiaTheme="minorEastAsia"/>
          <w:sz w:val="24"/>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6.</w:t>
      </w:r>
      <w:r>
        <w:rPr>
          <w:rFonts w:hint="eastAsia" w:asciiTheme="minorEastAsia" w:hAnsiTheme="minorEastAsia" w:eastAsiaTheme="minorEastAsia"/>
          <w:spacing w:val="1"/>
          <w:kern w:val="0"/>
          <w:sz w:val="24"/>
        </w:rPr>
        <w:t>3</w:t>
      </w:r>
      <w:r>
        <w:rPr>
          <w:rFonts w:asciiTheme="minorEastAsia" w:hAnsiTheme="minorEastAsia" w:eastAsiaTheme="minorEastAsia"/>
          <w:spacing w:val="1"/>
          <w:kern w:val="0"/>
          <w:sz w:val="24"/>
        </w:rPr>
        <w:t>招标人应当选择评标委员会推荐排名第一的中标候选人作为中标人，如果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pPr>
      <w:bookmarkStart w:id="843" w:name="_Toc11201"/>
      <w:bookmarkStart w:id="844" w:name="_Toc30882"/>
      <w:bookmarkStart w:id="845" w:name="_Toc499204927"/>
      <w:bookmarkStart w:id="846" w:name="_Toc28532"/>
      <w:bookmarkStart w:id="847" w:name="_Toc15459"/>
      <w:bookmarkStart w:id="848" w:name="_Toc498503021"/>
      <w:bookmarkStart w:id="849" w:name="_Toc10469"/>
      <w:bookmarkStart w:id="850" w:name="_Toc5053"/>
      <w:r>
        <w:t>7. 附则</w:t>
      </w:r>
      <w:bookmarkEnd w:id="843"/>
      <w:bookmarkEnd w:id="844"/>
      <w:bookmarkEnd w:id="845"/>
      <w:bookmarkEnd w:id="846"/>
      <w:bookmarkEnd w:id="847"/>
      <w:bookmarkEnd w:id="848"/>
      <w:bookmarkEnd w:id="849"/>
      <w:bookmarkEnd w:id="850"/>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7.1通知评标结果</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7.1.1评标结束后，招标人将评标结果报经</w:t>
      </w:r>
      <w:r>
        <w:rPr>
          <w:rFonts w:hint="eastAsia" w:asciiTheme="minorEastAsia" w:hAnsiTheme="minorEastAsia" w:eastAsiaTheme="minorEastAsia"/>
          <w:spacing w:val="1"/>
          <w:kern w:val="0"/>
          <w:sz w:val="24"/>
        </w:rPr>
        <w:t>许昌</w:t>
      </w:r>
      <w:r>
        <w:rPr>
          <w:rFonts w:asciiTheme="minorEastAsia" w:hAnsiTheme="minorEastAsia" w:eastAsiaTheme="minorEastAsia"/>
          <w:spacing w:val="1"/>
          <w:kern w:val="0"/>
          <w:sz w:val="24"/>
        </w:rPr>
        <w:t>市建设工程招标投标管理部门备案和公示后，即向中标人发出</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中标通知书</w:t>
      </w:r>
      <w:r>
        <w:rPr>
          <w:rFonts w:hint="eastAsia" w:asciiTheme="minorEastAsia" w:hAnsiTheme="minorEastAsia" w:eastAsiaTheme="minorEastAsia"/>
          <w:spacing w:val="1"/>
          <w:kern w:val="0"/>
          <w:sz w:val="24"/>
        </w:rPr>
        <w:t>”</w:t>
      </w:r>
      <w:r>
        <w:rPr>
          <w:rFonts w:asciiTheme="minorEastAsia" w:hAnsiTheme="minorEastAsia" w:eastAsiaTheme="minorEastAsia"/>
          <w:spacing w:val="1"/>
          <w:kern w:val="0"/>
          <w:sz w:val="24"/>
        </w:rPr>
        <w:t>，向未中标人通报评标结果，时间不得超过投标有效期。</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7.2解释权</w:t>
      </w:r>
    </w:p>
    <w:p>
      <w:pPr>
        <w:autoSpaceDE w:val="0"/>
        <w:autoSpaceDN w:val="0"/>
        <w:adjustRightInd w:val="0"/>
        <w:spacing w:before="10" w:line="360" w:lineRule="auto"/>
        <w:ind w:left="120" w:right="-89" w:firstLine="424"/>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7.2.1本评标办法由招标人负责解释。</w:t>
      </w:r>
    </w:p>
    <w:p/>
    <w:p/>
    <w:p/>
    <w:p/>
    <w:p/>
    <w:p/>
    <w:p/>
    <w:p/>
    <w:p/>
    <w:p/>
    <w:p/>
    <w:p/>
    <w:p/>
    <w:p/>
    <w:p/>
    <w:p/>
    <w:p/>
    <w:p/>
    <w:p/>
    <w:p/>
    <w:p/>
    <w:p/>
    <w:p/>
    <w:p/>
    <w:p/>
    <w:p/>
    <w:p/>
    <w:p/>
    <w:p/>
    <w:p/>
    <w:p>
      <w:pPr>
        <w:pStyle w:val="2"/>
      </w:pPr>
      <w:bookmarkStart w:id="851" w:name="_Toc291427638"/>
      <w:bookmarkStart w:id="852" w:name="_Toc2320"/>
      <w:bookmarkStart w:id="853" w:name="_Toc1256"/>
      <w:bookmarkStart w:id="854" w:name="_Toc498503022"/>
      <w:r>
        <w:t>附件B：</w:t>
      </w:r>
      <w:bookmarkEnd w:id="851"/>
      <w:bookmarkEnd w:id="852"/>
      <w:r>
        <w:rPr>
          <w:rFonts w:hint="eastAsia"/>
        </w:rPr>
        <w:t>否决投标</w:t>
      </w:r>
      <w:r>
        <w:t>条件</w:t>
      </w:r>
      <w:bookmarkEnd w:id="853"/>
      <w:bookmarkEnd w:id="854"/>
    </w:p>
    <w:p>
      <w:pPr>
        <w:spacing w:line="360" w:lineRule="auto"/>
        <w:ind w:firstLine="482"/>
        <w:jc w:val="center"/>
        <w:rPr>
          <w:rFonts w:asciiTheme="minorEastAsia" w:hAnsiTheme="minorEastAsia" w:eastAsiaTheme="minorEastAsia"/>
          <w:b/>
          <w:sz w:val="24"/>
        </w:rPr>
      </w:pPr>
      <w:r>
        <w:rPr>
          <w:rFonts w:hint="eastAsia" w:asciiTheme="minorEastAsia" w:hAnsiTheme="minorEastAsia" w:eastAsiaTheme="minorEastAsia"/>
          <w:b/>
          <w:sz w:val="24"/>
        </w:rPr>
        <w:t>否决投标</w:t>
      </w:r>
      <w:r>
        <w:rPr>
          <w:rFonts w:asciiTheme="minorEastAsia" w:hAnsiTheme="minorEastAsia" w:eastAsiaTheme="minorEastAsia"/>
          <w:b/>
          <w:sz w:val="24"/>
        </w:rPr>
        <w:t>条件</w:t>
      </w:r>
    </w:p>
    <w:p>
      <w:pPr>
        <w:pStyle w:val="4"/>
      </w:pPr>
      <w:bookmarkStart w:id="855" w:name="_Toc291427639"/>
      <w:bookmarkStart w:id="856" w:name="_Toc24150"/>
      <w:bookmarkStart w:id="857" w:name="_Toc10407"/>
      <w:bookmarkStart w:id="858" w:name="_Toc9750"/>
      <w:bookmarkStart w:id="859" w:name="_Toc13904"/>
      <w:bookmarkStart w:id="860" w:name="_Toc499204929"/>
      <w:bookmarkStart w:id="861" w:name="_Toc293403341"/>
      <w:bookmarkStart w:id="862" w:name="_Toc498503023"/>
      <w:bookmarkStart w:id="863" w:name="_Toc291496657"/>
      <w:r>
        <w:t>B0.总则</w:t>
      </w:r>
      <w:bookmarkEnd w:id="855"/>
      <w:bookmarkEnd w:id="856"/>
      <w:bookmarkEnd w:id="857"/>
      <w:bookmarkEnd w:id="858"/>
      <w:bookmarkEnd w:id="859"/>
      <w:bookmarkEnd w:id="860"/>
      <w:bookmarkEnd w:id="861"/>
      <w:bookmarkEnd w:id="862"/>
      <w:bookmarkEnd w:id="863"/>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本附件所集中列示的</w:t>
      </w:r>
      <w:r>
        <w:rPr>
          <w:rFonts w:hint="eastAsia" w:asciiTheme="minorEastAsia" w:hAnsiTheme="minorEastAsia" w:eastAsiaTheme="minorEastAsia"/>
          <w:sz w:val="24"/>
        </w:rPr>
        <w:t>否决投标</w:t>
      </w:r>
      <w:r>
        <w:rPr>
          <w:rFonts w:asciiTheme="minorEastAsia" w:hAnsiTheme="minorEastAsia" w:eastAsiaTheme="minorEastAsia"/>
          <w:sz w:val="24"/>
        </w:rPr>
        <w:t>条件，是本章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的组成部分，是对第二章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和本章正文部分所规定的</w:t>
      </w:r>
      <w:r>
        <w:rPr>
          <w:rFonts w:hint="eastAsia" w:asciiTheme="minorEastAsia" w:hAnsiTheme="minorEastAsia" w:eastAsiaTheme="minorEastAsia"/>
          <w:sz w:val="24"/>
        </w:rPr>
        <w:t>否决投标</w:t>
      </w:r>
      <w:r>
        <w:rPr>
          <w:rFonts w:asciiTheme="minorEastAsia" w:hAnsiTheme="minorEastAsia" w:eastAsiaTheme="minorEastAsia"/>
          <w:sz w:val="24"/>
        </w:rPr>
        <w:t>条件的总结和补充，如果出现相互矛盾的情况，以第二章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和本章正文部分的规定为准。</w:t>
      </w:r>
    </w:p>
    <w:p>
      <w:pPr>
        <w:pStyle w:val="4"/>
      </w:pPr>
      <w:bookmarkStart w:id="864" w:name="_Toc291427640"/>
      <w:bookmarkStart w:id="865" w:name="_Toc19385"/>
      <w:bookmarkStart w:id="866" w:name="_Toc498503024"/>
      <w:bookmarkStart w:id="867" w:name="_Toc13091"/>
      <w:bookmarkStart w:id="868" w:name="_Toc2525"/>
      <w:bookmarkStart w:id="869" w:name="_Toc293403342"/>
      <w:bookmarkStart w:id="870" w:name="_Toc8345"/>
      <w:bookmarkStart w:id="871" w:name="_Toc499204930"/>
      <w:bookmarkStart w:id="872" w:name="_Toc291496658"/>
      <w:r>
        <w:t>B1.</w:t>
      </w:r>
      <w:r>
        <w:rPr>
          <w:rFonts w:hint="eastAsia"/>
        </w:rPr>
        <w:t>否决投标</w:t>
      </w:r>
      <w:r>
        <w:t>条件</w:t>
      </w:r>
      <w:bookmarkEnd w:id="864"/>
      <w:bookmarkEnd w:id="865"/>
      <w:bookmarkEnd w:id="866"/>
      <w:bookmarkEnd w:id="867"/>
      <w:bookmarkEnd w:id="868"/>
      <w:bookmarkEnd w:id="869"/>
      <w:bookmarkEnd w:id="870"/>
      <w:bookmarkEnd w:id="871"/>
      <w:bookmarkEnd w:id="872"/>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t>投标人或其投标文件有下列情形之一的，其投标作</w:t>
      </w:r>
      <w:r>
        <w:rPr>
          <w:rFonts w:hint="eastAsia" w:asciiTheme="minorEastAsia" w:hAnsiTheme="minorEastAsia" w:eastAsiaTheme="minorEastAsia"/>
          <w:sz w:val="24"/>
        </w:rPr>
        <w:t>否决投标</w:t>
      </w:r>
      <w:r>
        <w:rPr>
          <w:rFonts w:asciiTheme="minorEastAsia" w:hAnsiTheme="minorEastAsia" w:eastAsiaTheme="minorEastAsia"/>
          <w:sz w:val="24"/>
        </w:rPr>
        <w:t>处理：</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B1.1 有第二章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第1.4.3项规定的任何一种情形的。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B1.2 有串通投标或弄虚作假或有其他违法行为的。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B1.3 不按评标委员会要求澄清、说明或补正的。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B1.4 评标委员会认定投标人以低于成本报价竞标的。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B1.5 投标文件内容不全或关键字迹模糊、无法辨认的。</w:t>
      </w:r>
    </w:p>
    <w:p>
      <w:pPr>
        <w:spacing w:line="360" w:lineRule="auto"/>
        <w:ind w:firstLine="484" w:firstLineChars="202"/>
        <w:jc w:val="left"/>
        <w:rPr>
          <w:rFonts w:asciiTheme="minorEastAsia" w:hAnsiTheme="minorEastAsia" w:eastAsiaTheme="minorEastAsia"/>
          <w:sz w:val="24"/>
        </w:rPr>
      </w:pPr>
      <w:r>
        <w:rPr>
          <w:rFonts w:asciiTheme="minorEastAsia" w:hAnsiTheme="minorEastAsia" w:eastAsiaTheme="minorEastAsia"/>
          <w:sz w:val="24"/>
        </w:rPr>
        <w:t>B1.6 投标人递交两份或多份内容不同的投标文件，或在一份投标文件中，有两个或多个报价且未书面声明哪一个有效的，按招标文件规定提供可选择性方案报价的除外。</w:t>
      </w:r>
    </w:p>
    <w:p>
      <w:pPr>
        <w:spacing w:line="360" w:lineRule="auto"/>
        <w:ind w:firstLine="484" w:firstLineChars="202"/>
        <w:rPr>
          <w:rFonts w:asciiTheme="minorEastAsia" w:hAnsiTheme="minorEastAsia" w:eastAsiaTheme="minorEastAsia"/>
          <w:sz w:val="24"/>
        </w:rPr>
      </w:pPr>
      <w:r>
        <w:rPr>
          <w:rFonts w:asciiTheme="minorEastAsia" w:hAnsiTheme="minorEastAsia" w:eastAsiaTheme="minorEastAsia"/>
          <w:bCs/>
          <w:sz w:val="24"/>
        </w:rPr>
        <w:t>B1.</w:t>
      </w:r>
      <w:r>
        <w:rPr>
          <w:rFonts w:hint="eastAsia" w:asciiTheme="minorEastAsia" w:hAnsiTheme="minorEastAsia" w:eastAsiaTheme="minorEastAsia"/>
          <w:bCs/>
          <w:sz w:val="24"/>
        </w:rPr>
        <w:t>7</w:t>
      </w:r>
      <w:r>
        <w:rPr>
          <w:rFonts w:hint="eastAsia" w:asciiTheme="minorEastAsia" w:hAnsiTheme="minorEastAsia" w:eastAsiaTheme="minorEastAsia"/>
          <w:sz w:val="24"/>
        </w:rPr>
        <w:t>同一个投标人投多个标段时，在不同标段的《投标函》中承诺的标段第一中标候选人顺序不一致的。</w:t>
      </w:r>
    </w:p>
    <w:p>
      <w:pPr>
        <w:pStyle w:val="9"/>
        <w:spacing w:line="360" w:lineRule="auto"/>
        <w:ind w:firstLine="484" w:firstLineChars="202"/>
        <w:rPr>
          <w:rFonts w:asciiTheme="minorEastAsia" w:hAnsiTheme="minorEastAsia" w:eastAsiaTheme="minorEastAsia"/>
          <w:sz w:val="24"/>
        </w:rPr>
      </w:pPr>
      <w:r>
        <w:rPr>
          <w:rFonts w:asciiTheme="minorEastAsia" w:hAnsiTheme="minorEastAsia" w:eastAsiaTheme="minorEastAsia"/>
          <w:sz w:val="24"/>
        </w:rPr>
        <w:t>B1</w:t>
      </w:r>
      <w:r>
        <w:rPr>
          <w:rFonts w:hint="eastAsia" w:asciiTheme="minorEastAsia" w:hAnsiTheme="minorEastAsia" w:eastAsiaTheme="minorEastAsia"/>
          <w:sz w:val="24"/>
        </w:rPr>
        <w:t>.8</w:t>
      </w:r>
      <w:r>
        <w:rPr>
          <w:rFonts w:asciiTheme="minorEastAsia" w:hAnsiTheme="minorEastAsia" w:eastAsiaTheme="minorEastAsia"/>
          <w:sz w:val="24"/>
        </w:rPr>
        <w:t>在形式评审、资格评审、响应性评审中，评标委员会认定投标人的投标不符合评标办法前附表中规定的任何一项评审标准的。</w:t>
      </w:r>
    </w:p>
    <w:p>
      <w:pPr>
        <w:pStyle w:val="9"/>
        <w:spacing w:line="360" w:lineRule="auto"/>
        <w:rPr>
          <w:rFonts w:asciiTheme="minorEastAsia" w:hAnsiTheme="minorEastAsia" w:eastAsiaTheme="minorEastAsia"/>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3"/>
      </w:pPr>
      <w:bookmarkStart w:id="873" w:name="_Toc496098711"/>
      <w:bookmarkStart w:id="874" w:name="_Toc1221"/>
      <w:r>
        <w:rPr>
          <w:rFonts w:hint="eastAsia"/>
        </w:rPr>
        <w:t xml:space="preserve">第四章 </w:t>
      </w:r>
      <w:r>
        <w:t>合同条款及格式</w:t>
      </w:r>
      <w:bookmarkEnd w:id="873"/>
      <w:bookmarkEnd w:id="874"/>
    </w:p>
    <w:p>
      <w:pPr>
        <w:pStyle w:val="2"/>
        <w:spacing w:line="288" w:lineRule="auto"/>
        <w:jc w:val="center"/>
      </w:pPr>
      <w:bookmarkStart w:id="875" w:name="_Toc20460"/>
      <w:bookmarkStart w:id="876" w:name="_Toc496098712"/>
      <w:bookmarkStart w:id="877" w:name="_Toc27849"/>
      <w:r>
        <w:rPr>
          <w:rFonts w:hint="eastAsia"/>
        </w:rPr>
        <w:t>第一部分  协议书</w:t>
      </w:r>
      <w:bookmarkEnd w:id="875"/>
      <w:bookmarkEnd w:id="876"/>
      <w:bookmarkEnd w:id="877"/>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委托人（全称）：</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监理人（全称）：</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根据《中华人民共和国合同法》、《中华人民共和国建筑法》及其他有关法律、法规，遵循平等、自愿、公平和诚信的原则，双方就下述工程委托监理与相关服务事项协商一致，订立本合同。</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一、工程概况</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工程名称：；</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工程地点：；</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3. 工程规模：；</w:t>
      </w:r>
    </w:p>
    <w:p>
      <w:pPr>
        <w:adjustRightInd w:val="0"/>
        <w:snapToGrid w:val="0"/>
        <w:spacing w:line="288" w:lineRule="auto"/>
        <w:ind w:firstLine="475" w:firstLineChars="198"/>
        <w:jc w:val="left"/>
        <w:rPr>
          <w:rFonts w:asciiTheme="minorEastAsia" w:hAnsiTheme="minorEastAsia" w:eastAsiaTheme="minorEastAsia"/>
          <w:bCs/>
          <w:sz w:val="24"/>
        </w:rPr>
      </w:pPr>
      <w:r>
        <w:rPr>
          <w:rFonts w:asciiTheme="minorEastAsia" w:hAnsiTheme="minorEastAsia" w:eastAsiaTheme="minorEastAsia"/>
          <w:bCs/>
          <w:sz w:val="24"/>
        </w:rPr>
        <w:t xml:space="preserve">4. </w:t>
      </w:r>
      <w:r>
        <w:rPr>
          <w:rFonts w:hint="eastAsia" w:asciiTheme="minorEastAsia" w:hAnsiTheme="minorEastAsia" w:eastAsiaTheme="minorEastAsia"/>
          <w:bCs/>
          <w:sz w:val="24"/>
        </w:rPr>
        <w:t>施工及甲供材料设备合同估算额</w:t>
      </w:r>
      <w:r>
        <w:rPr>
          <w:rFonts w:asciiTheme="minorEastAsia" w:hAnsiTheme="minorEastAsia" w:eastAsiaTheme="minorEastAsia"/>
          <w:bCs/>
          <w:sz w:val="24"/>
        </w:rPr>
        <w:t>：。</w:t>
      </w:r>
    </w:p>
    <w:p>
      <w:pPr>
        <w:adjustRightInd w:val="0"/>
        <w:snapToGrid w:val="0"/>
        <w:spacing w:line="288" w:lineRule="auto"/>
        <w:ind w:firstLine="475" w:firstLineChars="198"/>
        <w:jc w:val="left"/>
        <w:rPr>
          <w:rFonts w:asciiTheme="minorEastAsia" w:hAnsiTheme="minorEastAsia" w:eastAsiaTheme="minorEastAsia"/>
          <w:bCs/>
          <w:sz w:val="24"/>
        </w:rPr>
      </w:pPr>
      <w:r>
        <w:rPr>
          <w:rFonts w:asciiTheme="minorEastAsia" w:hAnsiTheme="minorEastAsia" w:eastAsiaTheme="minorEastAsia"/>
          <w:bCs/>
          <w:sz w:val="24"/>
        </w:rPr>
        <w:t>5.资金来源：</w:t>
      </w:r>
      <w:r>
        <w:rPr>
          <w:rFonts w:asciiTheme="minorEastAsia" w:hAnsiTheme="minorEastAsia" w:eastAsiaTheme="minorEastAsia"/>
          <w:bCs/>
          <w:sz w:val="24"/>
          <w:u w:val="single"/>
        </w:rPr>
        <w:t>　　　　　　　　</w:t>
      </w:r>
      <w:r>
        <w:rPr>
          <w:rFonts w:asciiTheme="minorEastAsia" w:hAnsiTheme="minorEastAsia" w:eastAsiaTheme="minorEastAsia"/>
          <w:bCs/>
          <w:sz w:val="24"/>
        </w:rPr>
        <w:t>。</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二、词语限定</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协议书中相关词语的含义与通用条件中的定义与解释相同。</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三、组成本合同的文件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（2）中标通知书；</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（5）通用条件；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（6）监理服务标准和要求；</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（7）投标文件</w:t>
      </w:r>
      <w:r>
        <w:rPr>
          <w:rFonts w:hint="eastAsia"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（8）招标文件；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（9）</w:t>
      </w:r>
      <w:r>
        <w:rPr>
          <w:rFonts w:asciiTheme="minorEastAsia" w:hAnsiTheme="minorEastAsia" w:eastAsiaTheme="minorEastAsia"/>
          <w:bCs/>
          <w:sz w:val="24"/>
        </w:rPr>
        <w:t>其他合同文件</w:t>
      </w:r>
      <w:r>
        <w:rPr>
          <w:rFonts w:hint="eastAsia"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（10）</w:t>
      </w:r>
      <w:r>
        <w:rPr>
          <w:rFonts w:asciiTheme="minorEastAsia" w:hAnsiTheme="minorEastAsia" w:eastAsiaTheme="minorEastAsia"/>
          <w:bCs/>
          <w:sz w:val="24"/>
        </w:rPr>
        <w:t>附录，即：</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附录A 相关服务的范围和内容</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附录B 委托人派遣的人员和提供的房屋、资料、设备</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附录C</w:t>
      </w:r>
      <w:r>
        <w:rPr>
          <w:rFonts w:hint="eastAsia" w:asciiTheme="minorEastAsia" w:hAnsiTheme="minorEastAsia" w:eastAsiaTheme="minorEastAsia"/>
          <w:bCs/>
          <w:sz w:val="24"/>
        </w:rPr>
        <w:t xml:space="preserve"> 廉洁从业合同</w:t>
      </w:r>
    </w:p>
    <w:p>
      <w:pPr>
        <w:adjustRightInd w:val="0"/>
        <w:snapToGrid w:val="0"/>
        <w:spacing w:line="276" w:lineRule="auto"/>
        <w:ind w:firstLine="472" w:firstLineChars="197"/>
        <w:jc w:val="left"/>
        <w:rPr>
          <w:rFonts w:asciiTheme="minorEastAsia" w:hAnsiTheme="minorEastAsia" w:eastAsiaTheme="minorEastAsia"/>
          <w:bCs/>
          <w:sz w:val="24"/>
        </w:rPr>
      </w:pPr>
      <w:r>
        <w:rPr>
          <w:rFonts w:asciiTheme="minorEastAsia" w:hAnsiTheme="minorEastAsia" w:eastAsiaTheme="minorEastAsia"/>
          <w:bCs/>
          <w:sz w:val="24"/>
        </w:rPr>
        <w:t>附录D安全责任保证书</w:t>
      </w:r>
    </w:p>
    <w:p>
      <w:pPr>
        <w:adjustRightInd w:val="0"/>
        <w:snapToGrid w:val="0"/>
        <w:spacing w:line="276" w:lineRule="auto"/>
        <w:ind w:firstLine="472" w:firstLineChars="197"/>
        <w:rPr>
          <w:rFonts w:asciiTheme="minorEastAsia" w:hAnsiTheme="minorEastAsia" w:eastAsiaTheme="minorEastAsia"/>
          <w:bCs/>
          <w:sz w:val="24"/>
        </w:rPr>
      </w:pPr>
      <w:r>
        <w:rPr>
          <w:rFonts w:asciiTheme="minorEastAsia" w:hAnsiTheme="minorEastAsia" w:eastAsiaTheme="minorEastAsia"/>
          <w:bCs/>
          <w:sz w:val="24"/>
        </w:rPr>
        <w:t>附录</w:t>
      </w:r>
      <w:r>
        <w:rPr>
          <w:rFonts w:hint="eastAsia" w:asciiTheme="minorEastAsia" w:hAnsiTheme="minorEastAsia" w:eastAsiaTheme="minorEastAsia"/>
          <w:bCs/>
          <w:sz w:val="24"/>
        </w:rPr>
        <w:t>E</w:t>
      </w:r>
      <w:r>
        <w:rPr>
          <w:rFonts w:asciiTheme="minorEastAsia" w:hAnsiTheme="minorEastAsia" w:eastAsiaTheme="minorEastAsia"/>
          <w:bCs/>
          <w:sz w:val="24"/>
        </w:rPr>
        <w:t>履约保函（参考格式）</w:t>
      </w:r>
    </w:p>
    <w:p>
      <w:pPr>
        <w:adjustRightInd w:val="0"/>
        <w:snapToGrid w:val="0"/>
        <w:spacing w:line="288" w:lineRule="auto"/>
        <w:ind w:firstLine="472" w:firstLineChars="197"/>
        <w:rPr>
          <w:rFonts w:asciiTheme="minorEastAsia" w:hAnsiTheme="minorEastAsia" w:eastAsiaTheme="minorEastAsia"/>
          <w:bCs/>
          <w:sz w:val="24"/>
        </w:rPr>
      </w:pPr>
      <w:r>
        <w:rPr>
          <w:rFonts w:asciiTheme="minorEastAsia" w:hAnsiTheme="minorEastAsia" w:eastAsiaTheme="minorEastAsia"/>
          <w:bCs/>
          <w:sz w:val="24"/>
        </w:rPr>
        <w:t>本合同签订后，双方依法签订的补充协议也是本合同文件的组成部分。</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四、总监理工程师</w:t>
      </w:r>
    </w:p>
    <w:p>
      <w:pPr>
        <w:adjustRightInd w:val="0"/>
        <w:snapToGrid w:val="0"/>
        <w:spacing w:line="288" w:lineRule="auto"/>
        <w:ind w:left="424" w:leftChars="202"/>
        <w:rPr>
          <w:rFonts w:asciiTheme="minorEastAsia" w:hAnsiTheme="minorEastAsia" w:eastAsiaTheme="minorEastAsia"/>
          <w:bCs/>
          <w:kern w:val="0"/>
          <w:sz w:val="24"/>
        </w:rPr>
      </w:pPr>
      <w:r>
        <w:rPr>
          <w:rFonts w:asciiTheme="minorEastAsia" w:hAnsiTheme="minorEastAsia" w:eastAsiaTheme="minorEastAsia"/>
          <w:bCs/>
          <w:kern w:val="0"/>
          <w:sz w:val="24"/>
        </w:rPr>
        <w:t>总监理工程师姓名：，身份证号码：，注册</w:t>
      </w:r>
      <w:r>
        <w:rPr>
          <w:rFonts w:hint="eastAsia" w:asciiTheme="minorEastAsia" w:hAnsiTheme="minorEastAsia" w:eastAsiaTheme="minorEastAsia"/>
          <w:bCs/>
          <w:kern w:val="0"/>
          <w:sz w:val="24"/>
        </w:rPr>
        <w:t>监理工程师证</w:t>
      </w:r>
      <w:r>
        <w:rPr>
          <w:rFonts w:asciiTheme="minorEastAsia" w:hAnsiTheme="minorEastAsia" w:eastAsiaTheme="minorEastAsia"/>
          <w:bCs/>
          <w:kern w:val="0"/>
          <w:sz w:val="24"/>
        </w:rPr>
        <w:t>号：。</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五、签约酬金</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监理服务费</w:t>
      </w:r>
      <w:r>
        <w:rPr>
          <w:rFonts w:hint="eastAsia" w:asciiTheme="minorEastAsia" w:hAnsiTheme="minorEastAsia" w:eastAsiaTheme="minorEastAsia"/>
          <w:bCs/>
          <w:sz w:val="24"/>
        </w:rPr>
        <w:t>费率为：；</w:t>
      </w:r>
    </w:p>
    <w:p>
      <w:pPr>
        <w:adjustRightInd w:val="0"/>
        <w:snapToGrid w:val="0"/>
        <w:spacing w:line="288" w:lineRule="auto"/>
        <w:ind w:firstLine="475" w:firstLineChars="198"/>
        <w:rPr>
          <w:rFonts w:asciiTheme="minorEastAsia" w:hAnsiTheme="minorEastAsia" w:eastAsiaTheme="minorEastAsia"/>
          <w:bCs/>
          <w:sz w:val="24"/>
          <w:u w:val="single"/>
        </w:rPr>
      </w:pPr>
      <w:r>
        <w:rPr>
          <w:rFonts w:hint="eastAsia" w:asciiTheme="minorEastAsia" w:hAnsiTheme="minorEastAsia" w:eastAsiaTheme="minorEastAsia"/>
          <w:bCs/>
          <w:sz w:val="24"/>
        </w:rPr>
        <w:t>签约合同价：；</w:t>
      </w:r>
    </w:p>
    <w:p>
      <w:pPr>
        <w:adjustRightInd w:val="0"/>
        <w:snapToGrid w:val="0"/>
        <w:spacing w:line="288" w:lineRule="auto"/>
        <w:ind w:firstLine="475" w:firstLineChars="198"/>
        <w:rPr>
          <w:rFonts w:asciiTheme="minorEastAsia" w:hAnsiTheme="minorEastAsia" w:eastAsiaTheme="minorEastAsia"/>
          <w:bCs/>
          <w:sz w:val="24"/>
        </w:rPr>
      </w:pPr>
      <w:r>
        <w:rPr>
          <w:rFonts w:hint="eastAsia" w:asciiTheme="minorEastAsia" w:hAnsiTheme="minorEastAsia" w:eastAsiaTheme="minorEastAsia"/>
          <w:bCs/>
          <w:sz w:val="24"/>
        </w:rPr>
        <w:t>经测算的不含税合同价：。</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六、工程范围</w:t>
      </w:r>
    </w:p>
    <w:p>
      <w:pPr>
        <w:adjustRightInd w:val="0"/>
        <w:snapToGrid w:val="0"/>
        <w:spacing w:line="288"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为 。</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七、服务期限</w:t>
      </w:r>
    </w:p>
    <w:p>
      <w:pPr>
        <w:adjustRightInd w:val="0"/>
        <w:snapToGrid w:val="0"/>
        <w:spacing w:line="288" w:lineRule="auto"/>
        <w:ind w:firstLine="475" w:firstLineChars="198"/>
        <w:rPr>
          <w:rFonts w:asciiTheme="minorEastAsia" w:hAnsiTheme="minorEastAsia" w:eastAsiaTheme="minorEastAsia"/>
          <w:bCs/>
          <w:sz w:val="24"/>
        </w:rPr>
      </w:pPr>
      <w:r>
        <w:rPr>
          <w:rFonts w:hint="eastAsia" w:asciiTheme="minorEastAsia" w:hAnsiTheme="minorEastAsia" w:eastAsiaTheme="minorEastAsia"/>
          <w:bCs/>
          <w:sz w:val="24"/>
        </w:rPr>
        <w:t>自 年月日起，至年月日止。</w:t>
      </w:r>
    </w:p>
    <w:p>
      <w:pPr>
        <w:adjustRightInd w:val="0"/>
        <w:snapToGrid w:val="0"/>
        <w:spacing w:line="288" w:lineRule="auto"/>
        <w:ind w:firstLine="487" w:firstLineChars="202"/>
        <w:jc w:val="left"/>
        <w:rPr>
          <w:rFonts w:asciiTheme="minorEastAsia" w:hAnsiTheme="minorEastAsia" w:eastAsiaTheme="minorEastAsia"/>
          <w:b/>
          <w:bCs/>
          <w:sz w:val="24"/>
        </w:rPr>
      </w:pPr>
      <w:r>
        <w:rPr>
          <w:rFonts w:hint="eastAsia" w:asciiTheme="minorEastAsia" w:hAnsiTheme="minorEastAsia" w:eastAsiaTheme="minorEastAsia"/>
          <w:b/>
          <w:bCs/>
          <w:sz w:val="24"/>
        </w:rPr>
        <w:t>八、双方承诺</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监理人向委托人承诺，按照本合同约定提供监理与相关服务。</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委托人向监理人承诺，按照本合同约定支付酬金。</w:t>
      </w:r>
    </w:p>
    <w:p>
      <w:pPr>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九、合同订立</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1. 订立时间：年月日。</w:t>
      </w:r>
    </w:p>
    <w:p>
      <w:pPr>
        <w:adjustRightInd w:val="0"/>
        <w:snapToGrid w:val="0"/>
        <w:spacing w:line="288" w:lineRule="auto"/>
        <w:ind w:firstLine="475" w:firstLineChars="198"/>
        <w:rPr>
          <w:rFonts w:asciiTheme="minorEastAsia" w:hAnsiTheme="minorEastAsia" w:eastAsiaTheme="minorEastAsia"/>
          <w:bCs/>
          <w:sz w:val="24"/>
        </w:rPr>
      </w:pPr>
      <w:r>
        <w:rPr>
          <w:rFonts w:asciiTheme="minorEastAsia" w:hAnsiTheme="minorEastAsia" w:eastAsiaTheme="minorEastAsia"/>
          <w:bCs/>
          <w:sz w:val="24"/>
        </w:rPr>
        <w:t>2. 订立地点：。</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 本合同文件正本一式份，副本份，委托人执正本</w:t>
      </w:r>
      <w:r>
        <w:rPr>
          <w:rFonts w:asciiTheme="minorEastAsia" w:hAnsiTheme="minorEastAsia" w:eastAsiaTheme="minorEastAsia"/>
          <w:bCs/>
          <w:sz w:val="24"/>
          <w:u w:val="single"/>
        </w:rPr>
        <w:t>份</w:t>
      </w:r>
      <w:r>
        <w:rPr>
          <w:rFonts w:asciiTheme="minorEastAsia" w:hAnsiTheme="minorEastAsia" w:eastAsiaTheme="minorEastAsia"/>
          <w:bCs/>
          <w:sz w:val="24"/>
        </w:rPr>
        <w:t>，副本份，</w:t>
      </w:r>
      <w:r>
        <w:rPr>
          <w:rFonts w:hint="eastAsia" w:asciiTheme="minorEastAsia" w:hAnsiTheme="minorEastAsia" w:eastAsiaTheme="minorEastAsia"/>
          <w:bCs/>
          <w:sz w:val="24"/>
        </w:rPr>
        <w:t>监理</w:t>
      </w:r>
      <w:r>
        <w:rPr>
          <w:rFonts w:asciiTheme="minorEastAsia" w:hAnsiTheme="minorEastAsia" w:eastAsiaTheme="minorEastAsia"/>
          <w:bCs/>
          <w:sz w:val="24"/>
        </w:rPr>
        <w:t>人执正本份，副本份。</w:t>
      </w:r>
    </w:p>
    <w:p>
      <w:pPr>
        <w:adjustRightInd w:val="0"/>
        <w:snapToGrid w:val="0"/>
        <w:spacing w:line="420" w:lineRule="exact"/>
        <w:ind w:firstLine="475" w:firstLineChars="198"/>
        <w:rPr>
          <w:rFonts w:asciiTheme="minorEastAsia" w:hAnsiTheme="minorEastAsia" w:eastAsiaTheme="minorEastAsia"/>
          <w:bCs/>
          <w:sz w:val="24"/>
        </w:rPr>
      </w:pP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委托人：</w:t>
      </w:r>
      <w:r>
        <w:rPr>
          <w:rFonts w:asciiTheme="minorEastAsia" w:hAnsiTheme="minorEastAsia" w:eastAsiaTheme="minorEastAsia"/>
          <w:bCs/>
          <w:sz w:val="24"/>
          <w:u w:val="single"/>
        </w:rPr>
        <w:t xml:space="preserve">   （盖章）     </w:t>
      </w:r>
      <w:r>
        <w:rPr>
          <w:rFonts w:asciiTheme="minorEastAsia" w:hAnsiTheme="minorEastAsia" w:eastAsiaTheme="minorEastAsia"/>
          <w:bCs/>
          <w:sz w:val="24"/>
        </w:rPr>
        <w:t>监理人：</w:t>
      </w:r>
      <w:r>
        <w:rPr>
          <w:rFonts w:asciiTheme="minorEastAsia" w:hAnsiTheme="minorEastAsia" w:eastAsiaTheme="minorEastAsia"/>
          <w:bCs/>
          <w:sz w:val="24"/>
          <w:u w:val="single"/>
        </w:rPr>
        <w:t xml:space="preserve">   （盖章）</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 xml:space="preserve">住所：     住所： </w:t>
      </w:r>
    </w:p>
    <w:p>
      <w:pPr>
        <w:adjustRightInd w:val="0"/>
        <w:snapToGrid w:val="0"/>
        <w:spacing w:line="420" w:lineRule="exact"/>
        <w:ind w:firstLine="420"/>
        <w:rPr>
          <w:rFonts w:asciiTheme="minorEastAsia" w:hAnsiTheme="minorEastAsia" w:eastAsiaTheme="minorEastAsia"/>
          <w:bCs/>
          <w:sz w:val="24"/>
        </w:rPr>
      </w:pPr>
      <w:r>
        <w:rPr>
          <w:rFonts w:asciiTheme="minorEastAsia" w:hAnsiTheme="minorEastAsia" w:eastAsiaTheme="minorEastAsia"/>
          <w:bCs/>
          <w:sz w:val="24"/>
        </w:rPr>
        <w:t>邮政编码：邮政编码：</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法定代表人或其授权       法定代表人或其授权</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的代理人：</w:t>
      </w:r>
      <w:r>
        <w:rPr>
          <w:rFonts w:asciiTheme="minorEastAsia" w:hAnsiTheme="minorEastAsia" w:eastAsiaTheme="minorEastAsia"/>
          <w:bCs/>
          <w:sz w:val="24"/>
          <w:u w:val="single"/>
        </w:rPr>
        <w:t xml:space="preserve">（签字）      </w:t>
      </w:r>
      <w:r>
        <w:rPr>
          <w:rFonts w:asciiTheme="minorEastAsia" w:hAnsiTheme="minorEastAsia" w:eastAsiaTheme="minorEastAsia"/>
          <w:bCs/>
          <w:sz w:val="24"/>
        </w:rPr>
        <w:t>的代理人：</w:t>
      </w:r>
      <w:r>
        <w:rPr>
          <w:rFonts w:asciiTheme="minorEastAsia" w:hAnsiTheme="minorEastAsia" w:eastAsiaTheme="minorEastAsia"/>
          <w:bCs/>
          <w:sz w:val="24"/>
          <w:u w:val="single"/>
        </w:rPr>
        <w:t xml:space="preserve">（签字）          </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开户银行：开户银行：</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账号：账号：</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电话：电话：</w:t>
      </w:r>
    </w:p>
    <w:p>
      <w:pPr>
        <w:adjustRightInd w:val="0"/>
        <w:snapToGrid w:val="0"/>
        <w:spacing w:line="420" w:lineRule="exact"/>
        <w:ind w:firstLine="475" w:firstLineChars="198"/>
        <w:rPr>
          <w:rFonts w:asciiTheme="minorEastAsia" w:hAnsiTheme="minorEastAsia" w:eastAsiaTheme="minorEastAsia"/>
          <w:bCs/>
          <w:sz w:val="24"/>
        </w:rPr>
      </w:pPr>
      <w:r>
        <w:rPr>
          <w:rFonts w:asciiTheme="minorEastAsia" w:hAnsiTheme="minorEastAsia" w:eastAsiaTheme="minorEastAsia"/>
          <w:bCs/>
          <w:sz w:val="24"/>
        </w:rPr>
        <w:t>传真：传真：</w:t>
      </w:r>
    </w:p>
    <w:p>
      <w:pPr>
        <w:adjustRightInd w:val="0"/>
        <w:snapToGrid w:val="0"/>
        <w:spacing w:line="420" w:lineRule="exact"/>
        <w:ind w:firstLine="475" w:firstLineChars="198"/>
        <w:rPr>
          <w:rFonts w:asciiTheme="minorEastAsia" w:hAnsiTheme="minorEastAsia" w:eastAsiaTheme="minorEastAsia"/>
          <w:bCs/>
          <w:sz w:val="24"/>
          <w:u w:val="single"/>
        </w:rPr>
      </w:pPr>
      <w:r>
        <w:rPr>
          <w:rFonts w:asciiTheme="minorEastAsia" w:hAnsiTheme="minorEastAsia" w:eastAsiaTheme="minorEastAsia"/>
          <w:bCs/>
          <w:sz w:val="24"/>
        </w:rPr>
        <w:t>电子邮箱：电子邮箱：</w:t>
      </w:r>
      <w:bookmarkStart w:id="878" w:name="_Toc496098713"/>
    </w:p>
    <w:p/>
    <w:p/>
    <w:p/>
    <w:p/>
    <w:p/>
    <w:p/>
    <w:p/>
    <w:p/>
    <w:p/>
    <w:p/>
    <w:p/>
    <w:p/>
    <w:p/>
    <w:p>
      <w:pPr>
        <w:pStyle w:val="2"/>
        <w:jc w:val="center"/>
      </w:pPr>
      <w:bookmarkStart w:id="879" w:name="_Toc2105"/>
      <w:r>
        <w:rPr>
          <w:rFonts w:hint="eastAsia"/>
        </w:rPr>
        <w:t>第二部分  通用条件</w:t>
      </w:r>
      <w:bookmarkEnd w:id="878"/>
      <w:bookmarkEnd w:id="879"/>
    </w:p>
    <w:p>
      <w:pPr>
        <w:pStyle w:val="2"/>
        <w:spacing w:line="288" w:lineRule="auto"/>
      </w:pPr>
      <w:bookmarkStart w:id="880" w:name="_Toc443898800"/>
      <w:bookmarkStart w:id="881" w:name="_Toc25186"/>
      <w:bookmarkStart w:id="882" w:name="_Toc10078"/>
      <w:bookmarkStart w:id="883" w:name="_Toc496098714"/>
      <w:r>
        <w:rPr>
          <w:rFonts w:hint="eastAsia"/>
        </w:rPr>
        <w:t>1. 定义与解释</w:t>
      </w:r>
      <w:bookmarkEnd w:id="880"/>
      <w:bookmarkEnd w:id="881"/>
      <w:bookmarkEnd w:id="882"/>
      <w:bookmarkEnd w:id="883"/>
    </w:p>
    <w:p>
      <w:pPr>
        <w:pStyle w:val="4"/>
        <w:spacing w:line="288" w:lineRule="auto"/>
      </w:pPr>
      <w:bookmarkStart w:id="884" w:name="_Toc13920"/>
      <w:bookmarkStart w:id="885" w:name="_Toc6570"/>
      <w:bookmarkStart w:id="886" w:name="_Toc499204935"/>
      <w:bookmarkStart w:id="887" w:name="_Toc443898801"/>
      <w:bookmarkStart w:id="888" w:name="_Toc496098715"/>
      <w:bookmarkStart w:id="889" w:name="_Toc4388"/>
      <w:r>
        <w:rPr>
          <w:rFonts w:hint="eastAsia"/>
        </w:rPr>
        <w:t>1.1 定义</w:t>
      </w:r>
      <w:bookmarkEnd w:id="884"/>
      <w:bookmarkEnd w:id="885"/>
      <w:bookmarkEnd w:id="886"/>
      <w:bookmarkEnd w:id="887"/>
      <w:bookmarkEnd w:id="888"/>
      <w:bookmarkEnd w:id="889"/>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除根据上下文另有其意义外，组成本合同的全部文件中的下列名词和用语应具有本款所赋予的含义：</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 “工程”是指按照本合同约定实施监理与相关服务的建设工程。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1.1.2 “委托人”是指本合同中委托监理与相关服务的一方，及其合法的继承人或受让人。</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1.1.3 “监理人”是指本合同中提供监理与相关服务的一方，及其合法的继承人。</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1.1.4 “承包人”是指在工程范围内与委托人签订勘察、设计、施工等有关合同的当事人，及其合法的继承人。</w:t>
      </w:r>
    </w:p>
    <w:p>
      <w:pPr>
        <w:pStyle w:val="12"/>
        <w:spacing w:line="288"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1.1.6 “相关服务”是指监理人受委托人的委托 ，按照本合同约定，在勘察、设计、保修等阶段提供的服务活动。</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1.1.7 “正常工作”指本合同订立时通用条件和专用条件中约定的监理人的工作。</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1.1.8 “附加工作”是指本合同约定的正常工作以外监理人的工作。</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1.1.9 “项目监理机构”是指监理人派驻工程负责履行本合同的组织机构。</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1.1.10 “总监理工程师”是指由监理人的法定代表人书面授权，全面负责履行本合同、主持项目监理机构工作的注册监理工程师。</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1.1.11 “酬金”是指监理人履行本合同义务，委托人按照本合同约定给付监理人的金额。</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1.1.12 “正常工作</w:t>
      </w:r>
      <w:r>
        <w:rPr>
          <w:rFonts w:hint="eastAsia" w:cs="宋体" w:asciiTheme="minorEastAsia" w:hAnsiTheme="minorEastAsia" w:eastAsiaTheme="minorEastAsia"/>
          <w:kern w:val="0"/>
          <w:sz w:val="24"/>
        </w:rPr>
        <w:t>酬金”</w:t>
      </w:r>
      <w:r>
        <w:rPr>
          <w:rFonts w:hint="eastAsia" w:asciiTheme="minorEastAsia" w:hAnsiTheme="minorEastAsia" w:eastAsiaTheme="minorEastAsia"/>
          <w:sz w:val="24"/>
        </w:rPr>
        <w:t>是指监理人完成正常工作，委托人应给付监理人并在协议书中载明的签约</w:t>
      </w:r>
      <w:r>
        <w:rPr>
          <w:rFonts w:hint="eastAsia" w:cs="宋体" w:asciiTheme="minorEastAsia" w:hAnsiTheme="minorEastAsia" w:eastAsiaTheme="minorEastAsia"/>
          <w:kern w:val="0"/>
          <w:sz w:val="24"/>
        </w:rPr>
        <w:t>酬金额</w:t>
      </w:r>
      <w:r>
        <w:rPr>
          <w:rFonts w:hint="eastAsia" w:asciiTheme="minorEastAsia" w:hAnsiTheme="minorEastAsia" w:eastAsiaTheme="minorEastAsia"/>
          <w:sz w:val="24"/>
        </w:rPr>
        <w:t>。</w:t>
      </w:r>
    </w:p>
    <w:p>
      <w:pPr>
        <w:adjustRightInd w:val="0"/>
        <w:snapToGrid w:val="0"/>
        <w:spacing w:line="288"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1.1.13 “附加工作酬金”是指监理人完成附加工作，委托人应给付监理人的金额。</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1.1.14 “一方”是指委托人或监理人；“双方”是指委托人和监理人；“第三方”是指除委托人和监理人以外的有关方。</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1.1.15 “书面形式”是指合同书、信件和数据电文（包括电报、电传、传真、电子数据交换和电子邮件）等可以有形地表现所载内容的形式。</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1.1.16 “天”是指第一天零时至第二天零时的时间。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1.1.17“月”是指按公历从一个月中任何一天开始的一个公历月时间。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4"/>
        <w:spacing w:line="288" w:lineRule="auto"/>
      </w:pPr>
      <w:bookmarkStart w:id="890" w:name="_Toc496098716"/>
      <w:bookmarkStart w:id="891" w:name="_Toc499204936"/>
      <w:bookmarkStart w:id="892" w:name="_Toc22558"/>
      <w:bookmarkStart w:id="893" w:name="_Toc443898802"/>
      <w:bookmarkStart w:id="894" w:name="_Toc243"/>
      <w:bookmarkStart w:id="895" w:name="_Toc11810"/>
      <w:r>
        <w:rPr>
          <w:rFonts w:hint="eastAsia"/>
        </w:rPr>
        <w:t>1.2 解释</w:t>
      </w:r>
      <w:bookmarkEnd w:id="890"/>
      <w:bookmarkEnd w:id="891"/>
      <w:bookmarkEnd w:id="892"/>
      <w:bookmarkEnd w:id="893"/>
      <w:bookmarkEnd w:id="894"/>
      <w:bookmarkEnd w:id="895"/>
    </w:p>
    <w:p>
      <w:pPr>
        <w:tabs>
          <w:tab w:val="left" w:pos="6140"/>
        </w:tabs>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1.2.1本合同使用中文书写、解释和说明。如专用条件约定使用两种及以上语言文字时，应以中文为准。</w:t>
      </w:r>
    </w:p>
    <w:p>
      <w:pPr>
        <w:tabs>
          <w:tab w:val="left" w:pos="6140"/>
        </w:tabs>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1.2.2 组成本合同的下列文件彼此应能相互解释、互为说明。除专用条件另有约定外，本合同文件的解释顺序如下：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（1）协议书；</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（2）中标通知书（适用于招标工程）或委托书（适用于非招标工程）；</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（3）专用条件及附录A、附录B；</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（4）通用条件；</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（5）投标文件（适用于招标工程）或监理与相关服务建议书（适用于非招标工程）。</w:t>
      </w:r>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双方签订的补充协议与其他文件发生矛盾或歧义时，属于同一类内容的文件，应以最新签署的为准。</w:t>
      </w:r>
    </w:p>
    <w:p>
      <w:pPr>
        <w:pStyle w:val="2"/>
        <w:spacing w:line="288" w:lineRule="auto"/>
      </w:pPr>
      <w:bookmarkStart w:id="896" w:name="_Toc496098717"/>
      <w:bookmarkStart w:id="897" w:name="_Toc443898803"/>
      <w:bookmarkStart w:id="898" w:name="_Toc20840"/>
      <w:bookmarkStart w:id="899" w:name="_Toc18532"/>
      <w:r>
        <w:rPr>
          <w:rFonts w:hint="eastAsia"/>
        </w:rPr>
        <w:t>2. 监理人的义务</w:t>
      </w:r>
      <w:bookmarkEnd w:id="896"/>
      <w:bookmarkEnd w:id="897"/>
      <w:bookmarkEnd w:id="898"/>
      <w:bookmarkEnd w:id="899"/>
    </w:p>
    <w:p>
      <w:pPr>
        <w:pStyle w:val="4"/>
        <w:spacing w:line="288" w:lineRule="auto"/>
      </w:pPr>
      <w:bookmarkStart w:id="900" w:name="_Toc25198"/>
      <w:bookmarkStart w:id="901" w:name="_Toc7498"/>
      <w:bookmarkStart w:id="902" w:name="_Toc496098718"/>
      <w:bookmarkStart w:id="903" w:name="_Toc19487"/>
      <w:bookmarkStart w:id="904" w:name="_Toc443898804"/>
      <w:bookmarkStart w:id="905" w:name="_Toc499204938"/>
      <w:r>
        <w:rPr>
          <w:rFonts w:hint="eastAsia"/>
        </w:rPr>
        <w:t>2.1 监理的范围和工作内容</w:t>
      </w:r>
      <w:bookmarkEnd w:id="900"/>
      <w:bookmarkEnd w:id="901"/>
      <w:bookmarkEnd w:id="902"/>
      <w:bookmarkEnd w:id="903"/>
      <w:bookmarkEnd w:id="904"/>
      <w:bookmarkEnd w:id="905"/>
    </w:p>
    <w:p>
      <w:pPr>
        <w:adjustRightInd w:val="0"/>
        <w:snapToGrid w:val="0"/>
        <w:spacing w:line="288" w:lineRule="auto"/>
        <w:ind w:firstLine="547" w:firstLineChars="228"/>
        <w:rPr>
          <w:rFonts w:asciiTheme="minorEastAsia" w:hAnsiTheme="minorEastAsia" w:eastAsiaTheme="minorEastAsia"/>
          <w:sz w:val="24"/>
        </w:rPr>
      </w:pPr>
      <w:r>
        <w:rPr>
          <w:rFonts w:hint="eastAsia" w:asciiTheme="minorEastAsia" w:hAnsiTheme="minorEastAsia" w:eastAsiaTheme="minorEastAsia"/>
          <w:sz w:val="24"/>
        </w:rPr>
        <w:t>2.1.1 监理范围在专用条件中约定。</w:t>
      </w:r>
    </w:p>
    <w:p>
      <w:pPr>
        <w:adjustRightInd w:val="0"/>
        <w:snapToGrid w:val="0"/>
        <w:spacing w:line="288" w:lineRule="auto"/>
        <w:ind w:firstLine="547" w:firstLineChars="228"/>
        <w:rPr>
          <w:rFonts w:asciiTheme="minorEastAsia" w:hAnsiTheme="minorEastAsia" w:eastAsiaTheme="minorEastAsia"/>
          <w:sz w:val="24"/>
        </w:rPr>
      </w:pPr>
      <w:r>
        <w:rPr>
          <w:rFonts w:hint="eastAsia" w:asciiTheme="minorEastAsia" w:hAnsiTheme="minorEastAsia" w:eastAsiaTheme="minorEastAsia"/>
          <w:sz w:val="24"/>
        </w:rPr>
        <w:t>2.1.2 除专用条件另有约定外，监理工作内容包括：</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（1）收到工程设计文件后编制监理规划，并在第一次工地会议7天前报委托人。根据有关规定和监理工作需要，编制监理实施细则；</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（2）熟悉工程设计文件，并参加由委托人主持的图纸会审和设计交底会议；</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（3）参加由委托人主持的第一次工地会议；主持监理例会并根据工程需要主持或参加专题会议；</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（4）审查施工承包人提交的施工组织设计，重点审查其中的质量安全技术措施、专项施工方案与工程建设强制性标准的符合性；</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 xml:space="preserve">（5）检查施工承包人工程质量、安全生产管理制度及组织机构和人员资格； </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（6）检查施工承包人专职安全生产管理人员的配备情况；</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（7）审查施工承包人提交的施工进度计划，核查承包人对施工进度计划的调整；</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（8）检查施工承包人的试验室；</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（9）审核施工分包人资质条件；</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（10）查验施工承包人的施工测量放线成果；</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（11）审查工程开工条件，对条件具备的签发开工令；</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（12）审查施工承包人报送的工程材料、构配件、设备质量证明文件的有效性和符合性，并按规定对用于工程的材料采取平行检验或见证取样方式进行抽检；</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（13）审核施工承包人提交的工程款支付申请，签发或出具工程款支付证书，并报委托人审核、批准；</w:t>
      </w:r>
    </w:p>
    <w:p>
      <w:pPr>
        <w:adjustRightInd w:val="0"/>
        <w:snapToGrid w:val="0"/>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（14）在巡视、旁站和检验过程中，发现工程质量、施工安全存在事故隐患的，要求施工承包人整改并报委托人；</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（15）经委托人同意，签发工程暂停令和复工令；</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（16）审查施工承包人提交的采用新材料、新工艺、新技术、新设备的论证材料及相关验收标准；</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（17）验收隐蔽工程、分部分项工程；</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（18）审查施工承包人提交的工程变更申请，协调处理施工进度调整、费用索赔、合同争议等事项；</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（19）审查施工承包人提交的竣工验收申请，编写工程质量评估报告；</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（20）参加工程竣工验收，签署竣工验收意见；</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（21）审查施工承包人提交的竣工结算申请并报委托人；</w:t>
      </w:r>
    </w:p>
    <w:p>
      <w:pPr>
        <w:spacing w:line="288"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（22）编制、整理工程监理归档文件并报委托人。</w:t>
      </w:r>
    </w:p>
    <w:p>
      <w:pPr>
        <w:spacing w:line="288" w:lineRule="auto"/>
        <w:ind w:left="420" w:leftChars="200" w:firstLine="120" w:firstLineChars="50"/>
        <w:rPr>
          <w:rFonts w:asciiTheme="minorEastAsia" w:hAnsiTheme="minorEastAsia" w:eastAsiaTheme="minorEastAsia"/>
          <w:sz w:val="24"/>
        </w:rPr>
      </w:pPr>
      <w:r>
        <w:rPr>
          <w:rFonts w:hint="eastAsia" w:asciiTheme="minorEastAsia" w:hAnsiTheme="minorEastAsia" w:eastAsiaTheme="minorEastAsia"/>
          <w:sz w:val="24"/>
        </w:rPr>
        <w:t>2.1.3 相关服务的范围和内容在附录A中约定。</w:t>
      </w:r>
    </w:p>
    <w:p>
      <w:pPr>
        <w:pStyle w:val="4"/>
        <w:spacing w:line="288" w:lineRule="auto"/>
      </w:pPr>
      <w:bookmarkStart w:id="906" w:name="_Toc496098719"/>
      <w:bookmarkStart w:id="907" w:name="_Toc31992"/>
      <w:bookmarkStart w:id="908" w:name="_Toc27444"/>
      <w:bookmarkStart w:id="909" w:name="_Toc443898805"/>
      <w:bookmarkStart w:id="910" w:name="_Toc499204939"/>
      <w:bookmarkStart w:id="911" w:name="_Toc25787"/>
      <w:r>
        <w:rPr>
          <w:rFonts w:hint="eastAsia"/>
        </w:rPr>
        <w:t>2.2 监理与相关服务依据</w:t>
      </w:r>
      <w:bookmarkEnd w:id="906"/>
      <w:bookmarkEnd w:id="907"/>
      <w:bookmarkEnd w:id="908"/>
      <w:bookmarkEnd w:id="909"/>
      <w:bookmarkEnd w:id="910"/>
      <w:bookmarkEnd w:id="911"/>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2.2.1 监理依据包括：</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（1）适用的法律、行政法规及部门规章；</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（2）与工程有关的标准；</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（3）工程设计及有关文件；</w:t>
      </w:r>
    </w:p>
    <w:p>
      <w:pPr>
        <w:adjustRightInd w:val="0"/>
        <w:snapToGrid w:val="0"/>
        <w:spacing w:line="288"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（4）本合同及委托人与第三方签订的与实施工程有关的其他合同。</w:t>
      </w:r>
    </w:p>
    <w:p>
      <w:pPr>
        <w:spacing w:line="288" w:lineRule="auto"/>
        <w:ind w:left="210" w:leftChars="100" w:firstLine="420"/>
        <w:rPr>
          <w:rFonts w:asciiTheme="minorEastAsia" w:hAnsiTheme="minorEastAsia" w:eastAsiaTheme="minorEastAsia"/>
          <w:bCs/>
          <w:sz w:val="24"/>
        </w:rPr>
      </w:pPr>
      <w:r>
        <w:rPr>
          <w:rFonts w:hint="eastAsia" w:asciiTheme="minorEastAsia" w:hAnsiTheme="minorEastAsia" w:eastAsiaTheme="minorEastAsia"/>
          <w:bCs/>
          <w:sz w:val="24"/>
        </w:rPr>
        <w:t>双方根据工程的行业和地域特点，在专用条件中具体约定监理依据。</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2.2.2 相关服务依据在专用条件中约定。</w:t>
      </w:r>
    </w:p>
    <w:p>
      <w:pPr>
        <w:pStyle w:val="4"/>
        <w:spacing w:line="288" w:lineRule="auto"/>
      </w:pPr>
      <w:bookmarkStart w:id="912" w:name="_Toc443898806"/>
      <w:bookmarkStart w:id="913" w:name="_Toc6080"/>
      <w:bookmarkStart w:id="914" w:name="_Toc496098720"/>
      <w:bookmarkStart w:id="915" w:name="_Toc13490"/>
      <w:bookmarkStart w:id="916" w:name="_Toc499204940"/>
      <w:bookmarkStart w:id="917" w:name="_Toc7609"/>
      <w:r>
        <w:rPr>
          <w:rFonts w:hint="eastAsia"/>
        </w:rPr>
        <w:t>2.3 项目监理机构和人员</w:t>
      </w:r>
      <w:bookmarkEnd w:id="912"/>
      <w:bookmarkEnd w:id="913"/>
      <w:bookmarkEnd w:id="914"/>
      <w:bookmarkEnd w:id="915"/>
      <w:bookmarkEnd w:id="916"/>
      <w:bookmarkEnd w:id="917"/>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2.3.1 监理人应组建满足工作需要的项目监理机构，配备必要的检测设备。项目监理机构的主要人员应具有相应的资格条件。</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2.3.2本合同履行过程中，总监理工程师及重要岗位监理人员应保持相对稳定，以保证监理工作正常进行。</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2.3.4 监理人应及时更换有下列情形之一的监理人员：</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（1）严重过失行为的；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（2）有违法行为不能履行职责的；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（3）涉嫌犯罪的；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（4）不能胜任岗位职责的；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（5）严重违反职业道德的；</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（6）专用条件约定的其他情形。</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2.3.5 委托人可要求监理人更换不能胜任本职工作的项目监理机构人员。</w:t>
      </w:r>
    </w:p>
    <w:p>
      <w:pPr>
        <w:pStyle w:val="4"/>
        <w:spacing w:line="288" w:lineRule="auto"/>
      </w:pPr>
      <w:bookmarkStart w:id="918" w:name="_Toc443898807"/>
      <w:bookmarkStart w:id="919" w:name="_Toc499204941"/>
      <w:bookmarkStart w:id="920" w:name="_Toc23326"/>
      <w:bookmarkStart w:id="921" w:name="_Toc9908"/>
      <w:bookmarkStart w:id="922" w:name="_Toc6523"/>
      <w:bookmarkStart w:id="923" w:name="_Toc496098721"/>
      <w:r>
        <w:rPr>
          <w:rFonts w:hint="eastAsia"/>
        </w:rPr>
        <w:t>2.4 履行职责</w:t>
      </w:r>
      <w:bookmarkEnd w:id="918"/>
      <w:bookmarkEnd w:id="919"/>
      <w:bookmarkEnd w:id="920"/>
      <w:bookmarkEnd w:id="921"/>
      <w:bookmarkEnd w:id="922"/>
      <w:bookmarkEnd w:id="923"/>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监理人应遵循职业道德准则和行为规范，严格按照法律法规、工程建设有关标准及本合同履行职责。</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2.4.2 当委托人与承包人之间的合同争议提交仲裁机构仲裁或人民法院审理时，监理人应提供必要的证明资料。</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在紧急情况下，为了保护财产和人身安全，监理人所发出的指令未能事先报委托人批准时，应在发出指令后的24小时内以书面形式报委托人。</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2.4.4 除专用条件另有约定外，监理人发现承包人的人员不能胜任本职工作的，有权要求承包人予以调换。</w:t>
      </w:r>
    </w:p>
    <w:p>
      <w:pPr>
        <w:pStyle w:val="4"/>
        <w:spacing w:line="288" w:lineRule="auto"/>
        <w:rPr>
          <w:rFonts w:cs="宋体"/>
        </w:rPr>
      </w:pPr>
      <w:bookmarkStart w:id="924" w:name="_Toc443898808"/>
      <w:bookmarkStart w:id="925" w:name="_Toc16050"/>
      <w:bookmarkStart w:id="926" w:name="_Toc17105"/>
      <w:bookmarkStart w:id="927" w:name="_Toc499204942"/>
      <w:bookmarkStart w:id="928" w:name="_Toc496098722"/>
      <w:bookmarkStart w:id="929" w:name="_Toc27821"/>
      <w:r>
        <w:rPr>
          <w:rFonts w:hint="eastAsia"/>
        </w:rPr>
        <w:t>2.5 提交</w:t>
      </w:r>
      <w:r>
        <w:rPr>
          <w:rFonts w:hint="eastAsia" w:cs="宋体"/>
        </w:rPr>
        <w:t>报告</w:t>
      </w:r>
      <w:bookmarkEnd w:id="924"/>
      <w:bookmarkEnd w:id="925"/>
      <w:bookmarkEnd w:id="926"/>
      <w:bookmarkEnd w:id="927"/>
      <w:bookmarkEnd w:id="928"/>
      <w:bookmarkEnd w:id="929"/>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监理人应按专用条件约定的种类、时间和份数向委托人提交监理与相关服务的报告。</w:t>
      </w:r>
    </w:p>
    <w:p>
      <w:pPr>
        <w:pStyle w:val="4"/>
        <w:spacing w:line="288" w:lineRule="auto"/>
      </w:pPr>
      <w:bookmarkStart w:id="930" w:name="_Toc496098723"/>
      <w:bookmarkStart w:id="931" w:name="_Toc499204943"/>
      <w:bookmarkStart w:id="932" w:name="_Toc443898809"/>
      <w:bookmarkStart w:id="933" w:name="_Toc8068"/>
      <w:bookmarkStart w:id="934" w:name="_Toc28789"/>
      <w:bookmarkStart w:id="935" w:name="_Toc28548"/>
      <w:r>
        <w:rPr>
          <w:rFonts w:hint="eastAsia"/>
        </w:rPr>
        <w:t>2.6 文件资料</w:t>
      </w:r>
      <w:bookmarkEnd w:id="930"/>
      <w:bookmarkEnd w:id="931"/>
      <w:bookmarkEnd w:id="932"/>
      <w:bookmarkEnd w:id="933"/>
      <w:bookmarkEnd w:id="934"/>
      <w:bookmarkEnd w:id="935"/>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在本合同履行期内，监理人应在现场保留工作所用的图纸、报告及记录监理工</w:t>
      </w:r>
      <w:r>
        <w:rPr>
          <w:rFonts w:hint="eastAsia" w:asciiTheme="minorEastAsia" w:hAnsiTheme="minorEastAsia" w:eastAsiaTheme="minorEastAsia"/>
          <w:sz w:val="24"/>
        </w:rPr>
        <w:t>作的相关文件。工程竣工后，应当按照档案管理规定将监理有关文件归档。</w:t>
      </w:r>
    </w:p>
    <w:p>
      <w:pPr>
        <w:pStyle w:val="4"/>
        <w:spacing w:line="288" w:lineRule="auto"/>
      </w:pPr>
      <w:bookmarkStart w:id="936" w:name="_Toc32220"/>
      <w:bookmarkStart w:id="937" w:name="_Toc443898810"/>
      <w:bookmarkStart w:id="938" w:name="_Toc9971"/>
      <w:bookmarkStart w:id="939" w:name="_Toc499204944"/>
      <w:bookmarkStart w:id="940" w:name="_Toc4731"/>
      <w:bookmarkStart w:id="941" w:name="_Toc496098724"/>
      <w:r>
        <w:rPr>
          <w:rFonts w:hint="eastAsia"/>
        </w:rPr>
        <w:t>2.7 使用委托人的财产</w:t>
      </w:r>
      <w:bookmarkEnd w:id="936"/>
      <w:bookmarkEnd w:id="937"/>
      <w:bookmarkEnd w:id="938"/>
      <w:bookmarkEnd w:id="939"/>
      <w:bookmarkEnd w:id="940"/>
      <w:bookmarkEnd w:id="941"/>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2"/>
        <w:spacing w:line="288" w:lineRule="auto"/>
      </w:pPr>
      <w:bookmarkStart w:id="942" w:name="_Toc496098725"/>
      <w:bookmarkStart w:id="943" w:name="_Toc13613"/>
      <w:bookmarkStart w:id="944" w:name="_Toc443898811"/>
      <w:bookmarkStart w:id="945" w:name="_Toc28947"/>
      <w:r>
        <w:rPr>
          <w:rFonts w:hint="eastAsia"/>
        </w:rPr>
        <w:t>3．委托人的义务</w:t>
      </w:r>
      <w:bookmarkEnd w:id="942"/>
      <w:bookmarkEnd w:id="943"/>
      <w:bookmarkEnd w:id="944"/>
      <w:bookmarkEnd w:id="945"/>
    </w:p>
    <w:p>
      <w:pPr>
        <w:pStyle w:val="4"/>
        <w:spacing w:line="288" w:lineRule="auto"/>
        <w:rPr>
          <w:rFonts w:cs="宋体"/>
        </w:rPr>
      </w:pPr>
      <w:bookmarkStart w:id="946" w:name="_Toc13403"/>
      <w:bookmarkStart w:id="947" w:name="_Toc30402"/>
      <w:bookmarkStart w:id="948" w:name="_Toc20434"/>
      <w:bookmarkStart w:id="949" w:name="_Toc443898812"/>
      <w:bookmarkStart w:id="950" w:name="_Toc499204946"/>
      <w:bookmarkStart w:id="951" w:name="_Toc496098726"/>
      <w:r>
        <w:rPr>
          <w:rFonts w:hint="eastAsia"/>
        </w:rPr>
        <w:t xml:space="preserve">3.1 </w:t>
      </w:r>
      <w:r>
        <w:rPr>
          <w:rFonts w:hint="eastAsia" w:cs="宋体"/>
        </w:rPr>
        <w:t>告知</w:t>
      </w:r>
      <w:bookmarkEnd w:id="946"/>
      <w:bookmarkEnd w:id="947"/>
      <w:bookmarkEnd w:id="948"/>
      <w:bookmarkEnd w:id="949"/>
      <w:bookmarkEnd w:id="950"/>
      <w:bookmarkEnd w:id="951"/>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委托人应在委托人与承包人签订的合同中明确监理人、总监理工程师和授予项目监理机构的权限。如有变更，应及时通知承包人。</w:t>
      </w:r>
    </w:p>
    <w:p>
      <w:pPr>
        <w:pStyle w:val="4"/>
        <w:spacing w:line="288" w:lineRule="auto"/>
      </w:pPr>
      <w:bookmarkStart w:id="952" w:name="_Toc24726"/>
      <w:bookmarkStart w:id="953" w:name="_Toc15938"/>
      <w:bookmarkStart w:id="954" w:name="_Toc496098727"/>
      <w:bookmarkStart w:id="955" w:name="_Toc499204947"/>
      <w:bookmarkStart w:id="956" w:name="_Toc22909"/>
      <w:bookmarkStart w:id="957" w:name="_Toc443898813"/>
      <w:r>
        <w:rPr>
          <w:rFonts w:hint="eastAsia"/>
        </w:rPr>
        <w:t>3.2 提供资料</w:t>
      </w:r>
      <w:bookmarkEnd w:id="952"/>
      <w:bookmarkEnd w:id="953"/>
      <w:bookmarkEnd w:id="954"/>
      <w:bookmarkEnd w:id="955"/>
      <w:bookmarkEnd w:id="956"/>
      <w:bookmarkEnd w:id="957"/>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委托人应按照附录B约定，无偿向监理人提供工程有关的资料。</w:t>
      </w:r>
      <w:r>
        <w:rPr>
          <w:rFonts w:hint="eastAsia" w:asciiTheme="minorEastAsia" w:hAnsiTheme="minorEastAsia" w:eastAsiaTheme="minorEastAsia"/>
          <w:sz w:val="24"/>
        </w:rPr>
        <w:t>在本合同履行过程中，委托人应及时向监理人提供最新的与工程有关的资料。</w:t>
      </w:r>
    </w:p>
    <w:p>
      <w:pPr>
        <w:pStyle w:val="4"/>
        <w:spacing w:line="288" w:lineRule="auto"/>
      </w:pPr>
      <w:bookmarkStart w:id="958" w:name="_Toc26041"/>
      <w:bookmarkStart w:id="959" w:name="_Toc14880"/>
      <w:bookmarkStart w:id="960" w:name="_Toc496098728"/>
      <w:bookmarkStart w:id="961" w:name="_Toc3431"/>
      <w:bookmarkStart w:id="962" w:name="_Toc499204948"/>
      <w:bookmarkStart w:id="963" w:name="_Toc443898814"/>
      <w:r>
        <w:rPr>
          <w:rFonts w:hint="eastAsia"/>
        </w:rPr>
        <w:t>3.3 提供工作条件</w:t>
      </w:r>
      <w:bookmarkEnd w:id="958"/>
      <w:bookmarkEnd w:id="959"/>
      <w:bookmarkEnd w:id="960"/>
      <w:bookmarkEnd w:id="961"/>
      <w:bookmarkEnd w:id="962"/>
      <w:bookmarkEnd w:id="963"/>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委托人应为监理人完成监理与相关服务提供必要的条件。</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 xml:space="preserve">3.3.1 </w:t>
      </w:r>
      <w:r>
        <w:rPr>
          <w:rFonts w:hint="eastAsia" w:asciiTheme="minorEastAsia" w:hAnsiTheme="minorEastAsia" w:eastAsiaTheme="minorEastAsia"/>
          <w:sz w:val="24"/>
        </w:rPr>
        <w:t>委托人应按照附录B约定，派遣相应的人员，提供房屋、设备，供监理人</w:t>
      </w:r>
      <w:r>
        <w:rPr>
          <w:rFonts w:hint="eastAsia" w:asciiTheme="minorEastAsia" w:hAnsiTheme="minorEastAsia" w:eastAsiaTheme="minorEastAsia"/>
          <w:kern w:val="0"/>
          <w:sz w:val="24"/>
        </w:rPr>
        <w:t>无偿</w:t>
      </w:r>
      <w:r>
        <w:rPr>
          <w:rFonts w:hint="eastAsia" w:asciiTheme="minorEastAsia" w:hAnsiTheme="minorEastAsia" w:eastAsiaTheme="minorEastAsia"/>
          <w:sz w:val="24"/>
        </w:rPr>
        <w:t>使用。</w:t>
      </w:r>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 xml:space="preserve">3.3.2 </w:t>
      </w:r>
      <w:r>
        <w:rPr>
          <w:rFonts w:hint="eastAsia" w:asciiTheme="minorEastAsia" w:hAnsiTheme="minorEastAsia" w:eastAsiaTheme="minorEastAsia"/>
          <w:sz w:val="24"/>
        </w:rPr>
        <w:t>委托人应负责协调工程建设中所有外部关系，为监理人履行本合同提供必要的外部条件。</w:t>
      </w:r>
    </w:p>
    <w:p>
      <w:pPr>
        <w:pStyle w:val="4"/>
        <w:spacing w:line="288" w:lineRule="auto"/>
      </w:pPr>
      <w:bookmarkStart w:id="964" w:name="_Toc16427"/>
      <w:bookmarkStart w:id="965" w:name="_Toc31808"/>
      <w:bookmarkStart w:id="966" w:name="_Toc499204949"/>
      <w:bookmarkStart w:id="967" w:name="_Toc496098729"/>
      <w:bookmarkStart w:id="968" w:name="_Toc443898815"/>
      <w:bookmarkStart w:id="969" w:name="_Toc30474"/>
      <w:r>
        <w:rPr>
          <w:rFonts w:hint="eastAsia"/>
        </w:rPr>
        <w:t>3.4 委托人代表</w:t>
      </w:r>
      <w:bookmarkEnd w:id="964"/>
      <w:bookmarkEnd w:id="965"/>
      <w:bookmarkEnd w:id="966"/>
      <w:bookmarkEnd w:id="967"/>
      <w:bookmarkEnd w:id="968"/>
      <w:bookmarkEnd w:id="969"/>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pPr>
        <w:pStyle w:val="4"/>
        <w:spacing w:line="288" w:lineRule="auto"/>
      </w:pPr>
      <w:bookmarkStart w:id="970" w:name="_Toc7408"/>
      <w:bookmarkStart w:id="971" w:name="_Toc496098730"/>
      <w:bookmarkStart w:id="972" w:name="_Toc499204950"/>
      <w:bookmarkStart w:id="973" w:name="_Toc15513"/>
      <w:bookmarkStart w:id="974" w:name="_Toc20684"/>
      <w:bookmarkStart w:id="975" w:name="_Toc443898816"/>
      <w:r>
        <w:rPr>
          <w:rFonts w:hint="eastAsia"/>
        </w:rPr>
        <w:t>3.5 委托人意见或要求</w:t>
      </w:r>
      <w:bookmarkEnd w:id="970"/>
      <w:bookmarkEnd w:id="971"/>
      <w:bookmarkEnd w:id="972"/>
      <w:bookmarkEnd w:id="973"/>
      <w:bookmarkEnd w:id="974"/>
      <w:bookmarkEnd w:id="975"/>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在本合同约定的监理与相关服务工作范围内，委托人对承包人的任何意见或要求应通知监理人，由监理人向承包人发出相应指令。</w:t>
      </w:r>
    </w:p>
    <w:p>
      <w:pPr>
        <w:pStyle w:val="4"/>
        <w:spacing w:line="288" w:lineRule="auto"/>
        <w:rPr>
          <w:rFonts w:cs="宋体"/>
        </w:rPr>
      </w:pPr>
      <w:bookmarkStart w:id="976" w:name="_Toc443898817"/>
      <w:bookmarkStart w:id="977" w:name="_Toc27135"/>
      <w:bookmarkStart w:id="978" w:name="_Toc499204951"/>
      <w:bookmarkStart w:id="979" w:name="_Toc31730"/>
      <w:bookmarkStart w:id="980" w:name="_Toc12208"/>
      <w:bookmarkStart w:id="981" w:name="_Toc496098731"/>
      <w:r>
        <w:rPr>
          <w:rFonts w:hint="eastAsia"/>
        </w:rPr>
        <w:t xml:space="preserve">3.6 </w:t>
      </w:r>
      <w:r>
        <w:rPr>
          <w:rFonts w:hint="eastAsia" w:cs="宋体"/>
        </w:rPr>
        <w:t>答复</w:t>
      </w:r>
      <w:bookmarkEnd w:id="976"/>
      <w:bookmarkEnd w:id="977"/>
      <w:bookmarkEnd w:id="978"/>
      <w:bookmarkEnd w:id="979"/>
      <w:bookmarkEnd w:id="980"/>
      <w:bookmarkEnd w:id="981"/>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委托人应在专用条件约定的时间内，对监理人以书面形式提交并要求作出决定的事宜，给予书面答复。逾期未答复的，视为委托人认可。</w:t>
      </w:r>
    </w:p>
    <w:p>
      <w:pPr>
        <w:pStyle w:val="4"/>
        <w:spacing w:line="288" w:lineRule="auto"/>
        <w:rPr>
          <w:rFonts w:cs="宋体"/>
        </w:rPr>
      </w:pPr>
      <w:bookmarkStart w:id="982" w:name="_Toc499204952"/>
      <w:bookmarkStart w:id="983" w:name="_Toc443898818"/>
      <w:bookmarkStart w:id="984" w:name="_Toc14901"/>
      <w:bookmarkStart w:id="985" w:name="_Toc30361"/>
      <w:bookmarkStart w:id="986" w:name="_Toc20738"/>
      <w:bookmarkStart w:id="987" w:name="_Toc496098732"/>
      <w:r>
        <w:rPr>
          <w:rFonts w:hint="eastAsia"/>
        </w:rPr>
        <w:t xml:space="preserve">3.7 </w:t>
      </w:r>
      <w:r>
        <w:rPr>
          <w:rFonts w:hint="eastAsia" w:cs="宋体"/>
        </w:rPr>
        <w:t>支付</w:t>
      </w:r>
      <w:bookmarkEnd w:id="982"/>
      <w:bookmarkEnd w:id="983"/>
      <w:bookmarkEnd w:id="984"/>
      <w:bookmarkEnd w:id="985"/>
      <w:bookmarkEnd w:id="986"/>
      <w:bookmarkEnd w:id="987"/>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委托人应按本合同约定，向监理人支付酬金。</w:t>
      </w:r>
    </w:p>
    <w:p>
      <w:pPr>
        <w:pStyle w:val="2"/>
        <w:spacing w:line="288" w:lineRule="auto"/>
      </w:pPr>
      <w:bookmarkStart w:id="988" w:name="_Toc443898819"/>
      <w:bookmarkStart w:id="989" w:name="_Toc496098733"/>
      <w:bookmarkStart w:id="990" w:name="_Toc25288"/>
      <w:bookmarkStart w:id="991" w:name="_Toc21015"/>
      <w:r>
        <w:rPr>
          <w:rFonts w:hint="eastAsia"/>
        </w:rPr>
        <w:t>4. 违约责任</w:t>
      </w:r>
      <w:bookmarkEnd w:id="988"/>
      <w:bookmarkEnd w:id="989"/>
      <w:bookmarkEnd w:id="990"/>
      <w:bookmarkEnd w:id="991"/>
    </w:p>
    <w:p>
      <w:pPr>
        <w:pStyle w:val="4"/>
        <w:spacing w:line="288" w:lineRule="auto"/>
      </w:pPr>
      <w:bookmarkStart w:id="992" w:name="_Toc443898820"/>
      <w:bookmarkStart w:id="993" w:name="_Toc496098734"/>
      <w:bookmarkStart w:id="994" w:name="_Toc2667"/>
      <w:bookmarkStart w:id="995" w:name="_Toc22656"/>
      <w:bookmarkStart w:id="996" w:name="_Toc499204954"/>
      <w:bookmarkStart w:id="997" w:name="_Toc5786"/>
      <w:r>
        <w:rPr>
          <w:rFonts w:hint="eastAsia"/>
        </w:rPr>
        <w:t>4.1 监理人的违约责任</w:t>
      </w:r>
      <w:bookmarkEnd w:id="992"/>
      <w:bookmarkEnd w:id="993"/>
      <w:bookmarkEnd w:id="994"/>
      <w:bookmarkEnd w:id="995"/>
      <w:bookmarkEnd w:id="996"/>
      <w:bookmarkEnd w:id="997"/>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kern w:val="0"/>
          <w:sz w:val="24"/>
        </w:rPr>
        <w:t>监理人未履行本合同义务的，应承担相应的责任。</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4.1.1 因监理人</w:t>
      </w:r>
      <w:r>
        <w:rPr>
          <w:rFonts w:hint="eastAsia" w:cs="宋体" w:asciiTheme="minorEastAsia" w:hAnsiTheme="minorEastAsia" w:eastAsiaTheme="minorEastAsia"/>
          <w:kern w:val="0"/>
          <w:sz w:val="24"/>
        </w:rPr>
        <w:t>违反本合同约定</w:t>
      </w:r>
      <w:r>
        <w:rPr>
          <w:rFonts w:hint="eastAsia" w:asciiTheme="minorEastAsia" w:hAnsiTheme="minorEastAsia" w:eastAsiaTheme="minorEastAsia"/>
          <w:sz w:val="24"/>
        </w:rPr>
        <w:t>给委托人造成损失的，监理人应当赔偿委托人损失</w:t>
      </w:r>
      <w:r>
        <w:rPr>
          <w:rFonts w:hint="eastAsia" w:asciiTheme="minorEastAsia" w:hAnsiTheme="minorEastAsia" w:eastAsiaTheme="minorEastAsia"/>
          <w:kern w:val="0"/>
          <w:sz w:val="24"/>
        </w:rPr>
        <w:t>。赔偿金额的确定方法在专用条件中约定。监理人承担部分赔偿责任的，其承担赔偿金额由双方协商确定。</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4.1.2 监理人向委托人的索赔不成立时，监理人应赔偿委托人由此发生的费用。</w:t>
      </w:r>
    </w:p>
    <w:p>
      <w:pPr>
        <w:pStyle w:val="4"/>
        <w:spacing w:line="288" w:lineRule="auto"/>
      </w:pPr>
      <w:bookmarkStart w:id="998" w:name="_Toc9548"/>
      <w:bookmarkStart w:id="999" w:name="_Toc21732"/>
      <w:bookmarkStart w:id="1000" w:name="_Toc499204955"/>
      <w:bookmarkStart w:id="1001" w:name="_Toc443898821"/>
      <w:bookmarkStart w:id="1002" w:name="_Toc18839"/>
      <w:bookmarkStart w:id="1003" w:name="_Toc496098735"/>
      <w:r>
        <w:rPr>
          <w:rFonts w:hint="eastAsia"/>
        </w:rPr>
        <w:t>4.2 委托人的违约责任</w:t>
      </w:r>
      <w:bookmarkEnd w:id="998"/>
      <w:bookmarkEnd w:id="999"/>
      <w:bookmarkEnd w:id="1000"/>
      <w:bookmarkEnd w:id="1001"/>
      <w:bookmarkEnd w:id="1002"/>
      <w:bookmarkEnd w:id="1003"/>
    </w:p>
    <w:p>
      <w:pPr>
        <w:adjustRightInd w:val="0"/>
        <w:snapToGrid w:val="0"/>
        <w:spacing w:line="288" w:lineRule="auto"/>
        <w:ind w:firstLine="420"/>
        <w:rPr>
          <w:rFonts w:cs="宋体" w:asciiTheme="minorEastAsia" w:hAnsiTheme="minorEastAsia" w:eastAsiaTheme="minorEastAsia"/>
          <w:kern w:val="0"/>
          <w:sz w:val="24"/>
        </w:rPr>
      </w:pPr>
      <w:r>
        <w:rPr>
          <w:rFonts w:hint="eastAsia" w:asciiTheme="minorEastAsia" w:hAnsiTheme="minorEastAsia" w:eastAsiaTheme="minorEastAsia"/>
          <w:kern w:val="0"/>
          <w:sz w:val="24"/>
        </w:rPr>
        <w:t>委托人未履行本合同义务的，应承担相应的责任。</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4.2.1 委托人违反本合同约定造成监理人损失的，委托人应予以赔偿。</w:t>
      </w:r>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4.2.2 委托人向监理人的索赔不成立时，应赔偿监理人由此引起的费用。</w:t>
      </w:r>
    </w:p>
    <w:p>
      <w:pPr>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sz w:val="24"/>
        </w:rPr>
        <w:t xml:space="preserve">4.2.3 </w:t>
      </w:r>
      <w:r>
        <w:rPr>
          <w:rFonts w:hint="eastAsia" w:asciiTheme="minorEastAsia" w:hAnsiTheme="minorEastAsia" w:eastAsiaTheme="minorEastAsia"/>
          <w:kern w:val="0"/>
          <w:sz w:val="24"/>
        </w:rPr>
        <w:t>委托人未能按期支付</w:t>
      </w:r>
      <w:r>
        <w:rPr>
          <w:rFonts w:hint="eastAsia" w:asciiTheme="minorEastAsia" w:hAnsiTheme="minorEastAsia" w:eastAsiaTheme="minorEastAsia"/>
          <w:sz w:val="24"/>
        </w:rPr>
        <w:t>酬金</w:t>
      </w:r>
      <w:r>
        <w:rPr>
          <w:rFonts w:hint="eastAsia" w:asciiTheme="minorEastAsia" w:hAnsiTheme="minorEastAsia" w:eastAsiaTheme="minorEastAsia"/>
          <w:kern w:val="0"/>
          <w:sz w:val="24"/>
        </w:rPr>
        <w:t>超过28天，</w:t>
      </w:r>
      <w:r>
        <w:rPr>
          <w:rFonts w:hint="eastAsia" w:cs="宋体" w:asciiTheme="minorEastAsia" w:hAnsiTheme="minorEastAsia" w:eastAsiaTheme="minorEastAsia"/>
          <w:kern w:val="0"/>
          <w:sz w:val="24"/>
        </w:rPr>
        <w:t>应按专用条件约定支付逾期付款利息</w:t>
      </w:r>
      <w:r>
        <w:rPr>
          <w:rFonts w:hint="eastAsia" w:asciiTheme="minorEastAsia" w:hAnsiTheme="minorEastAsia" w:eastAsiaTheme="minorEastAsia"/>
          <w:kern w:val="0"/>
          <w:sz w:val="24"/>
        </w:rPr>
        <w:t>。</w:t>
      </w:r>
    </w:p>
    <w:p>
      <w:pPr>
        <w:pStyle w:val="4"/>
        <w:spacing w:line="288" w:lineRule="auto"/>
      </w:pPr>
      <w:bookmarkStart w:id="1004" w:name="_Toc32764"/>
      <w:bookmarkStart w:id="1005" w:name="_Toc26762"/>
      <w:bookmarkStart w:id="1006" w:name="_Toc496098736"/>
      <w:bookmarkStart w:id="1007" w:name="_Toc1"/>
      <w:bookmarkStart w:id="1008" w:name="_Toc499204956"/>
      <w:bookmarkStart w:id="1009" w:name="_Toc443898822"/>
      <w:r>
        <w:rPr>
          <w:rFonts w:hint="eastAsia"/>
        </w:rPr>
        <w:t>4.3 除外责任</w:t>
      </w:r>
      <w:bookmarkEnd w:id="1004"/>
      <w:bookmarkEnd w:id="1005"/>
      <w:bookmarkEnd w:id="1006"/>
      <w:bookmarkEnd w:id="1007"/>
      <w:bookmarkEnd w:id="1008"/>
      <w:bookmarkEnd w:id="1009"/>
    </w:p>
    <w:p>
      <w:pPr>
        <w:adjustRightInd w:val="0"/>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因非监理人的原因，且监理人无过错，发生工程质量事故、安全事故、工期延误等造成的损失，监理人不承担赔偿责任。</w:t>
      </w:r>
    </w:p>
    <w:p>
      <w:pPr>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因不可抗力导致本合同全部或部分不能履行时，双方各自承担其因此而造成的损失、损害。</w:t>
      </w:r>
    </w:p>
    <w:p>
      <w:pPr>
        <w:pStyle w:val="2"/>
        <w:spacing w:line="288" w:lineRule="auto"/>
      </w:pPr>
      <w:bookmarkStart w:id="1010" w:name="_Toc11282"/>
      <w:bookmarkStart w:id="1011" w:name="_Toc496098737"/>
      <w:bookmarkStart w:id="1012" w:name="_Toc443898823"/>
      <w:bookmarkStart w:id="1013" w:name="_Toc30277"/>
      <w:r>
        <w:rPr>
          <w:rFonts w:hint="eastAsia"/>
        </w:rPr>
        <w:t>5. 支付</w:t>
      </w:r>
      <w:bookmarkEnd w:id="1010"/>
      <w:bookmarkEnd w:id="1011"/>
      <w:bookmarkEnd w:id="1012"/>
      <w:bookmarkEnd w:id="1013"/>
    </w:p>
    <w:p>
      <w:pPr>
        <w:pStyle w:val="4"/>
        <w:spacing w:line="288" w:lineRule="auto"/>
      </w:pPr>
      <w:bookmarkStart w:id="1014" w:name="_Toc3924"/>
      <w:bookmarkStart w:id="1015" w:name="_Toc496098738"/>
      <w:bookmarkStart w:id="1016" w:name="_Toc499204958"/>
      <w:bookmarkStart w:id="1017" w:name="_Toc7935"/>
      <w:bookmarkStart w:id="1018" w:name="_Toc6584"/>
      <w:bookmarkStart w:id="1019" w:name="_Toc443898824"/>
      <w:r>
        <w:rPr>
          <w:rFonts w:hint="eastAsia"/>
        </w:rPr>
        <w:t>5.1 支付货币</w:t>
      </w:r>
      <w:bookmarkEnd w:id="1014"/>
      <w:bookmarkEnd w:id="1015"/>
      <w:bookmarkEnd w:id="1016"/>
      <w:bookmarkEnd w:id="1017"/>
      <w:bookmarkEnd w:id="1018"/>
      <w:bookmarkEnd w:id="1019"/>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除专用条件另有约定外，酬金均以人民币支付。涉及外币支付的，所采用的货币种类、比例和汇率在专用条件中约定。</w:t>
      </w:r>
    </w:p>
    <w:p>
      <w:pPr>
        <w:pStyle w:val="4"/>
        <w:spacing w:line="288" w:lineRule="auto"/>
      </w:pPr>
      <w:bookmarkStart w:id="1020" w:name="_Toc8760"/>
      <w:bookmarkStart w:id="1021" w:name="_Toc443898825"/>
      <w:bookmarkStart w:id="1022" w:name="_Toc496098739"/>
      <w:bookmarkStart w:id="1023" w:name="_Toc499204959"/>
      <w:bookmarkStart w:id="1024" w:name="_Toc25491"/>
      <w:bookmarkStart w:id="1025" w:name="_Toc8926"/>
      <w:r>
        <w:rPr>
          <w:rFonts w:hint="eastAsia"/>
        </w:rPr>
        <w:t>5.2 支付申请</w:t>
      </w:r>
      <w:bookmarkEnd w:id="1020"/>
      <w:bookmarkEnd w:id="1021"/>
      <w:bookmarkEnd w:id="1022"/>
      <w:bookmarkEnd w:id="1023"/>
      <w:bookmarkEnd w:id="1024"/>
      <w:bookmarkEnd w:id="1025"/>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监理人应在本合同约定的每次应付款时间的7天前，向委托人提交支付申请书。支付申请书应当说明当期应付款总额，并列出当期应支付的款项及其金额。</w:t>
      </w:r>
    </w:p>
    <w:p>
      <w:pPr>
        <w:pStyle w:val="4"/>
        <w:spacing w:line="288" w:lineRule="auto"/>
      </w:pPr>
      <w:bookmarkStart w:id="1026" w:name="_Toc496098740"/>
      <w:bookmarkStart w:id="1027" w:name="_Toc499204960"/>
      <w:bookmarkStart w:id="1028" w:name="_Toc24431"/>
      <w:bookmarkStart w:id="1029" w:name="_Toc3834"/>
      <w:bookmarkStart w:id="1030" w:name="_Toc443898826"/>
      <w:bookmarkStart w:id="1031" w:name="_Toc449"/>
      <w:r>
        <w:rPr>
          <w:rFonts w:hint="eastAsia"/>
        </w:rPr>
        <w:t>5.3 支付酬金</w:t>
      </w:r>
      <w:bookmarkEnd w:id="1026"/>
      <w:bookmarkEnd w:id="1027"/>
      <w:bookmarkEnd w:id="1028"/>
      <w:bookmarkEnd w:id="1029"/>
      <w:bookmarkEnd w:id="1030"/>
      <w:bookmarkEnd w:id="1031"/>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支付的酬金包括正常工作酬金、附加工作酬金、合理化建议奖励金额及费用。</w:t>
      </w:r>
    </w:p>
    <w:p>
      <w:pPr>
        <w:pStyle w:val="4"/>
        <w:spacing w:line="288" w:lineRule="auto"/>
      </w:pPr>
      <w:bookmarkStart w:id="1032" w:name="_Toc496098741"/>
      <w:bookmarkStart w:id="1033" w:name="_Toc499204961"/>
      <w:bookmarkStart w:id="1034" w:name="_Toc25671"/>
      <w:bookmarkStart w:id="1035" w:name="_Toc30997"/>
      <w:bookmarkStart w:id="1036" w:name="_Toc16652"/>
      <w:bookmarkStart w:id="1037" w:name="_Toc443898827"/>
      <w:r>
        <w:rPr>
          <w:rFonts w:hint="eastAsia"/>
        </w:rPr>
        <w:t>5.4 有争议部分的付款</w:t>
      </w:r>
      <w:bookmarkEnd w:id="1032"/>
      <w:bookmarkEnd w:id="1033"/>
      <w:bookmarkEnd w:id="1034"/>
      <w:bookmarkEnd w:id="1035"/>
      <w:bookmarkEnd w:id="1036"/>
      <w:bookmarkEnd w:id="1037"/>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2"/>
        <w:spacing w:line="288" w:lineRule="auto"/>
      </w:pPr>
      <w:bookmarkStart w:id="1038" w:name="_Toc18420"/>
      <w:bookmarkStart w:id="1039" w:name="_Toc496098742"/>
      <w:bookmarkStart w:id="1040" w:name="_Toc17171"/>
      <w:bookmarkStart w:id="1041" w:name="_Toc443898828"/>
      <w:r>
        <w:rPr>
          <w:rFonts w:hint="eastAsia"/>
        </w:rPr>
        <w:t>6. 合同生效、变更、暂停、解除与终止</w:t>
      </w:r>
      <w:bookmarkEnd w:id="1038"/>
      <w:bookmarkEnd w:id="1039"/>
      <w:bookmarkEnd w:id="1040"/>
      <w:bookmarkEnd w:id="1041"/>
    </w:p>
    <w:p>
      <w:pPr>
        <w:pStyle w:val="4"/>
        <w:spacing w:line="288" w:lineRule="auto"/>
      </w:pPr>
      <w:bookmarkStart w:id="1042" w:name="_Toc499204963"/>
      <w:bookmarkStart w:id="1043" w:name="_Toc28176"/>
      <w:bookmarkStart w:id="1044" w:name="_Toc496098743"/>
      <w:bookmarkStart w:id="1045" w:name="_Toc6378"/>
      <w:bookmarkStart w:id="1046" w:name="_Toc18371"/>
      <w:bookmarkStart w:id="1047" w:name="_Toc443898829"/>
      <w:r>
        <w:rPr>
          <w:rFonts w:hint="eastAsia"/>
        </w:rPr>
        <w:t>6.1生效</w:t>
      </w:r>
      <w:bookmarkEnd w:id="1042"/>
      <w:bookmarkEnd w:id="1043"/>
      <w:bookmarkEnd w:id="1044"/>
      <w:bookmarkEnd w:id="1045"/>
      <w:bookmarkEnd w:id="1046"/>
      <w:bookmarkEnd w:id="1047"/>
    </w:p>
    <w:p>
      <w:pPr>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除法律另有规定或者专用条件另有约定外，委托人和监理人的法定代表人或其授权代理人在协议书上签字并盖单位章后本合同生效。</w:t>
      </w:r>
    </w:p>
    <w:p>
      <w:pPr>
        <w:pStyle w:val="4"/>
        <w:spacing w:line="288" w:lineRule="auto"/>
      </w:pPr>
      <w:bookmarkStart w:id="1048" w:name="_Toc496098744"/>
      <w:bookmarkStart w:id="1049" w:name="_Toc6789"/>
      <w:bookmarkStart w:id="1050" w:name="_Toc499204964"/>
      <w:bookmarkStart w:id="1051" w:name="_Toc443898830"/>
      <w:bookmarkStart w:id="1052" w:name="_Toc31214"/>
      <w:bookmarkStart w:id="1053" w:name="_Toc21682"/>
      <w:r>
        <w:rPr>
          <w:rFonts w:hint="eastAsia"/>
        </w:rPr>
        <w:t>6.2变更</w:t>
      </w:r>
      <w:bookmarkEnd w:id="1048"/>
      <w:bookmarkEnd w:id="1049"/>
      <w:bookmarkEnd w:id="1050"/>
      <w:bookmarkEnd w:id="1051"/>
      <w:bookmarkEnd w:id="1052"/>
      <w:bookmarkEnd w:id="1053"/>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6.2.1 任何一方提出变更请求时，双方经协商一致后可进行变更。</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6.2.4合同签订后，遇有与工程相关的法律法规、标准颁布或修订的，双方应遵照执行。由此引起监理与相关服务的范围、时间、酬金变化的，双方应通过协商进行相应调整。</w:t>
      </w:r>
    </w:p>
    <w:p>
      <w:pPr>
        <w:pStyle w:val="4"/>
        <w:spacing w:line="288" w:lineRule="auto"/>
      </w:pPr>
      <w:bookmarkStart w:id="1054" w:name="_Toc496098745"/>
      <w:bookmarkStart w:id="1055" w:name="_Toc499204965"/>
      <w:bookmarkStart w:id="1056" w:name="_Toc443898831"/>
      <w:bookmarkStart w:id="1057" w:name="_Toc14747"/>
      <w:bookmarkStart w:id="1058" w:name="_Toc28814"/>
      <w:bookmarkStart w:id="1059" w:name="_Toc30831"/>
      <w:r>
        <w:rPr>
          <w:rFonts w:hint="eastAsia"/>
        </w:rPr>
        <w:t>6.3 暂停与解除</w:t>
      </w:r>
      <w:bookmarkEnd w:id="1054"/>
      <w:bookmarkEnd w:id="1055"/>
      <w:bookmarkEnd w:id="1056"/>
      <w:bookmarkEnd w:id="1057"/>
      <w:bookmarkEnd w:id="1058"/>
      <w:bookmarkEnd w:id="1059"/>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除双方协商一致可以解除本合同外，当一方无正当理由未履行本合同约定的义务时，另一方可以根据本合同约定暂停履行本合同直至解除本合同。</w:t>
      </w:r>
    </w:p>
    <w:p>
      <w:pPr>
        <w:adjustRightInd w:val="0"/>
        <w:snapToGrid w:val="0"/>
        <w:spacing w:line="288" w:lineRule="auto"/>
        <w:ind w:right="-57" w:rightChars="-27" w:firstLine="420"/>
        <w:rPr>
          <w:rFonts w:asciiTheme="minorEastAsia" w:hAnsiTheme="minorEastAsia" w:eastAsiaTheme="minorEastAsia"/>
          <w:sz w:val="24"/>
        </w:rPr>
      </w:pPr>
      <w:r>
        <w:rPr>
          <w:rFonts w:hint="eastAsia" w:asciiTheme="minorEastAsia" w:hAnsiTheme="minorEastAsia" w:eastAsiaTheme="minor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因解除本合同或解除监理人的部分义务导致监理人遭受的损失，除依法可以免除责任的情况外，应由委托人予以补偿，补偿金额由双方协商确定。</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解除本合同的协议必须采取书面形式，协议未达成之前，本合同仍然有效。</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Theme="minorEastAsia" w:hAnsiTheme="minorEastAsia" w:eastAsiaTheme="minorEastAsia"/>
          <w:kern w:val="0"/>
          <w:sz w:val="24"/>
        </w:rPr>
        <w:t>的</w:t>
      </w:r>
      <w:r>
        <w:rPr>
          <w:rFonts w:hint="eastAsia" w:asciiTheme="minorEastAsia" w:hAnsiTheme="minorEastAsia" w:eastAsiaTheme="minorEastAsia"/>
          <w:sz w:val="24"/>
        </w:rPr>
        <w:t>酬金支付至本合同解除日，且应承担第4.2款约定的责任。</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Theme="minorEastAsia" w:hAnsiTheme="minorEastAsia" w:eastAsiaTheme="minorEastAsia"/>
          <w:kern w:val="0"/>
          <w:sz w:val="24"/>
        </w:rPr>
        <w:t>的</w:t>
      </w:r>
      <w:r>
        <w:rPr>
          <w:rFonts w:hint="eastAsia" w:asciiTheme="minorEastAsia" w:hAnsiTheme="minorEastAsia" w:eastAsiaTheme="minorEastAsia"/>
          <w:sz w:val="24"/>
        </w:rPr>
        <w:t>酬金支付至</w:t>
      </w:r>
      <w:r>
        <w:rPr>
          <w:rFonts w:hint="eastAsia" w:asciiTheme="minorEastAsia" w:hAnsiTheme="minorEastAsia" w:eastAsiaTheme="minorEastAsia"/>
          <w:kern w:val="0"/>
          <w:sz w:val="24"/>
        </w:rPr>
        <w:t>限期改正通知到达监理人之日</w:t>
      </w:r>
      <w:r>
        <w:rPr>
          <w:rFonts w:hint="eastAsia" w:asciiTheme="minorEastAsia" w:hAnsiTheme="minorEastAsia" w:eastAsiaTheme="minorEastAsia"/>
          <w:sz w:val="24"/>
        </w:rPr>
        <w:t>，但监理人应承担第4.1款约定的责任。</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288" w:lineRule="auto"/>
        <w:ind w:firstLine="420"/>
        <w:rPr>
          <w:rFonts w:asciiTheme="minorEastAsia" w:hAnsiTheme="minorEastAsia" w:eastAsiaTheme="minorEastAsia"/>
          <w:kern w:val="0"/>
          <w:sz w:val="24"/>
        </w:rPr>
      </w:pPr>
      <w:r>
        <w:rPr>
          <w:rFonts w:hint="eastAsia" w:asciiTheme="minorEastAsia" w:hAnsiTheme="minorEastAsia" w:eastAsiaTheme="minorEastAsia"/>
          <w:sz w:val="24"/>
        </w:rPr>
        <w:t>6.3.5 因不可抗力致使本合同部分或全部不能履行时，一方应立即通知另一方，可暂停或解除本合同。</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6.3.6 本合同解除后，本合同约定的有关结算、清理、争议解决方式的条件仍然有效。</w:t>
      </w:r>
    </w:p>
    <w:p>
      <w:pPr>
        <w:pStyle w:val="4"/>
        <w:spacing w:line="288" w:lineRule="auto"/>
      </w:pPr>
      <w:bookmarkStart w:id="1060" w:name="_Toc5472"/>
      <w:bookmarkStart w:id="1061" w:name="_Toc31953"/>
      <w:bookmarkStart w:id="1062" w:name="_Toc443898832"/>
      <w:bookmarkStart w:id="1063" w:name="_Toc1175"/>
      <w:bookmarkStart w:id="1064" w:name="_Toc499204966"/>
      <w:bookmarkStart w:id="1065" w:name="_Toc496098746"/>
      <w:r>
        <w:rPr>
          <w:rFonts w:hint="eastAsia"/>
        </w:rPr>
        <w:t>6.4 终止</w:t>
      </w:r>
      <w:bookmarkEnd w:id="1060"/>
      <w:bookmarkEnd w:id="1061"/>
      <w:bookmarkEnd w:id="1062"/>
      <w:bookmarkEnd w:id="1063"/>
      <w:bookmarkEnd w:id="1064"/>
      <w:bookmarkEnd w:id="1065"/>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以下条件全部满足时，本合同即告终止：</w:t>
      </w:r>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（1）监理人完成本合同约定的全部工作；</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（2）委托人与监理人结清并支付全部酬金。</w:t>
      </w:r>
    </w:p>
    <w:p>
      <w:pPr>
        <w:pStyle w:val="2"/>
        <w:spacing w:line="288" w:lineRule="auto"/>
      </w:pPr>
      <w:bookmarkStart w:id="1066" w:name="_Toc496098747"/>
      <w:bookmarkStart w:id="1067" w:name="_Toc9158"/>
      <w:bookmarkStart w:id="1068" w:name="_Toc443898833"/>
      <w:bookmarkStart w:id="1069" w:name="_Toc29479"/>
      <w:r>
        <w:rPr>
          <w:rFonts w:hint="eastAsia"/>
        </w:rPr>
        <w:t>7. 争议解决</w:t>
      </w:r>
      <w:bookmarkEnd w:id="1066"/>
      <w:bookmarkEnd w:id="1067"/>
      <w:bookmarkEnd w:id="1068"/>
      <w:bookmarkEnd w:id="1069"/>
    </w:p>
    <w:p>
      <w:pPr>
        <w:pStyle w:val="4"/>
        <w:spacing w:line="288" w:lineRule="auto"/>
      </w:pPr>
      <w:bookmarkStart w:id="1070" w:name="_Toc499204968"/>
      <w:bookmarkStart w:id="1071" w:name="_Toc15396"/>
      <w:bookmarkStart w:id="1072" w:name="_Toc496098748"/>
      <w:bookmarkStart w:id="1073" w:name="_Toc4071"/>
      <w:bookmarkStart w:id="1074" w:name="_Toc10577"/>
      <w:bookmarkStart w:id="1075" w:name="_Toc443898834"/>
      <w:r>
        <w:rPr>
          <w:rFonts w:hint="eastAsia"/>
        </w:rPr>
        <w:t>7.1协商</w:t>
      </w:r>
      <w:bookmarkEnd w:id="1070"/>
      <w:bookmarkEnd w:id="1071"/>
      <w:bookmarkEnd w:id="1072"/>
      <w:bookmarkEnd w:id="1073"/>
      <w:bookmarkEnd w:id="1074"/>
      <w:bookmarkEnd w:id="1075"/>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双方应本着诚信原则协商解决彼此间的争议。</w:t>
      </w:r>
    </w:p>
    <w:p>
      <w:pPr>
        <w:pStyle w:val="4"/>
        <w:spacing w:line="288" w:lineRule="auto"/>
      </w:pPr>
      <w:bookmarkStart w:id="1076" w:name="_Toc4127"/>
      <w:bookmarkStart w:id="1077" w:name="_Toc499204969"/>
      <w:bookmarkStart w:id="1078" w:name="_Toc31200"/>
      <w:bookmarkStart w:id="1079" w:name="_Toc496098749"/>
      <w:bookmarkStart w:id="1080" w:name="_Toc443898835"/>
      <w:bookmarkStart w:id="1081" w:name="_Toc20539"/>
      <w:r>
        <w:rPr>
          <w:rFonts w:hint="eastAsia"/>
        </w:rPr>
        <w:t>7.2调解</w:t>
      </w:r>
      <w:bookmarkEnd w:id="1076"/>
      <w:bookmarkEnd w:id="1077"/>
      <w:bookmarkEnd w:id="1078"/>
      <w:bookmarkEnd w:id="1079"/>
      <w:bookmarkEnd w:id="1080"/>
      <w:bookmarkEnd w:id="1081"/>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如果双方不能在14天内或双方商定的其他时间内解决本合同争议，可以将其提交给专用条件约定的或事后达成协议的调解人进行调解。</w:t>
      </w:r>
    </w:p>
    <w:p>
      <w:pPr>
        <w:pStyle w:val="4"/>
        <w:spacing w:line="288" w:lineRule="auto"/>
      </w:pPr>
      <w:bookmarkStart w:id="1082" w:name="_Toc496098750"/>
      <w:bookmarkStart w:id="1083" w:name="_Toc443898836"/>
      <w:bookmarkStart w:id="1084" w:name="_Toc21320"/>
      <w:bookmarkStart w:id="1085" w:name="_Toc499204970"/>
      <w:bookmarkStart w:id="1086" w:name="_Toc24711"/>
      <w:bookmarkStart w:id="1087" w:name="_Toc24840"/>
      <w:r>
        <w:rPr>
          <w:rFonts w:hint="eastAsia"/>
        </w:rPr>
        <w:t>7.3仲裁或诉讼</w:t>
      </w:r>
      <w:bookmarkEnd w:id="1082"/>
      <w:bookmarkEnd w:id="1083"/>
      <w:bookmarkEnd w:id="1084"/>
      <w:bookmarkEnd w:id="1085"/>
      <w:bookmarkEnd w:id="1086"/>
      <w:bookmarkEnd w:id="1087"/>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双方均有权不经调解直接向专用条件约定的仲裁机构申请仲裁或向有管辖权的人民法院提起诉讼。</w:t>
      </w:r>
    </w:p>
    <w:p>
      <w:pPr>
        <w:pStyle w:val="2"/>
        <w:spacing w:line="288" w:lineRule="auto"/>
      </w:pPr>
      <w:bookmarkStart w:id="1088" w:name="_Toc21702"/>
      <w:bookmarkStart w:id="1089" w:name="_Toc496098751"/>
      <w:bookmarkStart w:id="1090" w:name="_Toc22898"/>
      <w:bookmarkStart w:id="1091" w:name="_Toc443898837"/>
      <w:r>
        <w:rPr>
          <w:rFonts w:hint="eastAsia"/>
        </w:rPr>
        <w:t>8. 其他</w:t>
      </w:r>
      <w:bookmarkEnd w:id="1088"/>
      <w:bookmarkEnd w:id="1089"/>
      <w:bookmarkEnd w:id="1090"/>
      <w:bookmarkEnd w:id="1091"/>
    </w:p>
    <w:p>
      <w:pPr>
        <w:pStyle w:val="4"/>
        <w:spacing w:line="288" w:lineRule="auto"/>
      </w:pPr>
      <w:bookmarkStart w:id="1092" w:name="_Toc28795"/>
      <w:bookmarkStart w:id="1093" w:name="_Toc20272"/>
      <w:bookmarkStart w:id="1094" w:name="_Toc496098752"/>
      <w:bookmarkStart w:id="1095" w:name="_Toc443898838"/>
      <w:bookmarkStart w:id="1096" w:name="_Toc25344"/>
      <w:bookmarkStart w:id="1097" w:name="_Toc499204972"/>
      <w:r>
        <w:rPr>
          <w:rFonts w:hint="eastAsia"/>
        </w:rPr>
        <w:t>8.1 外出考察费用</w:t>
      </w:r>
      <w:bookmarkEnd w:id="1092"/>
      <w:bookmarkEnd w:id="1093"/>
      <w:bookmarkEnd w:id="1094"/>
      <w:bookmarkEnd w:id="1095"/>
      <w:bookmarkEnd w:id="1096"/>
      <w:bookmarkEnd w:id="1097"/>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经委托人同意，监理人员外出考察发生的费用由委托人审核后支付。</w:t>
      </w:r>
    </w:p>
    <w:p>
      <w:pPr>
        <w:pStyle w:val="4"/>
        <w:spacing w:line="288" w:lineRule="auto"/>
      </w:pPr>
      <w:bookmarkStart w:id="1098" w:name="_Toc31643"/>
      <w:bookmarkStart w:id="1099" w:name="_Toc24653"/>
      <w:bookmarkStart w:id="1100" w:name="_Toc443898839"/>
      <w:bookmarkStart w:id="1101" w:name="_Toc496098753"/>
      <w:bookmarkStart w:id="1102" w:name="_Toc499204973"/>
      <w:bookmarkStart w:id="1103" w:name="_Toc29361"/>
      <w:r>
        <w:rPr>
          <w:rFonts w:hint="eastAsia"/>
        </w:rPr>
        <w:t>8.2 检测费用</w:t>
      </w:r>
      <w:bookmarkEnd w:id="1098"/>
      <w:bookmarkEnd w:id="1099"/>
      <w:bookmarkEnd w:id="1100"/>
      <w:bookmarkEnd w:id="1101"/>
      <w:bookmarkEnd w:id="1102"/>
      <w:bookmarkEnd w:id="1103"/>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委托人要求监理人进行的材料和设备检测所发生的费用，由委托人支付，支付时间在专用条件中约定。</w:t>
      </w:r>
    </w:p>
    <w:p>
      <w:pPr>
        <w:pStyle w:val="4"/>
        <w:spacing w:line="288" w:lineRule="auto"/>
      </w:pPr>
      <w:bookmarkStart w:id="1104" w:name="_Toc8614"/>
      <w:bookmarkStart w:id="1105" w:name="_Toc21743"/>
      <w:bookmarkStart w:id="1106" w:name="_Toc496098754"/>
      <w:bookmarkStart w:id="1107" w:name="_Toc17185"/>
      <w:bookmarkStart w:id="1108" w:name="_Toc443898840"/>
      <w:bookmarkStart w:id="1109" w:name="_Toc499204974"/>
      <w:r>
        <w:rPr>
          <w:rFonts w:hint="eastAsia"/>
        </w:rPr>
        <w:t>8.3 咨询费用</w:t>
      </w:r>
      <w:bookmarkEnd w:id="1104"/>
      <w:bookmarkEnd w:id="1105"/>
      <w:bookmarkEnd w:id="1106"/>
      <w:bookmarkEnd w:id="1107"/>
      <w:bookmarkEnd w:id="1108"/>
      <w:bookmarkEnd w:id="1109"/>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经委托人同意，根据工程需要由监理人组织的相关咨询论证会以及聘请相关专家等发生的费用由委托人支付，支付时间在专用条件中约定。</w:t>
      </w:r>
    </w:p>
    <w:p>
      <w:pPr>
        <w:pStyle w:val="4"/>
        <w:spacing w:line="288" w:lineRule="auto"/>
      </w:pPr>
      <w:bookmarkStart w:id="1110" w:name="_Toc496098755"/>
      <w:bookmarkStart w:id="1111" w:name="_Toc499204975"/>
      <w:bookmarkStart w:id="1112" w:name="_Toc443898841"/>
      <w:bookmarkStart w:id="1113" w:name="_Toc30495"/>
      <w:bookmarkStart w:id="1114" w:name="_Toc24139"/>
      <w:bookmarkStart w:id="1115" w:name="_Toc25554"/>
      <w:r>
        <w:rPr>
          <w:rFonts w:hint="eastAsia"/>
        </w:rPr>
        <w:t>8.4 奖励</w:t>
      </w:r>
      <w:bookmarkEnd w:id="1110"/>
      <w:bookmarkEnd w:id="1111"/>
      <w:bookmarkEnd w:id="1112"/>
      <w:bookmarkEnd w:id="1113"/>
      <w:bookmarkEnd w:id="1114"/>
      <w:bookmarkEnd w:id="1115"/>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监理人在服务过程中提出的合理化建议，使委托人获得经济效益的，双方在专用条件中约定奖励金额的确定方法。奖励金额在合理化建议被采纳后，与最近一期的正常工作酬金同期支付。</w:t>
      </w:r>
    </w:p>
    <w:p>
      <w:pPr>
        <w:pStyle w:val="4"/>
        <w:spacing w:line="288" w:lineRule="auto"/>
      </w:pPr>
      <w:bookmarkStart w:id="1116" w:name="_Toc24831"/>
      <w:bookmarkStart w:id="1117" w:name="_Toc26691"/>
      <w:bookmarkStart w:id="1118" w:name="_Toc443898842"/>
      <w:bookmarkStart w:id="1119" w:name="_Toc496098756"/>
      <w:bookmarkStart w:id="1120" w:name="_Toc499204976"/>
      <w:bookmarkStart w:id="1121" w:name="_Toc17953"/>
      <w:r>
        <w:rPr>
          <w:rFonts w:hint="eastAsia"/>
        </w:rPr>
        <w:t>8.5 守法诚信</w:t>
      </w:r>
      <w:bookmarkEnd w:id="1116"/>
      <w:bookmarkEnd w:id="1117"/>
      <w:bookmarkEnd w:id="1118"/>
      <w:bookmarkEnd w:id="1119"/>
      <w:bookmarkEnd w:id="1120"/>
      <w:bookmarkEnd w:id="1121"/>
    </w:p>
    <w:p>
      <w:pPr>
        <w:snapToGrid w:val="0"/>
        <w:spacing w:line="288" w:lineRule="auto"/>
        <w:ind w:right="-340" w:rightChars="-162" w:firstLine="420"/>
        <w:rPr>
          <w:rFonts w:asciiTheme="minorEastAsia" w:hAnsiTheme="minorEastAsia" w:eastAsiaTheme="minorEastAsia"/>
          <w:bCs/>
          <w:sz w:val="24"/>
        </w:rPr>
      </w:pPr>
      <w:r>
        <w:rPr>
          <w:rFonts w:hint="eastAsia" w:asciiTheme="minorEastAsia" w:hAnsiTheme="minorEastAsia" w:eastAsiaTheme="minorEastAsia"/>
          <w:sz w:val="24"/>
        </w:rPr>
        <w:t>监理人及其工作人员不得从与实施工程有关的第三方处获得任何经济利益。</w:t>
      </w:r>
    </w:p>
    <w:p>
      <w:pPr>
        <w:pStyle w:val="4"/>
        <w:spacing w:line="288" w:lineRule="auto"/>
      </w:pPr>
      <w:bookmarkStart w:id="1122" w:name="_Toc16105"/>
      <w:bookmarkStart w:id="1123" w:name="_Toc496098757"/>
      <w:bookmarkStart w:id="1124" w:name="_Toc443898843"/>
      <w:bookmarkStart w:id="1125" w:name="_Toc499204977"/>
      <w:bookmarkStart w:id="1126" w:name="_Toc4993"/>
      <w:bookmarkStart w:id="1127" w:name="_Toc13936"/>
      <w:r>
        <w:rPr>
          <w:rFonts w:hint="eastAsia"/>
        </w:rPr>
        <w:t>8.6 保密</w:t>
      </w:r>
      <w:bookmarkEnd w:id="1122"/>
      <w:bookmarkEnd w:id="1123"/>
      <w:bookmarkEnd w:id="1124"/>
      <w:bookmarkEnd w:id="1125"/>
      <w:bookmarkEnd w:id="1126"/>
      <w:bookmarkEnd w:id="1127"/>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双方不得泄露对方申明的保密资料，亦不得泄露与实施工程有关的第三方所提供的保密资料，保密事项在专用条件中约定。</w:t>
      </w:r>
    </w:p>
    <w:p>
      <w:pPr>
        <w:pStyle w:val="4"/>
        <w:spacing w:line="288" w:lineRule="auto"/>
      </w:pPr>
      <w:bookmarkStart w:id="1128" w:name="_Toc443898844"/>
      <w:bookmarkStart w:id="1129" w:name="_Toc496098758"/>
      <w:bookmarkStart w:id="1130" w:name="_Toc11533"/>
      <w:bookmarkStart w:id="1131" w:name="_Toc18991"/>
      <w:bookmarkStart w:id="1132" w:name="_Toc499204978"/>
      <w:bookmarkStart w:id="1133" w:name="_Toc842"/>
      <w:r>
        <w:rPr>
          <w:rFonts w:hint="eastAsia"/>
        </w:rPr>
        <w:t>8.7 通知</w:t>
      </w:r>
      <w:bookmarkEnd w:id="1128"/>
      <w:bookmarkEnd w:id="1129"/>
      <w:bookmarkEnd w:id="1130"/>
      <w:bookmarkEnd w:id="1131"/>
      <w:bookmarkEnd w:id="1132"/>
      <w:bookmarkEnd w:id="1133"/>
    </w:p>
    <w:p>
      <w:pPr>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sz w:val="24"/>
        </w:rPr>
        <w:t>本合同涉及的通知均应当采用书面形式，并在送达对方时生效，收件人应书面签收。</w:t>
      </w:r>
    </w:p>
    <w:p>
      <w:pPr>
        <w:pStyle w:val="4"/>
        <w:spacing w:line="288" w:lineRule="auto"/>
      </w:pPr>
      <w:bookmarkStart w:id="1134" w:name="_Toc496098759"/>
      <w:bookmarkStart w:id="1135" w:name="_Toc5109"/>
      <w:bookmarkStart w:id="1136" w:name="_Toc5800"/>
      <w:bookmarkStart w:id="1137" w:name="_Toc11071"/>
      <w:bookmarkStart w:id="1138" w:name="_Toc443898845"/>
      <w:bookmarkStart w:id="1139" w:name="_Toc499204979"/>
      <w:r>
        <w:rPr>
          <w:rFonts w:hint="eastAsia"/>
        </w:rPr>
        <w:t>8.8 著作权</w:t>
      </w:r>
      <w:bookmarkEnd w:id="1134"/>
      <w:bookmarkEnd w:id="1135"/>
      <w:bookmarkEnd w:id="1136"/>
      <w:bookmarkEnd w:id="1137"/>
      <w:bookmarkEnd w:id="1138"/>
      <w:bookmarkEnd w:id="1139"/>
    </w:p>
    <w:p>
      <w:pPr>
        <w:adjustRightInd w:val="0"/>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监理人对其编制的文件拥有著作权。</w:t>
      </w:r>
    </w:p>
    <w:p>
      <w:pPr>
        <w:snapToGrid w:val="0"/>
        <w:spacing w:line="288" w:lineRule="auto"/>
        <w:ind w:firstLine="420"/>
        <w:rPr>
          <w:rFonts w:asciiTheme="minorEastAsia" w:hAnsiTheme="minorEastAsia" w:eastAsiaTheme="minorEastAsia"/>
          <w:sz w:val="24"/>
        </w:rPr>
      </w:pPr>
      <w:r>
        <w:rPr>
          <w:rFonts w:hint="eastAsia" w:asciiTheme="minorEastAsia" w:hAnsiTheme="minorEastAsia" w:eastAsiaTheme="minor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
    <w:p/>
    <w:p/>
    <w:p/>
    <w:p/>
    <w:p/>
    <w:p/>
    <w:p/>
    <w:p/>
    <w:p/>
    <w:p/>
    <w:p/>
    <w:p/>
    <w:p/>
    <w:p/>
    <w:p/>
    <w:p/>
    <w:p/>
    <w:p>
      <w:pPr>
        <w:pStyle w:val="2"/>
        <w:jc w:val="center"/>
      </w:pPr>
      <w:bookmarkStart w:id="1140" w:name="_Toc26054"/>
      <w:bookmarkStart w:id="1141" w:name="_Toc496098760"/>
      <w:r>
        <w:rPr>
          <w:rFonts w:hint="eastAsia"/>
        </w:rPr>
        <w:t>第三部分  专用条件</w:t>
      </w:r>
      <w:bookmarkEnd w:id="1140"/>
      <w:bookmarkEnd w:id="1141"/>
    </w:p>
    <w:p>
      <w:pPr>
        <w:keepNext/>
        <w:keepLines/>
        <w:spacing w:beforeLines="50" w:afterLines="50" w:line="288" w:lineRule="auto"/>
        <w:outlineLvl w:val="1"/>
        <w:rPr>
          <w:rFonts w:asciiTheme="minorEastAsia" w:hAnsiTheme="minorEastAsia" w:eastAsiaTheme="minorEastAsia"/>
          <w:b/>
          <w:bCs/>
          <w:sz w:val="24"/>
        </w:rPr>
      </w:pPr>
      <w:bookmarkStart w:id="1142" w:name="_Toc496098761"/>
      <w:bookmarkStart w:id="1143" w:name="_Toc10735"/>
      <w:bookmarkStart w:id="1144" w:name="_Toc29453"/>
      <w:bookmarkStart w:id="1145" w:name="_Toc443898847"/>
      <w:r>
        <w:rPr>
          <w:rFonts w:asciiTheme="minorEastAsia" w:hAnsiTheme="minorEastAsia" w:eastAsiaTheme="minorEastAsia"/>
          <w:b/>
          <w:bCs/>
          <w:sz w:val="24"/>
        </w:rPr>
        <w:t>1. 定义与解释</w:t>
      </w:r>
      <w:bookmarkEnd w:id="1142"/>
      <w:bookmarkEnd w:id="1143"/>
      <w:bookmarkEnd w:id="1144"/>
      <w:bookmarkEnd w:id="1145"/>
    </w:p>
    <w:p>
      <w:pPr>
        <w:keepNext/>
        <w:keepLines/>
        <w:spacing w:line="288" w:lineRule="auto"/>
        <w:outlineLvl w:val="2"/>
        <w:rPr>
          <w:rFonts w:asciiTheme="minorEastAsia" w:hAnsiTheme="minorEastAsia" w:eastAsiaTheme="minorEastAsia"/>
          <w:b/>
          <w:sz w:val="24"/>
        </w:rPr>
      </w:pPr>
      <w:bookmarkStart w:id="1146" w:name="_Toc8553"/>
      <w:bookmarkStart w:id="1147" w:name="_Toc443898848"/>
      <w:bookmarkStart w:id="1148" w:name="_Toc496098762"/>
      <w:bookmarkStart w:id="1149" w:name="_Toc499204982"/>
      <w:bookmarkStart w:id="1150" w:name="_Toc5414"/>
      <w:bookmarkStart w:id="1151" w:name="_Toc14323"/>
      <w:r>
        <w:rPr>
          <w:rFonts w:asciiTheme="minorEastAsia" w:hAnsiTheme="minorEastAsia" w:eastAsiaTheme="minorEastAsia"/>
          <w:b/>
          <w:sz w:val="24"/>
        </w:rPr>
        <w:t xml:space="preserve">1.1 </w:t>
      </w:r>
      <w:r>
        <w:rPr>
          <w:rFonts w:hint="eastAsia" w:asciiTheme="minorEastAsia" w:hAnsiTheme="minorEastAsia" w:eastAsiaTheme="minorEastAsia"/>
          <w:b/>
          <w:sz w:val="24"/>
        </w:rPr>
        <w:t>定义</w:t>
      </w:r>
      <w:bookmarkEnd w:id="1146"/>
      <w:bookmarkEnd w:id="1147"/>
      <w:bookmarkEnd w:id="1148"/>
      <w:bookmarkEnd w:id="1149"/>
      <w:bookmarkEnd w:id="1150"/>
      <w:bookmarkEnd w:id="1151"/>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asciiTheme="minorEastAsia" w:hAnsiTheme="minorEastAsia" w:eastAsiaTheme="minorEastAsia"/>
          <w:bCs/>
          <w:sz w:val="24"/>
        </w:rPr>
        <w:t>1.1.1 “工程”是</w:t>
      </w:r>
      <w:r>
        <w:rPr>
          <w:rFonts w:hint="eastAsia" w:asciiTheme="minorEastAsia" w:hAnsiTheme="minorEastAsia" w:eastAsiaTheme="minorEastAsia"/>
          <w:bCs/>
          <w:sz w:val="24"/>
          <w:u w:val="single"/>
        </w:rPr>
        <w:t>指郑州机场至许昌市域铁路工程许昌段建设项目(施工总承包)</w:t>
      </w:r>
      <w:r>
        <w:rPr>
          <w:rFonts w:asciiTheme="minorEastAsia" w:hAnsiTheme="minorEastAsia" w:eastAsiaTheme="minorEastAsia"/>
          <w:sz w:val="24"/>
        </w:rPr>
        <w:t>。</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hint="eastAsia" w:asciiTheme="minorEastAsia" w:hAnsiTheme="minorEastAsia" w:eastAsiaTheme="minorEastAsia"/>
          <w:bCs/>
          <w:sz w:val="24"/>
        </w:rPr>
        <w:t>1.1.3 “监理人”是指本合同中提供监理与相关服务的一方，及其合法的继承人，亦指监理人根据监理合同派驻到工程所在地履行监理服务的机构。</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hint="eastAsia" w:asciiTheme="minorEastAsia" w:hAnsiTheme="minorEastAsia" w:eastAsiaTheme="minorEastAsia"/>
          <w:bCs/>
          <w:sz w:val="24"/>
        </w:rPr>
        <w:t>1.1.12 “天”是指第一天零时至第二天零时的时间，“日”和“天”具有同样含义，是指一个公历日，不是指工作日。</w:t>
      </w:r>
    </w:p>
    <w:p>
      <w:pPr>
        <w:adjustRightInd w:val="0"/>
        <w:snapToGrid w:val="0"/>
        <w:spacing w:afterLines="50" w:line="288" w:lineRule="auto"/>
        <w:ind w:left="927" w:leftChars="203" w:hanging="501" w:hangingChars="209"/>
        <w:rPr>
          <w:rFonts w:asciiTheme="minorEastAsia" w:hAnsiTheme="minorEastAsia" w:eastAsiaTheme="minorEastAsia"/>
          <w:bCs/>
          <w:sz w:val="24"/>
        </w:rPr>
      </w:pPr>
      <w:r>
        <w:rPr>
          <w:rFonts w:asciiTheme="minorEastAsia" w:hAnsiTheme="minorEastAsia" w:eastAsiaTheme="minorEastAsia"/>
          <w:bCs/>
          <w:sz w:val="24"/>
        </w:rPr>
        <w:t>1.1.1</w:t>
      </w:r>
      <w:r>
        <w:rPr>
          <w:rFonts w:hint="eastAsia" w:asciiTheme="minorEastAsia" w:hAnsiTheme="minorEastAsia" w:eastAsiaTheme="minorEastAsia"/>
          <w:bCs/>
          <w:sz w:val="24"/>
        </w:rPr>
        <w:t>3“</w:t>
      </w:r>
      <w:r>
        <w:rPr>
          <w:rFonts w:asciiTheme="minorEastAsia" w:hAnsiTheme="minorEastAsia" w:eastAsiaTheme="minorEastAsia"/>
          <w:bCs/>
          <w:sz w:val="24"/>
        </w:rPr>
        <w:t>月</w:t>
      </w:r>
      <w:r>
        <w:rPr>
          <w:rFonts w:hint="eastAsia" w:asciiTheme="minorEastAsia" w:hAnsiTheme="minorEastAsia" w:eastAsiaTheme="minorEastAsia"/>
          <w:bCs/>
          <w:sz w:val="24"/>
        </w:rPr>
        <w:t>”</w:t>
      </w:r>
      <w:r>
        <w:rPr>
          <w:rFonts w:asciiTheme="minorEastAsia" w:hAnsiTheme="minorEastAsia" w:eastAsiaTheme="minorEastAsia"/>
          <w:bCs/>
          <w:sz w:val="24"/>
        </w:rPr>
        <w:t>：根据公历从某一个月份中的任何一日开始至下一个月份相应日期的前一日截止的时间段。</w:t>
      </w:r>
      <w:r>
        <w:rPr>
          <w:rFonts w:hint="eastAsia" w:asciiTheme="minorEastAsia" w:hAnsiTheme="minorEastAsia" w:eastAsiaTheme="minorEastAsia"/>
          <w:bCs/>
          <w:sz w:val="24"/>
        </w:rPr>
        <w:t>如下一个月无相应日，则该月的最后一日为截止日。</w:t>
      </w:r>
    </w:p>
    <w:p>
      <w:pPr>
        <w:adjustRightInd w:val="0"/>
        <w:snapToGrid w:val="0"/>
        <w:spacing w:afterLines="50" w:line="288" w:lineRule="auto"/>
        <w:ind w:left="991" w:hanging="991" w:hangingChars="413"/>
        <w:rPr>
          <w:rFonts w:asciiTheme="minorEastAsia" w:hAnsiTheme="minorEastAsia" w:eastAsiaTheme="minorEastAsia"/>
          <w:bCs/>
          <w:sz w:val="24"/>
        </w:rPr>
      </w:pPr>
      <w:r>
        <w:rPr>
          <w:rFonts w:asciiTheme="minorEastAsia" w:hAnsiTheme="minorEastAsia" w:eastAsiaTheme="minorEastAsia"/>
          <w:bCs/>
          <w:sz w:val="24"/>
        </w:rPr>
        <w:t>第1.1项增加如下定义：</w:t>
      </w:r>
    </w:p>
    <w:p>
      <w:pPr>
        <w:adjustRightInd w:val="0"/>
        <w:snapToGrid w:val="0"/>
        <w:spacing w:afterLines="50" w:line="288" w:lineRule="auto"/>
        <w:ind w:firstLine="484" w:firstLineChars="202"/>
        <w:rPr>
          <w:rFonts w:asciiTheme="minorEastAsia" w:hAnsiTheme="minorEastAsia" w:eastAsiaTheme="minorEastAsia"/>
          <w:sz w:val="24"/>
        </w:rPr>
      </w:pPr>
      <w:r>
        <w:rPr>
          <w:rFonts w:asciiTheme="minorEastAsia" w:hAnsiTheme="minorEastAsia" w:eastAsiaTheme="minorEastAsia"/>
          <w:bCs/>
          <w:sz w:val="24"/>
        </w:rPr>
        <w:t>1.1.</w:t>
      </w:r>
      <w:r>
        <w:rPr>
          <w:rFonts w:hint="eastAsia" w:asciiTheme="minorEastAsia" w:hAnsiTheme="minorEastAsia" w:eastAsiaTheme="minorEastAsia"/>
          <w:bCs/>
          <w:sz w:val="24"/>
        </w:rPr>
        <w:t>20</w:t>
      </w:r>
      <w:r>
        <w:rPr>
          <w:rFonts w:asciiTheme="minorEastAsia" w:hAnsiTheme="minorEastAsia" w:eastAsiaTheme="minorEastAsia"/>
          <w:bCs/>
          <w:sz w:val="24"/>
        </w:rPr>
        <w:t>项目：</w:t>
      </w:r>
      <w:r>
        <w:rPr>
          <w:rFonts w:hint="eastAsia" w:cs="宋体" w:asciiTheme="minorEastAsia" w:hAnsiTheme="minorEastAsia" w:eastAsiaTheme="minorEastAsia"/>
          <w:sz w:val="24"/>
          <w:u w:val="single"/>
        </w:rPr>
        <w:t>郑州机场至许昌市域铁路工程许昌段建设项目(施工总承包)</w:t>
      </w:r>
      <w:r>
        <w:rPr>
          <w:rFonts w:hint="eastAsia" w:asciiTheme="minorEastAsia" w:hAnsiTheme="minorEastAsia" w:eastAsiaTheme="minorEastAsia"/>
          <w:bCs/>
          <w:sz w:val="24"/>
        </w:rPr>
        <w:t>（第一（二）标段）</w:t>
      </w:r>
      <w:r>
        <w:rPr>
          <w:rFonts w:hint="eastAsia" w:cs="宋体" w:asciiTheme="minorEastAsia" w:hAnsiTheme="minorEastAsia" w:eastAsiaTheme="minorEastAsia"/>
          <w:sz w:val="24"/>
          <w:u w:val="single"/>
        </w:rPr>
        <w:t>监理</w:t>
      </w:r>
      <w:r>
        <w:rPr>
          <w:rFonts w:hint="eastAsia" w:asciiTheme="minorEastAsia" w:hAnsiTheme="minorEastAsia" w:eastAsiaTheme="minorEastAsia"/>
          <w:bCs/>
          <w:sz w:val="24"/>
          <w:u w:val="single"/>
        </w:rPr>
        <w:t>。</w:t>
      </w:r>
    </w:p>
    <w:p>
      <w:pPr>
        <w:spacing w:line="288" w:lineRule="auto"/>
        <w:ind w:left="168" w:leftChars="80" w:firstLine="266" w:firstLineChars="111"/>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21</w:t>
      </w:r>
      <w:r>
        <w:rPr>
          <w:rFonts w:asciiTheme="minorEastAsia" w:hAnsiTheme="minorEastAsia" w:eastAsiaTheme="minorEastAsia"/>
          <w:bCs/>
          <w:sz w:val="24"/>
        </w:rPr>
        <w:t>合同文件：指</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r>
        <w:rPr>
          <w:rFonts w:hint="eastAsia" w:asciiTheme="minorEastAsia" w:hAnsiTheme="minorEastAsia" w:eastAsiaTheme="minorEastAsia"/>
          <w:bCs/>
          <w:sz w:val="24"/>
        </w:rPr>
        <w:t>、</w:t>
      </w:r>
      <w:r>
        <w:rPr>
          <w:rFonts w:asciiTheme="minorEastAsia" w:hAnsiTheme="minorEastAsia" w:eastAsiaTheme="minorEastAsia"/>
          <w:bCs/>
          <w:sz w:val="24"/>
        </w:rPr>
        <w:t>中标通知书</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r>
        <w:rPr>
          <w:rFonts w:hint="eastAsia" w:asciiTheme="minorEastAsia" w:hAnsiTheme="minorEastAsia" w:eastAsiaTheme="minorEastAsia"/>
          <w:bCs/>
          <w:sz w:val="24"/>
        </w:rPr>
        <w:t>、</w:t>
      </w:r>
      <w:r>
        <w:rPr>
          <w:rFonts w:asciiTheme="minorEastAsia" w:hAnsiTheme="minorEastAsia" w:eastAsiaTheme="minorEastAsia"/>
          <w:bCs/>
          <w:sz w:val="24"/>
        </w:rPr>
        <w:t>通用条件</w:t>
      </w:r>
      <w:r>
        <w:rPr>
          <w:rFonts w:hint="eastAsia" w:asciiTheme="minorEastAsia" w:hAnsiTheme="minorEastAsia" w:eastAsiaTheme="minorEastAsia"/>
          <w:bCs/>
          <w:sz w:val="24"/>
        </w:rPr>
        <w:t>、</w:t>
      </w:r>
      <w:r>
        <w:rPr>
          <w:rFonts w:asciiTheme="minorEastAsia" w:hAnsiTheme="minorEastAsia" w:eastAsiaTheme="minorEastAsia"/>
          <w:bCs/>
          <w:sz w:val="24"/>
        </w:rPr>
        <w:t>监理服务标准和要求</w:t>
      </w:r>
      <w:r>
        <w:rPr>
          <w:rFonts w:hint="eastAsia" w:asciiTheme="minorEastAsia" w:hAnsiTheme="minorEastAsia" w:eastAsiaTheme="minorEastAsia"/>
          <w:bCs/>
          <w:sz w:val="24"/>
        </w:rPr>
        <w:t>、</w:t>
      </w:r>
      <w:r>
        <w:rPr>
          <w:rFonts w:asciiTheme="minorEastAsia" w:hAnsiTheme="minorEastAsia" w:eastAsiaTheme="minorEastAsia"/>
          <w:bCs/>
          <w:sz w:val="24"/>
        </w:rPr>
        <w:t>投标文件</w:t>
      </w:r>
      <w:r>
        <w:rPr>
          <w:rFonts w:hint="eastAsia" w:asciiTheme="minorEastAsia" w:hAnsiTheme="minorEastAsia" w:eastAsiaTheme="minorEastAsia"/>
          <w:bCs/>
          <w:sz w:val="24"/>
        </w:rPr>
        <w:t>、招标文件、</w:t>
      </w:r>
      <w:r>
        <w:rPr>
          <w:rFonts w:asciiTheme="minorEastAsia" w:hAnsiTheme="minorEastAsia" w:eastAsiaTheme="minorEastAsia"/>
          <w:bCs/>
          <w:sz w:val="24"/>
        </w:rPr>
        <w:t>其他合同文件等文件。</w:t>
      </w:r>
    </w:p>
    <w:p>
      <w:pPr>
        <w:adjustRightInd w:val="0"/>
        <w:snapToGrid w:val="0"/>
        <w:spacing w:line="288" w:lineRule="auto"/>
        <w:ind w:firstLine="484" w:firstLineChars="202"/>
        <w:rPr>
          <w:rFonts w:asciiTheme="minorEastAsia" w:hAnsiTheme="minorEastAsia" w:eastAsiaTheme="minorEastAsia"/>
          <w:bCs/>
          <w:sz w:val="24"/>
        </w:rPr>
      </w:pPr>
      <w:r>
        <w:rPr>
          <w:rFonts w:hint="eastAsia" w:asciiTheme="minorEastAsia" w:hAnsiTheme="minorEastAsia" w:eastAsiaTheme="minorEastAsia"/>
          <w:bCs/>
          <w:sz w:val="24"/>
        </w:rPr>
        <w:t>1.1.22其他合同文件：在合同订立和履行过程中，委托人颁布的有关工程建设监理的规定、要求和办法等文件。</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23</w:t>
      </w:r>
      <w:r>
        <w:rPr>
          <w:rFonts w:asciiTheme="minorEastAsia" w:hAnsiTheme="minorEastAsia" w:eastAsiaTheme="minorEastAsia"/>
          <w:bCs/>
          <w:sz w:val="24"/>
        </w:rPr>
        <w:t>缺陷责任期：指施工承包人完成本工程并进行竣工验收后，对本工程出现的缺陷进行维修的责任期限。</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24最终监理服务费：委托人应支付给监理人的所有监理服务费用。</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25季：每年按</w:t>
      </w:r>
      <w:r>
        <w:rPr>
          <w:rFonts w:asciiTheme="minorEastAsia" w:hAnsiTheme="minorEastAsia" w:eastAsiaTheme="minorEastAsia"/>
          <w:bCs/>
          <w:sz w:val="24"/>
        </w:rPr>
        <w:t>1-3</w:t>
      </w:r>
      <w:r>
        <w:rPr>
          <w:rFonts w:hint="eastAsia" w:asciiTheme="minorEastAsia" w:hAnsiTheme="minorEastAsia" w:eastAsiaTheme="minorEastAsia"/>
          <w:bCs/>
          <w:sz w:val="24"/>
        </w:rPr>
        <w:t>月、</w:t>
      </w:r>
      <w:r>
        <w:rPr>
          <w:rFonts w:asciiTheme="minorEastAsia" w:hAnsiTheme="minorEastAsia" w:eastAsiaTheme="minorEastAsia"/>
          <w:bCs/>
          <w:sz w:val="24"/>
        </w:rPr>
        <w:t>4-6</w:t>
      </w:r>
      <w:r>
        <w:rPr>
          <w:rFonts w:hint="eastAsia" w:asciiTheme="minorEastAsia" w:hAnsiTheme="minorEastAsia" w:eastAsiaTheme="minorEastAsia"/>
          <w:bCs/>
          <w:sz w:val="24"/>
        </w:rPr>
        <w:t>月、</w:t>
      </w:r>
      <w:r>
        <w:rPr>
          <w:rFonts w:asciiTheme="minorEastAsia" w:hAnsiTheme="minorEastAsia" w:eastAsiaTheme="minorEastAsia"/>
          <w:bCs/>
          <w:sz w:val="24"/>
        </w:rPr>
        <w:t>7-9</w:t>
      </w:r>
      <w:r>
        <w:rPr>
          <w:rFonts w:hint="eastAsia" w:asciiTheme="minorEastAsia" w:hAnsiTheme="minorEastAsia" w:eastAsiaTheme="minorEastAsia"/>
          <w:bCs/>
          <w:sz w:val="24"/>
        </w:rPr>
        <w:t>月、</w:t>
      </w:r>
      <w:r>
        <w:rPr>
          <w:rFonts w:asciiTheme="minorEastAsia" w:hAnsiTheme="minorEastAsia" w:eastAsiaTheme="minorEastAsia"/>
          <w:bCs/>
          <w:sz w:val="24"/>
        </w:rPr>
        <w:t>10-12</w:t>
      </w:r>
      <w:r>
        <w:rPr>
          <w:rFonts w:hint="eastAsia" w:asciiTheme="minorEastAsia" w:hAnsiTheme="minorEastAsia" w:eastAsiaTheme="minorEastAsia"/>
          <w:bCs/>
          <w:sz w:val="24"/>
        </w:rPr>
        <w:t>月划分为</w:t>
      </w:r>
      <w:r>
        <w:rPr>
          <w:rFonts w:asciiTheme="minorEastAsia" w:hAnsiTheme="minorEastAsia" w:eastAsiaTheme="minorEastAsia"/>
          <w:bCs/>
          <w:sz w:val="24"/>
        </w:rPr>
        <w:t>4</w:t>
      </w:r>
      <w:r>
        <w:rPr>
          <w:rFonts w:hint="eastAsia" w:asciiTheme="minorEastAsia" w:hAnsiTheme="minorEastAsia" w:eastAsiaTheme="minorEastAsia"/>
          <w:bCs/>
          <w:sz w:val="24"/>
        </w:rPr>
        <w:t>个时间段，每个时间段称为一个季，也称季度。</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1.1.2</w:t>
      </w:r>
      <w:r>
        <w:rPr>
          <w:rFonts w:hint="eastAsia" w:asciiTheme="minorEastAsia" w:hAnsiTheme="minorEastAsia" w:eastAsiaTheme="minorEastAsia"/>
          <w:bCs/>
          <w:sz w:val="24"/>
        </w:rPr>
        <w:t>6甲供材料设备：是指由发包人直接与供货商签订合同，采购的用于本工程施工所需的材料设备，具体名称及规格型号见各采购合同。</w:t>
      </w:r>
    </w:p>
    <w:p>
      <w:pPr>
        <w:keepNext/>
        <w:keepLines/>
        <w:spacing w:line="288" w:lineRule="auto"/>
        <w:outlineLvl w:val="2"/>
        <w:rPr>
          <w:rFonts w:asciiTheme="minorEastAsia" w:hAnsiTheme="minorEastAsia" w:eastAsiaTheme="minorEastAsia"/>
          <w:b/>
          <w:sz w:val="24"/>
        </w:rPr>
      </w:pPr>
      <w:bookmarkStart w:id="1152" w:name="_Toc499204983"/>
      <w:bookmarkStart w:id="1153" w:name="_Toc7859"/>
      <w:bookmarkStart w:id="1154" w:name="_Toc1106"/>
      <w:bookmarkStart w:id="1155" w:name="_Toc443898849"/>
      <w:bookmarkStart w:id="1156" w:name="_Toc496098763"/>
      <w:bookmarkStart w:id="1157" w:name="_Toc20874"/>
      <w:r>
        <w:rPr>
          <w:rFonts w:asciiTheme="minorEastAsia" w:hAnsiTheme="minorEastAsia" w:eastAsiaTheme="minorEastAsia"/>
          <w:b/>
          <w:sz w:val="24"/>
        </w:rPr>
        <w:t xml:space="preserve">1.2 </w:t>
      </w:r>
      <w:r>
        <w:rPr>
          <w:rFonts w:hint="eastAsia" w:asciiTheme="minorEastAsia" w:hAnsiTheme="minorEastAsia" w:eastAsiaTheme="minorEastAsia"/>
          <w:b/>
          <w:sz w:val="24"/>
        </w:rPr>
        <w:t>解释</w:t>
      </w:r>
      <w:bookmarkEnd w:id="1152"/>
      <w:bookmarkEnd w:id="1153"/>
      <w:bookmarkEnd w:id="1154"/>
      <w:bookmarkEnd w:id="1155"/>
      <w:bookmarkEnd w:id="1156"/>
      <w:bookmarkEnd w:id="1157"/>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1.2.1 本合同文件除使用中文外，还可用</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1.2.2 约定本合同文件的解释顺序为：</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合同</w:t>
      </w:r>
      <w:r>
        <w:rPr>
          <w:rFonts w:asciiTheme="minorEastAsia" w:hAnsiTheme="minorEastAsia" w:eastAsiaTheme="minorEastAsia"/>
          <w:bCs/>
          <w:sz w:val="24"/>
        </w:rPr>
        <w:t>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（2）中标通知书；</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w:t>
      </w:r>
      <w:r>
        <w:rPr>
          <w:rFonts w:asciiTheme="minorEastAsia" w:hAnsiTheme="minorEastAsia" w:eastAsiaTheme="minorEastAsia"/>
          <w:bCs/>
          <w:sz w:val="24"/>
        </w:rPr>
        <w:t>投标函</w:t>
      </w:r>
      <w:r>
        <w:rPr>
          <w:rFonts w:hint="eastAsia" w:asciiTheme="minorEastAsia" w:hAnsiTheme="minorEastAsia" w:eastAsiaTheme="minorEastAsia"/>
          <w:bCs/>
          <w:sz w:val="24"/>
        </w:rPr>
        <w:t>、</w:t>
      </w:r>
      <w:r>
        <w:rPr>
          <w:rFonts w:asciiTheme="minorEastAsia" w:hAnsiTheme="minorEastAsia" w:eastAsiaTheme="minorEastAsia"/>
          <w:bCs/>
          <w:sz w:val="24"/>
        </w:rPr>
        <w:t>投标函附录</w:t>
      </w:r>
      <w:r>
        <w:rPr>
          <w:rFonts w:hint="eastAsia" w:asciiTheme="minorEastAsia" w:hAnsiTheme="minorEastAsia" w:eastAsiaTheme="minorEastAsia"/>
          <w:bCs/>
          <w:sz w:val="24"/>
        </w:rPr>
        <w:t>、</w:t>
      </w:r>
      <w:r>
        <w:rPr>
          <w:rFonts w:asciiTheme="minorEastAsia" w:hAnsiTheme="minorEastAsia" w:eastAsiaTheme="minorEastAsia"/>
          <w:bCs/>
          <w:sz w:val="24"/>
        </w:rPr>
        <w:t>评标期间</w:t>
      </w:r>
      <w:r>
        <w:rPr>
          <w:rFonts w:hint="eastAsia" w:asciiTheme="minorEastAsia" w:hAnsiTheme="minorEastAsia" w:eastAsiaTheme="minorEastAsia"/>
          <w:bCs/>
          <w:sz w:val="24"/>
        </w:rPr>
        <w:t>和</w:t>
      </w:r>
      <w:r>
        <w:rPr>
          <w:rFonts w:asciiTheme="minorEastAsia" w:hAnsiTheme="minorEastAsia" w:eastAsiaTheme="minorEastAsia"/>
          <w:bCs/>
          <w:sz w:val="24"/>
        </w:rPr>
        <w:t>合同谈判过程中的</w:t>
      </w:r>
      <w:r>
        <w:rPr>
          <w:rFonts w:hint="eastAsia" w:asciiTheme="minorEastAsia" w:hAnsiTheme="minorEastAsia" w:eastAsiaTheme="minorEastAsia"/>
          <w:bCs/>
          <w:sz w:val="24"/>
        </w:rPr>
        <w:t>澄清及</w:t>
      </w:r>
      <w:r>
        <w:rPr>
          <w:rFonts w:asciiTheme="minorEastAsia" w:hAnsiTheme="minorEastAsia" w:eastAsiaTheme="minorEastAsia"/>
          <w:bCs/>
          <w:sz w:val="24"/>
        </w:rPr>
        <w:t>承诺</w:t>
      </w:r>
      <w:r>
        <w:rPr>
          <w:rFonts w:hint="eastAsia" w:asciiTheme="minorEastAsia" w:hAnsiTheme="minorEastAsia" w:eastAsiaTheme="minorEastAsia"/>
          <w:bCs/>
          <w:sz w:val="24"/>
        </w:rPr>
        <w:t>函</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4）专用条件</w:t>
      </w:r>
      <w:r>
        <w:rPr>
          <w:rFonts w:hint="eastAsia" w:asciiTheme="minorEastAsia" w:hAnsiTheme="minorEastAsia" w:eastAsiaTheme="minorEastAsia"/>
          <w:bCs/>
          <w:sz w:val="24"/>
        </w:rPr>
        <w:t>及</w:t>
      </w:r>
      <w:r>
        <w:rPr>
          <w:rFonts w:asciiTheme="minorEastAsia" w:hAnsiTheme="minorEastAsia" w:eastAsiaTheme="minorEastAsia"/>
          <w:bCs/>
          <w:sz w:val="24"/>
        </w:rPr>
        <w:t>合同实施过程中的补充协议书；</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（5）通用条件；</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（6）监理服务标准和要求；</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（7）投标文件</w:t>
      </w:r>
      <w:r>
        <w:rPr>
          <w:rFonts w:hint="eastAsia"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（8）招标文件；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（9）</w:t>
      </w:r>
      <w:r>
        <w:rPr>
          <w:rFonts w:asciiTheme="minorEastAsia" w:hAnsiTheme="minorEastAsia" w:eastAsiaTheme="minorEastAsia"/>
          <w:bCs/>
          <w:sz w:val="24"/>
        </w:rPr>
        <w:t>其他合同文件。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如上述组成合同的文件内容不一致，排列顺序在前者效力优先。</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上述各项合同文件包括合同当事人就该项合同文件所作出的补充和修改（包括变更、协议、纪要、信函、备忘录等），属于同一类内容的文件，应以最新签署的为准。</w:t>
      </w:r>
    </w:p>
    <w:p>
      <w:pPr>
        <w:keepNext/>
        <w:keepLines/>
        <w:spacing w:beforeLines="50" w:afterLines="50" w:line="288" w:lineRule="auto"/>
        <w:outlineLvl w:val="1"/>
        <w:rPr>
          <w:rFonts w:asciiTheme="minorEastAsia" w:hAnsiTheme="minorEastAsia" w:eastAsiaTheme="minorEastAsia"/>
          <w:b/>
          <w:bCs/>
          <w:sz w:val="24"/>
        </w:rPr>
      </w:pPr>
      <w:bookmarkStart w:id="1158" w:name="_Toc5674"/>
      <w:bookmarkStart w:id="1159" w:name="_Toc30326"/>
      <w:bookmarkStart w:id="1160" w:name="_Toc496098764"/>
      <w:bookmarkStart w:id="1161" w:name="_Toc443898850"/>
      <w:r>
        <w:rPr>
          <w:rFonts w:asciiTheme="minorEastAsia" w:hAnsiTheme="minorEastAsia" w:eastAsiaTheme="minorEastAsia"/>
          <w:b/>
          <w:bCs/>
          <w:sz w:val="24"/>
        </w:rPr>
        <w:t xml:space="preserve">2. </w:t>
      </w:r>
      <w:r>
        <w:rPr>
          <w:rFonts w:hint="eastAsia" w:asciiTheme="minorEastAsia" w:hAnsiTheme="minorEastAsia" w:eastAsiaTheme="minorEastAsia"/>
          <w:b/>
          <w:bCs/>
          <w:sz w:val="24"/>
        </w:rPr>
        <w:t>监理人义务</w:t>
      </w:r>
      <w:bookmarkEnd w:id="1158"/>
      <w:bookmarkEnd w:id="1159"/>
      <w:bookmarkEnd w:id="1160"/>
      <w:bookmarkEnd w:id="1161"/>
    </w:p>
    <w:p>
      <w:pPr>
        <w:keepNext/>
        <w:keepLines/>
        <w:spacing w:line="288" w:lineRule="auto"/>
        <w:outlineLvl w:val="2"/>
        <w:rPr>
          <w:rFonts w:asciiTheme="minorEastAsia" w:hAnsiTheme="minorEastAsia" w:eastAsiaTheme="minorEastAsia"/>
          <w:b/>
          <w:sz w:val="24"/>
        </w:rPr>
      </w:pPr>
      <w:bookmarkStart w:id="1162" w:name="_Toc496098765"/>
      <w:bookmarkStart w:id="1163" w:name="_Toc443898851"/>
      <w:bookmarkStart w:id="1164" w:name="_Toc24819"/>
      <w:bookmarkStart w:id="1165" w:name="_Toc16173"/>
      <w:bookmarkStart w:id="1166" w:name="_Toc499204985"/>
      <w:bookmarkStart w:id="1167" w:name="_Toc30675"/>
      <w:r>
        <w:rPr>
          <w:rFonts w:asciiTheme="minorEastAsia" w:hAnsiTheme="minorEastAsia" w:eastAsiaTheme="minorEastAsia"/>
          <w:b/>
          <w:sz w:val="24"/>
        </w:rPr>
        <w:t xml:space="preserve">2.1 </w:t>
      </w:r>
      <w:r>
        <w:rPr>
          <w:rFonts w:hint="eastAsia" w:asciiTheme="minorEastAsia" w:hAnsiTheme="minorEastAsia" w:eastAsiaTheme="minorEastAsia"/>
          <w:b/>
          <w:sz w:val="24"/>
        </w:rPr>
        <w:t>监理的范围和工作内容</w:t>
      </w:r>
      <w:bookmarkEnd w:id="1162"/>
      <w:bookmarkEnd w:id="1163"/>
      <w:bookmarkEnd w:id="1164"/>
      <w:bookmarkEnd w:id="1165"/>
      <w:bookmarkEnd w:id="1166"/>
      <w:bookmarkEnd w:id="1167"/>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2.1.1 监理范围包括： </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工程范围</w:t>
      </w:r>
      <w:r>
        <w:rPr>
          <w:rFonts w:hint="eastAsia" w:asciiTheme="minorEastAsia" w:hAnsiTheme="minorEastAsia" w:eastAsiaTheme="minorEastAsia"/>
          <w:bCs/>
          <w:sz w:val="24"/>
        </w:rPr>
        <w:t>：招标范围内所要求的监理。</w:t>
      </w:r>
    </w:p>
    <w:p>
      <w:pPr>
        <w:adjustRightInd w:val="0"/>
        <w:snapToGrid w:val="0"/>
        <w:spacing w:line="288" w:lineRule="auto"/>
        <w:ind w:firstLine="420"/>
        <w:rPr>
          <w:rFonts w:asciiTheme="minorEastAsia" w:hAnsiTheme="minorEastAsia" w:eastAsiaTheme="minorEastAsia"/>
          <w:bCs/>
          <w:sz w:val="24"/>
          <w:u w:val="single"/>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w:t>
      </w:r>
      <w:r>
        <w:rPr>
          <w:rFonts w:asciiTheme="minorEastAsia" w:hAnsiTheme="minorEastAsia" w:eastAsiaTheme="minorEastAsia"/>
          <w:bCs/>
          <w:sz w:val="24"/>
        </w:rPr>
        <w:t>工作范围：</w:t>
      </w:r>
      <w:r>
        <w:rPr>
          <w:rFonts w:hint="eastAsia" w:asciiTheme="minorEastAsia" w:hAnsiTheme="minorEastAsia" w:eastAsiaTheme="minorEastAsia"/>
          <w:bCs/>
          <w:sz w:val="24"/>
        </w:rPr>
        <w:t>对于施工承包人及相关系统供货商所实施的工程自准备期至竣工验收期间实施质量控制、进度控制、费用控制、合同管理、信息管理、安全生产文明施工、环境监测、工作协调、接口管理、成品保护监督管理等工作；对缺陷责任期内施工承包人及相关系统供货商实施的本工程的未完成工作、缺陷修补与缺陷调查工作，提供监理服务；对于前期迁改工程自准备期至竣工验收期间的进度控制、费用控制（现场签证、造价审核、计量支付、工程结算）、合同管理、工作协调；平行检测和安全预警实施全面管理；其他与本合同约定工程有关的监理工作</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（3）服务周期：</w:t>
      </w:r>
      <w:r>
        <w:rPr>
          <w:rFonts w:hint="eastAsia" w:asciiTheme="minorEastAsia" w:hAnsiTheme="minorEastAsia" w:eastAsiaTheme="minorEastAsia"/>
          <w:bCs/>
          <w:sz w:val="24"/>
        </w:rPr>
        <w:t>本工程的施工准备阶段、施工阶段及缺陷责任期结束且通过验收、移交。计划工期暂定38个月，缺陷责任期24个月</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）开始监理服务的时间：监理人必须根据本工程的进展情况，按照委托人的指令进场时间，安排监理人员和投入的工作条件及时进场。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2）完成监理服务的时间：监理服务完成时间为缺陷责任期</w:t>
      </w:r>
      <w:r>
        <w:rPr>
          <w:rFonts w:hint="eastAsia" w:asciiTheme="minorEastAsia" w:hAnsiTheme="minorEastAsia" w:eastAsiaTheme="minorEastAsia"/>
          <w:bCs/>
          <w:sz w:val="24"/>
        </w:rPr>
        <w:t>满</w:t>
      </w:r>
      <w:r>
        <w:rPr>
          <w:rFonts w:asciiTheme="minorEastAsia" w:hAnsiTheme="minorEastAsia" w:eastAsiaTheme="minorEastAsia"/>
          <w:bCs/>
          <w:sz w:val="24"/>
        </w:rPr>
        <w:t>后30天，监理人应全面完成本合同内监理服务的所有工作，在约定的服务周期内，所监理工程全部竣工并验收</w:t>
      </w:r>
      <w:r>
        <w:rPr>
          <w:rFonts w:hint="eastAsia" w:asciiTheme="minorEastAsia" w:hAnsiTheme="minorEastAsia" w:eastAsiaTheme="minorEastAsia"/>
          <w:bCs/>
          <w:sz w:val="24"/>
        </w:rPr>
        <w:t>合格</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3）缺陷责任期：本工程的缺陷责任期为</w:t>
      </w:r>
      <w:r>
        <w:rPr>
          <w:rFonts w:asciiTheme="minorEastAsia" w:hAnsiTheme="minorEastAsia" w:eastAsiaTheme="minorEastAsia"/>
          <w:bCs/>
          <w:sz w:val="24"/>
          <w:u w:val="single"/>
        </w:rPr>
        <w:t>24</w:t>
      </w:r>
      <w:r>
        <w:rPr>
          <w:rFonts w:asciiTheme="minorEastAsia" w:hAnsiTheme="minorEastAsia" w:eastAsiaTheme="minorEastAsia"/>
          <w:bCs/>
          <w:sz w:val="24"/>
        </w:rPr>
        <w:t>个月。监理人须对缺陷责任期内的监理服务工作质量负责，并完成相关的监理服务工作。</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4）退场期限：监理服务完成后，监理人应当书面提出退场申请，并在获得委托人批准后组织退场。</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2.1.2 监理工作内容还包括：</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）补充约定：熟悉并掌握合同文件，了解施工现场，以分项工程为单位，实施监理工作交底，认真填写监理工作交底记录。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工程设计中的技术问题，按照安全和优化的原则，事先征得委托人的同意后，向设计人提出建议。当发现工程设计不符合国家颁布的建设工程质量标准或设计合同约定的质量标准时，监理人应当书面报告委托人并要求设计人更正。</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补充约定：认真做好第一次工地会议和常规工地会议、监理会议的会议记录，按时下发会议纪要；会议纪要由监理人整理并在相应会议后48小时内分发给出席会议的各方；各方在收到会议纪要后24小时内，如有任何异议，应将有关异议以书面形式通知监理人；对在上述时限内提出的任何有效异议，监理人应将此类书面异议转发给其他出席会议方，有异议的事项在下一个会议上更新讨论或由监理人依合同条件的有关约定发出相应指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（5）补充约定：如主要施工承包人人员的从业资格、持证上岗等情况不符合相关法规、委托人的制度办法等工程管理规定，可勒令进行整改，并</w:t>
      </w:r>
      <w:r>
        <w:rPr>
          <w:rFonts w:hint="eastAsia" w:asciiTheme="minorEastAsia" w:hAnsiTheme="minorEastAsia" w:eastAsiaTheme="minorEastAsia"/>
          <w:bCs/>
          <w:sz w:val="24"/>
        </w:rPr>
        <w:t>报委托人批准按照施工合同约定要求承包人承担违约责任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（7）补充约定：及时排查、分析并发现影响进度的隐患，督促施工单位采取有效措施加以预防。若发现工</w:t>
      </w:r>
      <w:r>
        <w:rPr>
          <w:rFonts w:hint="eastAsia" w:asciiTheme="minorEastAsia" w:hAnsiTheme="minorEastAsia" w:eastAsiaTheme="minorEastAsia"/>
          <w:bCs/>
          <w:sz w:val="24"/>
        </w:rPr>
        <w:t>期延误</w:t>
      </w:r>
      <w:r>
        <w:rPr>
          <w:rFonts w:asciiTheme="minorEastAsia" w:hAnsiTheme="minorEastAsia" w:eastAsiaTheme="minorEastAsia"/>
          <w:bCs/>
          <w:sz w:val="24"/>
        </w:rPr>
        <w:t>，应分析原因，并督促和协调施工单位调整施工计划，保证合同工期的实现</w:t>
      </w:r>
      <w:r>
        <w:rPr>
          <w:rFonts w:hint="eastAsia" w:asciiTheme="minorEastAsia" w:hAnsiTheme="minorEastAsia" w:eastAsiaTheme="minorEastAsia"/>
          <w:bCs/>
          <w:sz w:val="24"/>
        </w:rPr>
        <w:t>，</w:t>
      </w:r>
      <w:r>
        <w:rPr>
          <w:rFonts w:asciiTheme="minorEastAsia" w:hAnsiTheme="minorEastAsia" w:eastAsiaTheme="minorEastAsia"/>
          <w:bCs/>
          <w:sz w:val="24"/>
        </w:rPr>
        <w:t>并</w:t>
      </w:r>
      <w:r>
        <w:rPr>
          <w:rFonts w:hint="eastAsia" w:asciiTheme="minorEastAsia" w:hAnsiTheme="minorEastAsia" w:eastAsiaTheme="minorEastAsia"/>
          <w:bCs/>
          <w:sz w:val="24"/>
        </w:rPr>
        <w:t>按照施工合同约定要求承包人承担违约责任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按照委托人规定的格式、内容、要求和期限，编制总监办的监理周报、监理月报、支付季报或其它报表，并按时上报；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对</w:t>
      </w:r>
      <w:r>
        <w:rPr>
          <w:rFonts w:asciiTheme="minorEastAsia" w:hAnsiTheme="minorEastAsia" w:eastAsiaTheme="minorEastAsia"/>
          <w:bCs/>
          <w:sz w:val="24"/>
        </w:rPr>
        <w:t>工程施工进度</w:t>
      </w:r>
      <w:r>
        <w:rPr>
          <w:rFonts w:hint="eastAsia" w:asciiTheme="minorEastAsia" w:hAnsiTheme="minorEastAsia" w:eastAsiaTheme="minorEastAsia"/>
          <w:bCs/>
          <w:sz w:val="24"/>
        </w:rPr>
        <w:t>进行</w:t>
      </w:r>
      <w:r>
        <w:rPr>
          <w:rFonts w:asciiTheme="minorEastAsia" w:hAnsiTheme="minorEastAsia" w:eastAsiaTheme="minorEastAsia"/>
          <w:bCs/>
          <w:sz w:val="24"/>
        </w:rPr>
        <w:t>检查、监督，</w:t>
      </w:r>
      <w:r>
        <w:rPr>
          <w:rFonts w:hint="eastAsia" w:asciiTheme="minorEastAsia" w:hAnsiTheme="minorEastAsia" w:eastAsiaTheme="minorEastAsia"/>
          <w:bCs/>
          <w:sz w:val="24"/>
        </w:rPr>
        <w:t>当</w:t>
      </w:r>
      <w:r>
        <w:rPr>
          <w:rFonts w:asciiTheme="minorEastAsia" w:hAnsiTheme="minorEastAsia" w:eastAsiaTheme="minorEastAsia"/>
          <w:bCs/>
          <w:sz w:val="24"/>
        </w:rPr>
        <w:t>工程实际竣工日期提前或超过工程施工合同约定的竣工期限</w:t>
      </w:r>
      <w:r>
        <w:rPr>
          <w:rFonts w:hint="eastAsia" w:asciiTheme="minorEastAsia" w:hAnsiTheme="minorEastAsia" w:eastAsiaTheme="minorEastAsia"/>
          <w:bCs/>
          <w:sz w:val="24"/>
        </w:rPr>
        <w:t>时</w:t>
      </w:r>
      <w:r>
        <w:rPr>
          <w:rFonts w:asciiTheme="minorEastAsia" w:hAnsiTheme="minorEastAsia" w:eastAsiaTheme="minorEastAsia"/>
          <w:bCs/>
          <w:sz w:val="24"/>
        </w:rPr>
        <w:t>及时</w:t>
      </w:r>
      <w:r>
        <w:rPr>
          <w:rFonts w:hint="eastAsia" w:asciiTheme="minorEastAsia" w:hAnsiTheme="minorEastAsia" w:eastAsiaTheme="minorEastAsia"/>
          <w:bCs/>
          <w:sz w:val="24"/>
        </w:rPr>
        <w:t>书面</w:t>
      </w:r>
      <w:r>
        <w:rPr>
          <w:rFonts w:asciiTheme="minorEastAsia" w:hAnsiTheme="minorEastAsia" w:eastAsiaTheme="minorEastAsia"/>
          <w:bCs/>
          <w:sz w:val="24"/>
        </w:rPr>
        <w:t>报告委托人；</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9</w:t>
      </w:r>
      <w:r>
        <w:rPr>
          <w:rFonts w:hint="eastAsia" w:asciiTheme="minorEastAsia" w:hAnsiTheme="minorEastAsia" w:eastAsiaTheme="minorEastAsia"/>
          <w:bCs/>
          <w:sz w:val="24"/>
        </w:rPr>
        <w:t>）补充约定：审查分包合同和分包人的资质，控制外购成品件或半成品件、原材料及混合料的质量；负责审核承包人的成品保护措施并监督承包人成品保护情况；</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12</w:t>
      </w:r>
      <w:r>
        <w:rPr>
          <w:rFonts w:hint="eastAsia" w:asciiTheme="minorEastAsia" w:hAnsiTheme="minorEastAsia" w:eastAsiaTheme="minorEastAsia"/>
          <w:bCs/>
          <w:sz w:val="24"/>
        </w:rPr>
        <w:t>）补充约定：审查拟用于本工程的原始材料、成套设备（无论该材料、设备是委托人提供还是承包人提供）的品质以及工艺试验和标准试验；对审查合格的建筑材料、建筑构配件和设备，监理工程师应当及时签字；未经监理工程师签字认可的建筑材料、建筑构配件和设备，监理人应当禁止施工单位在工程中使用和安装，并禁止施工单位进行下一道工序的施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建立现场监理的试验、检测工作体系。依据设计要求、技术规范和要求按照合同约定或相关规范要求的项目与频率（监理独立抽检的频率为承包人检验频率的10%），在委托人认可的质量检验单位独立开展监理试验、检测工作，并且完成见证取样工作。监理人员应采用自备的检测设备和计量器具进行现场试验、检测，且所用的计量器具必须经计量检测单位检验，并在有效期内使用。所有自行或者外委试验检测的相关费用均已包含在正常</w:t>
      </w:r>
      <w:r>
        <w:rPr>
          <w:rFonts w:hint="eastAsia" w:asciiTheme="minorEastAsia" w:hAnsiTheme="minorEastAsia" w:eastAsiaTheme="minorEastAsia"/>
          <w:bCs/>
          <w:sz w:val="24"/>
        </w:rPr>
        <w:t>工作酬金</w:t>
      </w:r>
      <w:r>
        <w:rPr>
          <w:rFonts w:asciiTheme="minorEastAsia" w:hAnsiTheme="minorEastAsia" w:eastAsiaTheme="minorEastAsia"/>
          <w:bCs/>
          <w:sz w:val="24"/>
        </w:rPr>
        <w:t>中；如监理人不能按照委托人要求按时配备试验检测设备或委托相应的检测单位进行检测，委托人有权代为配置或委托，</w:t>
      </w:r>
      <w:r>
        <w:rPr>
          <w:rFonts w:hint="eastAsia" w:asciiTheme="minorEastAsia" w:hAnsiTheme="minorEastAsia" w:eastAsiaTheme="minorEastAsia"/>
          <w:bCs/>
          <w:sz w:val="24"/>
        </w:rPr>
        <w:t>由此发生的</w:t>
      </w:r>
      <w:r>
        <w:rPr>
          <w:rFonts w:asciiTheme="minorEastAsia" w:hAnsiTheme="minorEastAsia" w:eastAsiaTheme="minorEastAsia"/>
          <w:bCs/>
          <w:sz w:val="24"/>
        </w:rPr>
        <w:t>费用</w:t>
      </w:r>
      <w:r>
        <w:rPr>
          <w:rFonts w:hint="eastAsia" w:asciiTheme="minorEastAsia" w:hAnsiTheme="minorEastAsia" w:eastAsiaTheme="minorEastAsia"/>
          <w:bCs/>
          <w:sz w:val="24"/>
        </w:rPr>
        <w:t>双倍从最近一期应支付的监理正常工作酬金</w:t>
      </w:r>
      <w:r>
        <w:rPr>
          <w:rFonts w:asciiTheme="minorEastAsia" w:hAnsiTheme="minorEastAsia" w:eastAsiaTheme="minorEastAsia"/>
          <w:bCs/>
          <w:sz w:val="24"/>
        </w:rPr>
        <w:t>中扣除；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对委托人提供的用于本工程的材料、设备等，监理人须严格依据施工合同约定控制承包人对材料、设备的领用，</w:t>
      </w:r>
      <w:r>
        <w:rPr>
          <w:rFonts w:hint="eastAsia" w:asciiTheme="minorEastAsia" w:hAnsiTheme="minorEastAsia" w:eastAsiaTheme="minorEastAsia"/>
          <w:bCs/>
          <w:sz w:val="24"/>
        </w:rPr>
        <w:t>保证承包人不多领、不替换，如发现承包人存在多领材料、设备，监理人应要求承包人将多领的材料设备及时交还；如发现承包人未使用本应由委托人提供的材料设备，监理人应要求承包人将已经使用的非委托人提供的材料、设备全部拆除，并将该部分材料设备全部清除出场；否则，监理人应按照承包人多领、替换的材料、设备价值的10%向委托人支付违约金，同时协助委托人追究承包人的违约责任</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13</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）《已标价的工程量清单》核算</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①监理人在收到正式施工图纸后28天内独立完成</w:t>
      </w:r>
      <w:r>
        <w:rPr>
          <w:rFonts w:hint="eastAsia" w:asciiTheme="minorEastAsia" w:hAnsiTheme="minorEastAsia" w:eastAsiaTheme="minorEastAsia"/>
          <w:bCs/>
          <w:sz w:val="24"/>
        </w:rPr>
        <w:t>《</w:t>
      </w:r>
      <w:r>
        <w:rPr>
          <w:rFonts w:asciiTheme="minorEastAsia" w:hAnsiTheme="minorEastAsia" w:eastAsiaTheme="minorEastAsia"/>
          <w:bCs/>
          <w:sz w:val="24"/>
        </w:rPr>
        <w:t>已标价工程量清单</w:t>
      </w:r>
      <w:r>
        <w:rPr>
          <w:rFonts w:hint="eastAsia" w:asciiTheme="minorEastAsia" w:hAnsiTheme="minorEastAsia" w:eastAsiaTheme="minorEastAsia"/>
          <w:bCs/>
          <w:sz w:val="24"/>
        </w:rPr>
        <w:t>》</w:t>
      </w:r>
      <w:r>
        <w:rPr>
          <w:rFonts w:asciiTheme="minorEastAsia" w:hAnsiTheme="minorEastAsia" w:eastAsiaTheme="minorEastAsia"/>
          <w:bCs/>
          <w:sz w:val="24"/>
        </w:rPr>
        <w:t>核算工作，并将所形成的成果文件上报委托人。</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②监理人在收到承包人的工程数量核算及组价书面文件后</w:t>
      </w:r>
      <w:r>
        <w:rPr>
          <w:rFonts w:asciiTheme="minorEastAsia" w:hAnsiTheme="minorEastAsia" w:eastAsiaTheme="minorEastAsia"/>
          <w:bCs/>
          <w:sz w:val="24"/>
        </w:rPr>
        <w:t>28</w:t>
      </w:r>
      <w:r>
        <w:rPr>
          <w:rFonts w:hint="eastAsia" w:asciiTheme="minorEastAsia" w:hAnsiTheme="minorEastAsia" w:eastAsiaTheme="minorEastAsia"/>
          <w:bCs/>
          <w:sz w:val="24"/>
        </w:rPr>
        <w:t>天内，须依据相关规范标准、合同约定、委托人管理制度等完成核对工作；对双方无异议部分，监理人须及时上报委托人批准。监理人对于施工承包人上报的新增工程及变更洽商中的综合单价进行审核，审核后须出具明确的书面审核意见，报委托人批准后执行。</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③核算成果文件应按委托人的要求进行编制，经委托人审核，发承包双方签字盖章后生效，作为《已标价的工程量清单》的最新版本。</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2）计量与支付：计量、支付、工程结算经监理人审核后报委托人批准。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14</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）质量</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详细地收集并记录每天的施工情况，包括设备材料的安装使用情况，及时分析监测单位的信息资料，提出合理的施工措施</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审查施工承包人实施本工程的专项施工方案及主要方法或工艺，在关键的施工工序上必须进行旁站监理；</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加强开展监理的预控工作，避免不合格品及质量事故的出现，对国家相关规范标准及委托人要求必须旁站监理的工程项目实施旁站监理，进行全过程控制，做好旁站记录；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对工程上使用的材料、施工安全和施工质量具有检验权。监理人对于不符合规范标准、设计要求或合同约定的材料、构配件、设备，无论承包人提供还是委托人提供，在征得委托人的同意后，有权勒令承包人停止使用。对于不符合规范和质量标准的工序、分部分项工程和不安全施工作业，有权勒令承包人停工整改或返工。在施工承包人出现质量问题或安全隐患，委托人要求暂停施工或发生其他紧急情况时，监理人有权</w:t>
      </w:r>
      <w:r>
        <w:rPr>
          <w:rFonts w:hint="eastAsia" w:asciiTheme="minorEastAsia" w:hAnsiTheme="minorEastAsia" w:eastAsiaTheme="minorEastAsia"/>
          <w:bCs/>
          <w:sz w:val="24"/>
        </w:rPr>
        <w:t>要求施工承包人</w:t>
      </w:r>
      <w:r>
        <w:rPr>
          <w:rFonts w:asciiTheme="minorEastAsia" w:hAnsiTheme="minorEastAsia" w:eastAsiaTheme="minorEastAsia"/>
          <w:bCs/>
          <w:sz w:val="24"/>
        </w:rPr>
        <w:t>暂停部分或全部工程施工，在施工承包人</w:t>
      </w:r>
      <w:r>
        <w:rPr>
          <w:rFonts w:hint="eastAsia" w:asciiTheme="minorEastAsia" w:hAnsiTheme="minorEastAsia" w:eastAsiaTheme="minorEastAsia"/>
          <w:bCs/>
          <w:sz w:val="24"/>
        </w:rPr>
        <w:t>按照监理人的要求完成</w:t>
      </w:r>
      <w:r>
        <w:rPr>
          <w:rFonts w:asciiTheme="minorEastAsia" w:hAnsiTheme="minorEastAsia" w:eastAsiaTheme="minorEastAsia"/>
          <w:bCs/>
          <w:sz w:val="24"/>
        </w:rPr>
        <w:t>了整改并提出复工申请后，承包人</w:t>
      </w:r>
      <w:r>
        <w:rPr>
          <w:rFonts w:hint="eastAsia" w:asciiTheme="minorEastAsia" w:hAnsiTheme="minorEastAsia" w:eastAsiaTheme="minorEastAsia"/>
          <w:bCs/>
          <w:sz w:val="24"/>
        </w:rPr>
        <w:t>接到</w:t>
      </w:r>
      <w:r>
        <w:rPr>
          <w:rFonts w:asciiTheme="minorEastAsia" w:hAnsiTheme="minorEastAsia" w:eastAsiaTheme="minorEastAsia"/>
          <w:bCs/>
          <w:sz w:val="24"/>
        </w:rPr>
        <w:t>监理人复工令后方能复工；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）安全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审查施工承包人建立和落实安全管理体系，落实施工承包人的安全生产岗位和职责。</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负责代表委托人监督、检查施工承包人安全生产各方面情况；根据委托人与施工承包人签订的合同及安全责任保证书内容，检查施工承包人落实情况；</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审批专项安全技术方案，建立安全监理台帐，建立总监办公室对施工安全生产的监督管理体系，明确各项管理制度和措施</w:t>
      </w:r>
      <w:r>
        <w:rPr>
          <w:rFonts w:asciiTheme="minorEastAsia" w:hAnsiTheme="minorEastAsia" w:eastAsiaTheme="minorEastAsia"/>
          <w:bCs/>
          <w:sz w:val="24"/>
        </w:rPr>
        <w:t>,</w:t>
      </w:r>
      <w:r>
        <w:rPr>
          <w:rFonts w:hint="eastAsia" w:asciiTheme="minorEastAsia" w:hAnsiTheme="minorEastAsia" w:eastAsiaTheme="minorEastAsia"/>
          <w:bCs/>
          <w:sz w:val="24"/>
        </w:rPr>
        <w:t>并加以实施；</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委派安全监理工程师对安全生产进行监督和管理；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按照建设工程监理规范、政府、委托人有关施工安全管理规定和工地安全管理的有关规定对施工过程进行安全检查；对施工承包人的各项安全操作规程、安全生产责任制等进行审定；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督促和检查施工单位制定安全生产责任制，建立完善的安全生产保证体系；</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对特殊工种作业人员有效操作证件和主要施工机械质量鉴定证书和安全鉴定证书以及施工机具的安全保护措施进行审核；</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审查施工承包人进场的施工机械，定期检定的设备及安全设施的检定情况和报审程序；</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按规定程序审核安全技术措施及专项施工方案，施工机械及安全设施，安全防护、文明施工措施项目等费用；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根据风险源类别等级编制监控管理方案，对风险源和监测单位实施监控管理，发现异常情况及时报告并采取应急措施，并依照安全生产的法规、规定、标准及监理合同的要求，分析不同的施工阶段和不同的施工工序可能发生的安全隐患，制定相应的安全技术措施，并对措施的实施情况进行监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及时排查、排除安全隐患，调查、处理工程安全事故。对工程实施过程中发生或发现的安全事故，应按安全事故的严重程度，依据《建设工程安全生产管理条例》，要求施工承包人提交事故调查报告，提出处理方案和安全生产补救措施，经安全监理人员审核同意后实施，或由总监理工程师签发《工程暂停令》，并及时向监理人、委托人及建设行政主管部门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有权对不安全行为、不文明施工行为发出《安全监理指令书》、《文明施工监理指令书》；每周组织一次专项安全检查，每月组织一次全面检查，每半年、一年总结一次安全管理情况，并以书面形式向委托人进行安全生产的专题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督促并指导施工承包人建立完整的安全台帐，并定期进行检查；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督促施工承包人落实安全交底制度。工程施工前，必须对工程参与人员进行安全生产的宣传教育，组织学习国务院、市、局、公司颁发的关于安全生产的</w:t>
      </w:r>
      <w:r>
        <w:rPr>
          <w:rFonts w:asciiTheme="minorEastAsia" w:hAnsiTheme="minorEastAsia" w:eastAsiaTheme="minorEastAsia"/>
          <w:bCs/>
          <w:sz w:val="24"/>
        </w:rPr>
        <w:t>“</w:t>
      </w:r>
      <w:r>
        <w:rPr>
          <w:rFonts w:hint="eastAsia" w:asciiTheme="minorEastAsia" w:hAnsiTheme="minorEastAsia" w:eastAsiaTheme="minorEastAsia"/>
          <w:bCs/>
          <w:sz w:val="24"/>
        </w:rPr>
        <w:t>规定</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w:t>
      </w:r>
      <w:r>
        <w:rPr>
          <w:rFonts w:hint="eastAsia" w:asciiTheme="minorEastAsia" w:hAnsiTheme="minorEastAsia" w:eastAsiaTheme="minorEastAsia"/>
          <w:bCs/>
          <w:sz w:val="24"/>
        </w:rPr>
        <w:t>条例</w:t>
      </w:r>
      <w:r>
        <w:rPr>
          <w:rFonts w:asciiTheme="minorEastAsia" w:hAnsiTheme="minorEastAsia" w:eastAsiaTheme="minorEastAsia"/>
          <w:bCs/>
          <w:sz w:val="24"/>
        </w:rPr>
        <w:t>”</w:t>
      </w:r>
      <w:r>
        <w:rPr>
          <w:rFonts w:hint="eastAsia" w:asciiTheme="minorEastAsia" w:hAnsiTheme="minorEastAsia" w:eastAsiaTheme="minorEastAsia"/>
          <w:bCs/>
          <w:sz w:val="24"/>
        </w:rPr>
        <w:t>和</w:t>
      </w:r>
      <w:r>
        <w:rPr>
          <w:rFonts w:asciiTheme="minorEastAsia" w:hAnsiTheme="minorEastAsia" w:eastAsiaTheme="minorEastAsia"/>
          <w:bCs/>
          <w:sz w:val="24"/>
        </w:rPr>
        <w:t>“</w:t>
      </w:r>
      <w:r>
        <w:rPr>
          <w:rFonts w:hint="eastAsia" w:asciiTheme="minorEastAsia" w:hAnsiTheme="minorEastAsia" w:eastAsiaTheme="minorEastAsia"/>
          <w:bCs/>
          <w:sz w:val="24"/>
        </w:rPr>
        <w:t>安全生产</w:t>
      </w:r>
      <w:r>
        <w:rPr>
          <w:rFonts w:asciiTheme="minorEastAsia" w:hAnsiTheme="minorEastAsia" w:eastAsiaTheme="minorEastAsia"/>
          <w:bCs/>
          <w:sz w:val="24"/>
        </w:rPr>
        <w:t>”</w:t>
      </w:r>
      <w:r>
        <w:rPr>
          <w:rFonts w:hint="eastAsia" w:asciiTheme="minorEastAsia" w:hAnsiTheme="minorEastAsia" w:eastAsiaTheme="minorEastAsia"/>
          <w:bCs/>
          <w:sz w:val="24"/>
        </w:rPr>
        <w:t>操作规程，并对安全交底进行书面记录。在施工过程中，应根据现场人员的变化、施工工法和施工工况的变化等实际情况，督促施工承包人对施工参与人员进行专项的安全交底，进行施工过程中的安全控制。</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及时发现并制止承包人的各种违章作业，督促其整改。对重大安全问题有权责令承包人停工整改。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主持安全生产工作例会，并编写会议纪要。每周组织安全生产施工例会，检查安全生产措施的落实情况，研究施工中存在的安全隐患，及时补充完善安全措施。</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督促并检查施工承包人按规定作好施工区域与非施工区域（含交叉作业）之间分隔、路拦、道路警示标志的设置等；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（15）补充约定：根据合同文件和委托人授权，对于施工承包人施工过程中出现的违约行为，要及时签发监理指示并抄报委托人；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17）补充约定：按国家相关规范标准及委托人要求的检验项目和检验频率、工序对工程质量进行实测实量验收。重点部位要求100%工序、100%检验项目和100%检验频率，即全频率验收，对隐蔽工程进行复验。试验项目和试验频率按委托人要求办理，验收已完合格的工程量；参与工程质量、安全事故的分析及处理，检查计量器具的合格使用期及帐物卡后，应认真填写工序质量验收单及有关记录；</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（18）补充约定：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1）变更索赔：变更索赔的程序及审核标准按委托人相关的管理办法执行；</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2）根据合同约定处理违约事件，协调争端，在争议解决过程中作证。</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19</w:t>
      </w:r>
      <w:r>
        <w:rPr>
          <w:rFonts w:hint="eastAsia" w:asciiTheme="minorEastAsia" w:hAnsiTheme="minorEastAsia" w:eastAsiaTheme="minorEastAsia"/>
          <w:bCs/>
          <w:sz w:val="24"/>
        </w:rPr>
        <w:t>）补充约定：按照有关要求负责检查施工承包人竣工资料的整理与编制，使其达到档案管理部门和委托人要求的竣工文件标准。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20</w:t>
      </w:r>
      <w:r>
        <w:rPr>
          <w:rFonts w:hint="eastAsia" w:asciiTheme="minorEastAsia" w:hAnsiTheme="minorEastAsia" w:eastAsiaTheme="minorEastAsia"/>
          <w:bCs/>
          <w:sz w:val="24"/>
        </w:rPr>
        <w:t>）补充约定：监理人向承包人出具经委托人签认的竣工验收证书及工程接收证书；缺陷责任期期满后，监理人向承包人出具经委托人签认的工程缺陷责任期终止证书；</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21</w:t>
      </w:r>
      <w:r>
        <w:rPr>
          <w:rFonts w:hint="eastAsia" w:asciiTheme="minorEastAsia" w:hAnsiTheme="minorEastAsia" w:eastAsiaTheme="minorEastAsia"/>
          <w:bCs/>
          <w:sz w:val="24"/>
        </w:rPr>
        <w:t>）补充约定：审核竣工结算资料；并报委托人和政府相关部门批准后，签发竣工结算证书；缺陷责任期期满后，监理人向承包人出具经委托人签认的最终结清证书；配合委托人完成本工程的审计工作。</w:t>
      </w:r>
    </w:p>
    <w:p>
      <w:pPr>
        <w:adjustRightInd w:val="0"/>
        <w:snapToGrid w:val="0"/>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本项新增如下内容：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24</w:t>
      </w:r>
      <w:r>
        <w:rPr>
          <w:rFonts w:hint="eastAsia" w:asciiTheme="minorEastAsia" w:hAnsiTheme="minorEastAsia" w:eastAsiaTheme="minorEastAsia"/>
          <w:bCs/>
          <w:sz w:val="24"/>
        </w:rPr>
        <w:t>）文明施工、环境保护：</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1）督促、检查承包人办理各类政府主管部门许可证及申报。包括但不限于：施工许可证；掘路执照；公路、城市道路施工许可证；临时占路许可证；渣土处置证；夜间施工许可证等；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）检查并审核施工承包人对公用管线的保护措施和应急措施的落实情况；</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rPr>
        <w:t>）检查并督促施工承包人按规定进行各类材料及土方的堆放，做到整齐有序，不侵占人行道、车行道、消防通道。</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4</w:t>
      </w:r>
      <w:r>
        <w:rPr>
          <w:rFonts w:hint="eastAsia" w:asciiTheme="minorEastAsia" w:hAnsiTheme="minorEastAsia" w:eastAsiaTheme="minorEastAsia"/>
          <w:bCs/>
          <w:sz w:val="24"/>
        </w:rPr>
        <w:t>）检查并督促承包人采取防止渣土洒落、泥浆废水流溢、扬尘污染治理的施工措施，减少施工对市容环境和绿化的污染。</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w:t>
      </w:r>
      <w:r>
        <w:rPr>
          <w:rFonts w:hint="eastAsia" w:asciiTheme="minorEastAsia" w:hAnsiTheme="minorEastAsia" w:eastAsiaTheme="minorEastAsia"/>
          <w:bCs/>
          <w:sz w:val="24"/>
        </w:rPr>
        <w:t>）检查污染源的污染物排放情况和污染治理设施运行情况，检查排污许可证和限期治理项目的执行情况，以及检查建设项目“三同时”（防治污染及其他公害的设施与主体工程同时设计、同时施工、同时投产）制度的执行情况。</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6</w:t>
      </w:r>
      <w:r>
        <w:rPr>
          <w:rFonts w:hint="eastAsia" w:asciiTheme="minorEastAsia" w:hAnsiTheme="minorEastAsia" w:eastAsiaTheme="minorEastAsia"/>
          <w:bCs/>
          <w:sz w:val="24"/>
        </w:rPr>
        <w:t>）协助调查、处理环境污染事故和环境污染纠纷；发现环境污染事故或接受举报后，应根据污染事故报告制度及时向环保行政主管部门报告，实地调查和记录环境污染或事故现场状况，并采取应急措施控制；</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7</w:t>
      </w:r>
      <w:r>
        <w:rPr>
          <w:rFonts w:hint="eastAsia" w:asciiTheme="minorEastAsia" w:hAnsiTheme="minorEastAsia" w:eastAsiaTheme="minorEastAsia"/>
          <w:bCs/>
          <w:sz w:val="24"/>
        </w:rPr>
        <w:t>）检查并督促承包人严格控制施工噪声。为监控施工现场的噪声，监理单位应配置噪声测试仪器。每月测试二次，并将测试数据列入监理月报中。</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8</w:t>
      </w:r>
      <w:r>
        <w:rPr>
          <w:rFonts w:hint="eastAsia" w:asciiTheme="minorEastAsia" w:hAnsiTheme="minorEastAsia" w:eastAsiaTheme="minorEastAsia"/>
          <w:bCs/>
          <w:sz w:val="24"/>
        </w:rPr>
        <w:t>）检查并督促承包人按规定建立各项管理制度，落实卫生包干责任制，搞好施工区域和生活区域的环境卫生。</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9</w:t>
      </w:r>
      <w:r>
        <w:rPr>
          <w:rFonts w:hint="eastAsia" w:asciiTheme="minorEastAsia" w:hAnsiTheme="minorEastAsia" w:eastAsiaTheme="minorEastAsia"/>
          <w:bCs/>
          <w:sz w:val="24"/>
        </w:rPr>
        <w:t>）工程竣工后，检查并督促承包人在规定期限内完成现场的清场工作。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10</w:t>
      </w:r>
      <w:r>
        <w:rPr>
          <w:rFonts w:hint="eastAsia" w:asciiTheme="minorEastAsia" w:hAnsiTheme="minorEastAsia" w:eastAsiaTheme="minorEastAsia"/>
          <w:bCs/>
          <w:sz w:val="24"/>
        </w:rPr>
        <w:t>）督促承包人落实防台、防汛、防涝等三防措施；消防措施；减少大气污染的措施等。</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11</w:t>
      </w:r>
      <w:r>
        <w:rPr>
          <w:rFonts w:hint="eastAsia" w:asciiTheme="minorEastAsia" w:hAnsiTheme="minorEastAsia" w:eastAsiaTheme="minorEastAsia"/>
          <w:bCs/>
          <w:sz w:val="24"/>
        </w:rPr>
        <w:t>）对检查中发现的问题，要以书面形式通知承包人进行整改，并将整改情况及时向委托人</w:t>
      </w:r>
      <w:r>
        <w:rPr>
          <w:rFonts w:asciiTheme="minorEastAsia" w:hAnsiTheme="minorEastAsia" w:eastAsiaTheme="minorEastAsia"/>
          <w:bCs/>
          <w:sz w:val="24"/>
        </w:rPr>
        <w:t>/</w:t>
      </w:r>
      <w:r>
        <w:rPr>
          <w:rFonts w:hint="eastAsia" w:asciiTheme="minorEastAsia" w:hAnsiTheme="minorEastAsia" w:eastAsiaTheme="minorEastAsia"/>
          <w:bCs/>
          <w:sz w:val="24"/>
        </w:rPr>
        <w:t>项目管理单位汇报。</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12</w:t>
      </w:r>
      <w:r>
        <w:rPr>
          <w:rFonts w:hint="eastAsia" w:asciiTheme="minorEastAsia" w:hAnsiTheme="minorEastAsia" w:eastAsiaTheme="minorEastAsia"/>
          <w:bCs/>
          <w:sz w:val="24"/>
        </w:rPr>
        <w:t>）加强文明施工的检查，每月组织文明施工例会，并编写会议纪要。</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13</w:t>
      </w:r>
      <w:r>
        <w:rPr>
          <w:rFonts w:hint="eastAsia" w:asciiTheme="minorEastAsia" w:hAnsiTheme="minorEastAsia" w:eastAsiaTheme="minorEastAsia"/>
          <w:bCs/>
          <w:sz w:val="24"/>
        </w:rPr>
        <w:t>）检查督促承包人严格执行委托人的有关文明施工、环境保护中的规定。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25</w:t>
      </w:r>
      <w:r>
        <w:rPr>
          <w:rFonts w:hint="eastAsia" w:asciiTheme="minorEastAsia" w:hAnsiTheme="minorEastAsia" w:eastAsiaTheme="minorEastAsia"/>
          <w:bCs/>
          <w:sz w:val="24"/>
        </w:rPr>
        <w:t>）监督施工承包人认真执行缺陷责任期的工作计划，检查和验收剩余工程，对已交工工程中出现的缺陷、病害调查其原因并确定相应责任；</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26</w:t>
      </w:r>
      <w:r>
        <w:rPr>
          <w:rFonts w:hint="eastAsia" w:asciiTheme="minorEastAsia" w:hAnsiTheme="minorEastAsia" w:eastAsiaTheme="minorEastAsia"/>
          <w:bCs/>
          <w:sz w:val="24"/>
        </w:rPr>
        <w:t>）配合委托人完成对监理工作的履约检查工作；接受委托人对监理人违约行为的惩罚措施。监理人应当按照投标函承诺及委托人的要求，选派监理人员，及时撤换不称职的监理人员。</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27</w:t>
      </w:r>
      <w:r>
        <w:rPr>
          <w:rFonts w:hint="eastAsia" w:asciiTheme="minorEastAsia" w:hAnsiTheme="minorEastAsia" w:eastAsiaTheme="minorEastAsia"/>
          <w:bCs/>
          <w:sz w:val="24"/>
        </w:rPr>
        <w:t>）监理人应配合委托人委托的第三方单位（如第三方监测、质量检测、控制测量等）完成相关的业务工作。</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28</w:t>
      </w:r>
      <w:r>
        <w:rPr>
          <w:rFonts w:hint="eastAsia" w:asciiTheme="minorEastAsia" w:hAnsiTheme="minorEastAsia" w:eastAsiaTheme="minorEastAsia"/>
          <w:bCs/>
          <w:sz w:val="24"/>
        </w:rPr>
        <w:t>）配合完成暂估价项目的采购。</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29</w:t>
      </w:r>
      <w:r>
        <w:rPr>
          <w:rFonts w:hint="eastAsia" w:asciiTheme="minorEastAsia" w:hAnsiTheme="minorEastAsia" w:eastAsiaTheme="minorEastAsia"/>
          <w:bCs/>
          <w:sz w:val="24"/>
        </w:rPr>
        <w:t>）甲供设备的安装、调试、系统试运行及其他需要施工承包人、系统集成商完成的工作均在监理人监理范围之内。</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0）监理人应对工程设计中的技术问题，按照安全和优化的原则，在征得委托人的同意后，可向设计人提出建议；如发现设计工程质量不符合国家规定或合同约定标准时，应当及时报告委托人要求设计人予以更正。</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1）监理人应按照监理规范规程审批承包人提交的施工组织设计和技术方案；按照保质量、保工期和降低成本的原则，参与或组织会审施工图设计，并向委托人提出书面报告。</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2）监理人负责组织、主持工程建设有关协作单位的接口协调工作（包括施工接口、设计接口、对内接口、对外接口等），重要协调事项应当事先向委托人报告。施工接口包括但不限于主体工程的接口、土建施工、装修施工与设备安装接口等；设计接口包括但不限于各设计专业接口、各系统接口等。</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3）监理人对于不符合规范标准、设计要求或合同约定的材料、构配件、设备，在征得委托人的同意后，有权勒令承包人停止使用；对于不符合规范和质量标准的工序、分部分项工程和不安全施工作业，在征得委托人的同意后，有权勒令承包人停工整改或返工，承包人得到监理人复工令后方能复工。</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4）监理人应对工程施工进度进行检查、监督，并应及时报告委托人；同时监理人应对监理范围内的设备安装调试及系统间联调进行协调、监督并配合综合联调的工作，根据调试情况及出现的问题按发包人要求按时提交汇报材料。</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5）监理人应当依据承包人的任务划分，在双方约定的工程价格范围内，对工程款进行计量、支付与签认，以及工程结算的复核确认或否决；未经总监理工程师签字确认，委托人不予支付相应款项。</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6）监理人有权对不具备开工条件的分部工程拒绝发布开工令，对不安全行为、不文明施工行为发出《安全监理指令书》、《文明施工监理指令书》。</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7）如主要施工技术人员的从业资格、持证上岗等情况不符合相关法规、合同约定或委托人的管理制度等，监理人应当勒令整改，并视情况对承包人进行处罚。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8）监理人在收到承包人依据正式施工图设计文件进行工程数量核算及组价书面文件</w:t>
      </w:r>
      <w:r>
        <w:rPr>
          <w:rFonts w:asciiTheme="minorEastAsia" w:hAnsiTheme="minorEastAsia" w:eastAsiaTheme="minorEastAsia"/>
          <w:bCs/>
          <w:sz w:val="24"/>
        </w:rPr>
        <w:t>28</w:t>
      </w:r>
      <w:r>
        <w:rPr>
          <w:rFonts w:hint="eastAsia" w:asciiTheme="minorEastAsia" w:hAnsiTheme="minorEastAsia" w:eastAsiaTheme="minorEastAsia"/>
          <w:bCs/>
          <w:sz w:val="24"/>
        </w:rPr>
        <w:t>天内，须依据合同约定、相关规范标准、委托人管理制度等进行审核；对双方无异议部分，监理人须及时上报委托人批准，对于有异议部分，双方协商解决，如协商无法解决，则按第</w:t>
      </w:r>
      <w:r>
        <w:rPr>
          <w:rFonts w:asciiTheme="minorEastAsia" w:hAnsiTheme="minorEastAsia" w:eastAsiaTheme="minorEastAsia"/>
          <w:bCs/>
          <w:sz w:val="24"/>
        </w:rPr>
        <w:t>7</w:t>
      </w:r>
      <w:r>
        <w:rPr>
          <w:rFonts w:hint="eastAsia" w:asciiTheme="minorEastAsia" w:hAnsiTheme="minorEastAsia" w:eastAsiaTheme="minorEastAsia"/>
          <w:bCs/>
          <w:sz w:val="24"/>
        </w:rPr>
        <w:t>条相关规定处理。</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（39）按委托人要求参与政府审计工作。</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（40）按照委托人信息化管理的要求填报相关资料。</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1）委托人委托或应由监理人完成的其它工作。</w:t>
      </w:r>
    </w:p>
    <w:p>
      <w:pPr>
        <w:keepNext/>
        <w:keepLines/>
        <w:spacing w:line="288" w:lineRule="auto"/>
        <w:outlineLvl w:val="2"/>
        <w:rPr>
          <w:rFonts w:asciiTheme="minorEastAsia" w:hAnsiTheme="minorEastAsia" w:eastAsiaTheme="minorEastAsia"/>
          <w:b/>
          <w:bCs/>
          <w:sz w:val="24"/>
        </w:rPr>
      </w:pPr>
      <w:bookmarkStart w:id="1168" w:name="_Toc19117"/>
      <w:bookmarkStart w:id="1169" w:name="_Toc443898852"/>
      <w:bookmarkStart w:id="1170" w:name="_Toc20310"/>
      <w:bookmarkStart w:id="1171" w:name="_Toc496098766"/>
      <w:bookmarkStart w:id="1172" w:name="_Toc15792"/>
      <w:bookmarkStart w:id="1173" w:name="_Toc499204986"/>
      <w:r>
        <w:rPr>
          <w:rFonts w:asciiTheme="minorEastAsia" w:hAnsiTheme="minorEastAsia" w:eastAsiaTheme="minorEastAsia"/>
          <w:b/>
          <w:sz w:val="24"/>
        </w:rPr>
        <w:t xml:space="preserve">2.2 </w:t>
      </w:r>
      <w:r>
        <w:rPr>
          <w:rFonts w:hint="eastAsia" w:asciiTheme="minorEastAsia" w:hAnsiTheme="minorEastAsia" w:eastAsiaTheme="minorEastAsia"/>
          <w:b/>
          <w:sz w:val="24"/>
        </w:rPr>
        <w:t>监理与相关服务依据</w:t>
      </w:r>
      <w:bookmarkEnd w:id="1168"/>
      <w:bookmarkEnd w:id="1169"/>
      <w:bookmarkEnd w:id="1170"/>
      <w:bookmarkEnd w:id="1171"/>
      <w:bookmarkEnd w:id="1172"/>
      <w:bookmarkEnd w:id="1173"/>
    </w:p>
    <w:p>
      <w:pPr>
        <w:adjustRightInd w:val="0"/>
        <w:snapToGrid w:val="0"/>
        <w:spacing w:line="288"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2.2.1</w:t>
      </w:r>
      <w:r>
        <w:rPr>
          <w:rFonts w:hint="eastAsia" w:asciiTheme="minorEastAsia" w:hAnsiTheme="minorEastAsia" w:eastAsiaTheme="minorEastAsia"/>
          <w:b/>
          <w:bCs/>
          <w:sz w:val="24"/>
        </w:rPr>
        <w:t>项增加如下内容：</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（5）经审批同意的施工单位编制的施工组织设计</w:t>
      </w:r>
      <w:r>
        <w:rPr>
          <w:rFonts w:hint="eastAsia" w:asciiTheme="minorEastAsia" w:hAnsiTheme="minorEastAsia" w:eastAsiaTheme="minorEastAsia"/>
          <w:bCs/>
          <w:sz w:val="24"/>
        </w:rPr>
        <w:t>；</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（6）经委托人认可的监理大纲、监理规划及监理实施细则；</w:t>
      </w:r>
    </w:p>
    <w:p>
      <w:pPr>
        <w:adjustRightInd w:val="0"/>
        <w:snapToGrid w:val="0"/>
        <w:spacing w:line="288" w:lineRule="auto"/>
        <w:ind w:firstLine="720" w:firstLineChars="300"/>
        <w:rPr>
          <w:rFonts w:asciiTheme="minorEastAsia" w:hAnsiTheme="minorEastAsia" w:eastAsiaTheme="minorEastAsia"/>
          <w:bCs/>
          <w:sz w:val="24"/>
        </w:rPr>
      </w:pPr>
      <w:r>
        <w:rPr>
          <w:rFonts w:asciiTheme="minorEastAsia" w:hAnsiTheme="minorEastAsia" w:eastAsiaTheme="minorEastAsia"/>
          <w:bCs/>
          <w:sz w:val="24"/>
        </w:rPr>
        <w:t>（7）委托人的相关管理办法、制度、规定。</w:t>
      </w:r>
    </w:p>
    <w:p>
      <w:pPr>
        <w:adjustRightInd w:val="0"/>
        <w:snapToGrid w:val="0"/>
        <w:spacing w:line="288" w:lineRule="auto"/>
        <w:ind w:firstLine="420"/>
        <w:rPr>
          <w:rFonts w:asciiTheme="minorEastAsia" w:hAnsiTheme="minorEastAsia" w:eastAsiaTheme="minorEastAsia"/>
          <w:bCs/>
          <w:dstrike/>
          <w:sz w:val="24"/>
        </w:rPr>
      </w:pPr>
      <w:r>
        <w:rPr>
          <w:rFonts w:asciiTheme="minorEastAsia" w:hAnsiTheme="minorEastAsia" w:eastAsiaTheme="minorEastAsia"/>
          <w:bCs/>
          <w:sz w:val="24"/>
        </w:rPr>
        <w:t>2.2.2 相关服务依据包括：</w:t>
      </w:r>
      <w:r>
        <w:rPr>
          <w:rFonts w:hint="eastAsia" w:asciiTheme="minorEastAsia" w:hAnsiTheme="minorEastAsia" w:eastAsiaTheme="minorEastAsia"/>
          <w:bCs/>
          <w:sz w:val="24"/>
          <w:u w:val="single"/>
        </w:rPr>
        <w:t>/</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174" w:name="_Toc496098767"/>
      <w:bookmarkStart w:id="1175" w:name="_Toc31477"/>
      <w:bookmarkStart w:id="1176" w:name="_Toc443898853"/>
      <w:bookmarkStart w:id="1177" w:name="_Toc499204987"/>
      <w:bookmarkStart w:id="1178" w:name="_Toc5462"/>
      <w:bookmarkStart w:id="1179" w:name="_Toc3612"/>
      <w:r>
        <w:rPr>
          <w:rFonts w:asciiTheme="minorEastAsia" w:hAnsiTheme="minorEastAsia" w:eastAsiaTheme="minorEastAsia"/>
          <w:b/>
          <w:sz w:val="24"/>
        </w:rPr>
        <w:t xml:space="preserve">2.3 </w:t>
      </w:r>
      <w:r>
        <w:rPr>
          <w:rFonts w:hint="eastAsia" w:asciiTheme="minorEastAsia" w:hAnsiTheme="minorEastAsia" w:eastAsiaTheme="minorEastAsia"/>
          <w:b/>
          <w:sz w:val="24"/>
        </w:rPr>
        <w:t>项目监理机构和人员</w:t>
      </w:r>
      <w:bookmarkEnd w:id="1174"/>
      <w:bookmarkEnd w:id="1175"/>
      <w:bookmarkEnd w:id="1176"/>
      <w:bookmarkEnd w:id="1177"/>
      <w:bookmarkEnd w:id="1178"/>
      <w:bookmarkEnd w:id="1179"/>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2.3.1补充约定：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在接到委托人发出的指令后，应立即按照合同的要求组织人员、建立机构，并按照委托人的要求进驻现场开展工作；除委托人提供的监理工作条件外，监理人应当根据委托人要求和工作需要，按照投标文件中的承诺，自行配置满足监理需求的工作条件，并且不得低于招标文件要求，其相关费用已全部包含在签约正常监理服务收费中</w:t>
      </w:r>
      <w:r>
        <w:rPr>
          <w:rFonts w:hint="eastAsia" w:asciiTheme="minorEastAsia" w:hAnsiTheme="minorEastAsia" w:eastAsiaTheme="minorEastAsia"/>
          <w:bCs/>
          <w:sz w:val="24"/>
        </w:rPr>
        <w:t>；监理人的设备仪器应在合同履行期间保持状况完好，未经委托人同意，不得随意更改或撤换。</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监理人在服务现场设置总监办，总监办应按合同约定及现行的法律法规、规范标准等开展工作，总监办自行购置其所需要的生活、办公、交通工具、物品，总监办应当独立于施工承包人的办公生活区域，设立办公和生活所需的场所、设施、设备，并自行承担相应的费用。</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监理人应委派监理工程师，作为监理人的合法代表在服务现场开展工作，并与委托人建立工作联系；监理人应当根据工程情况，配备相应专业的安全人员，实施安全监理工作；辅助工作人员（包括司机、文秘、行政后勤、炊事人员等）由监理人自行聘用，费用包含在正常监理服务收费中；监理人员（包括监理人聘用的辅助工作人员）应严格遵守委托人制定的各项规章制度。</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2.3.2</w:t>
      </w:r>
      <w:r>
        <w:rPr>
          <w:rFonts w:hint="eastAsia"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在合同</w:t>
      </w:r>
      <w:r>
        <w:rPr>
          <w:rFonts w:hint="eastAsia" w:asciiTheme="minorEastAsia" w:hAnsiTheme="minorEastAsia" w:eastAsiaTheme="minorEastAsia"/>
          <w:bCs/>
          <w:sz w:val="24"/>
        </w:rPr>
        <w:t>履行</w:t>
      </w:r>
      <w:r>
        <w:rPr>
          <w:rFonts w:asciiTheme="minorEastAsia" w:hAnsiTheme="minorEastAsia" w:eastAsiaTheme="minorEastAsia"/>
          <w:bCs/>
          <w:sz w:val="24"/>
        </w:rPr>
        <w:t>期内，监理人应</w:t>
      </w:r>
      <w:r>
        <w:rPr>
          <w:rFonts w:hint="eastAsia" w:asciiTheme="minorEastAsia" w:hAnsiTheme="minorEastAsia" w:eastAsiaTheme="minorEastAsia"/>
          <w:bCs/>
          <w:sz w:val="24"/>
        </w:rPr>
        <w:t>按投标文件及合同约定</w:t>
      </w:r>
      <w:r>
        <w:rPr>
          <w:rFonts w:asciiTheme="minorEastAsia" w:hAnsiTheme="minorEastAsia" w:eastAsiaTheme="minorEastAsia"/>
          <w:bCs/>
          <w:sz w:val="24"/>
        </w:rPr>
        <w:t>任命一名合格称职的总监理工程师进驻现场。总监理工程师应受理与监理人有关的所有通知、指示、同意、批准、证书、决定及其他通讯联络。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监理人对总监理工程师的任命应取得委托人的书面批准，并在合同生效后14天内将总监理工程师的姓名及其他详细资料以书面形式通知承包人。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没有委托人的事先</w:t>
      </w:r>
      <w:r>
        <w:rPr>
          <w:rFonts w:hint="eastAsia" w:asciiTheme="minorEastAsia" w:hAnsiTheme="minorEastAsia" w:eastAsiaTheme="minorEastAsia"/>
          <w:bCs/>
          <w:sz w:val="24"/>
        </w:rPr>
        <w:t>书面</w:t>
      </w:r>
      <w:r>
        <w:rPr>
          <w:rFonts w:asciiTheme="minorEastAsia" w:hAnsiTheme="minorEastAsia" w:eastAsiaTheme="minorEastAsia"/>
          <w:bCs/>
          <w:sz w:val="24"/>
        </w:rPr>
        <w:t>同意，监理人不得更换</w:t>
      </w:r>
      <w:r>
        <w:rPr>
          <w:rFonts w:hint="eastAsia" w:asciiTheme="minorEastAsia" w:hAnsiTheme="minorEastAsia" w:eastAsiaTheme="minorEastAsia"/>
          <w:bCs/>
          <w:sz w:val="24"/>
        </w:rPr>
        <w:t>项目管理机构人员。</w:t>
      </w:r>
      <w:r>
        <w:rPr>
          <w:rFonts w:hint="eastAsia" w:asciiTheme="minorEastAsia" w:hAnsiTheme="minorEastAsia" w:eastAsiaTheme="minorEastAsia"/>
          <w:bCs/>
          <w:kern w:val="0"/>
          <w:sz w:val="24"/>
        </w:rPr>
        <w:t>总监理工程师的变更应符合河南省、许昌市及委托人相关规定。</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经</w:t>
      </w:r>
      <w:r>
        <w:rPr>
          <w:rFonts w:asciiTheme="minorEastAsia" w:hAnsiTheme="minorEastAsia" w:eastAsiaTheme="minorEastAsia"/>
          <w:bCs/>
          <w:sz w:val="24"/>
        </w:rPr>
        <w:t>委托人</w:t>
      </w:r>
      <w:r>
        <w:rPr>
          <w:rFonts w:hint="eastAsia" w:asciiTheme="minorEastAsia" w:hAnsiTheme="minorEastAsia" w:eastAsiaTheme="minorEastAsia"/>
          <w:bCs/>
          <w:sz w:val="24"/>
        </w:rPr>
        <w:t>书面</w:t>
      </w:r>
      <w:r>
        <w:rPr>
          <w:rFonts w:asciiTheme="minorEastAsia" w:hAnsiTheme="minorEastAsia" w:eastAsiaTheme="minorEastAsia"/>
          <w:bCs/>
          <w:sz w:val="24"/>
        </w:rPr>
        <w:t>同意</w:t>
      </w:r>
      <w:r>
        <w:rPr>
          <w:rFonts w:hint="eastAsia" w:asciiTheme="minorEastAsia" w:hAnsiTheme="minorEastAsia" w:eastAsiaTheme="minorEastAsia"/>
          <w:bCs/>
          <w:sz w:val="24"/>
        </w:rPr>
        <w:t>更换总监理工程师的</w:t>
      </w:r>
      <w:r>
        <w:rPr>
          <w:rFonts w:asciiTheme="minorEastAsia" w:hAnsiTheme="minorEastAsia" w:eastAsiaTheme="minorEastAsia"/>
          <w:bCs/>
          <w:sz w:val="24"/>
        </w:rPr>
        <w:t>，监理人应书面通知委托人和承包人新任总监理工程师的姓名及其它详细情况，同时明确前任到期时间及新任开始时间；在</w:t>
      </w:r>
      <w:r>
        <w:rPr>
          <w:rFonts w:hint="eastAsia" w:asciiTheme="minorEastAsia" w:hAnsiTheme="minorEastAsia" w:eastAsiaTheme="minorEastAsia"/>
          <w:bCs/>
          <w:sz w:val="24"/>
        </w:rPr>
        <w:t>委托人和承包人</w:t>
      </w:r>
      <w:r>
        <w:rPr>
          <w:rFonts w:asciiTheme="minorEastAsia" w:hAnsiTheme="minorEastAsia" w:eastAsiaTheme="minorEastAsia"/>
          <w:bCs/>
          <w:sz w:val="24"/>
        </w:rPr>
        <w:t>收到相应的通知之前，任何对总监理工程师的任命或更换均不产生合同效力。</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于本合同而言，经监理人任命的并且发承包双方已经收到相应通知的总监理工程师，应是监理人唯一的合法代理人。如果总监理工程师将他的任何职责和权利委托给他的代表，此类总监理工程师代表应视为监理人的合法代理人。</w:t>
      </w:r>
    </w:p>
    <w:p>
      <w:pPr>
        <w:adjustRightInd w:val="0"/>
        <w:snapToGrid w:val="0"/>
        <w:spacing w:line="288" w:lineRule="auto"/>
        <w:ind w:firstLine="484" w:firstLineChars="202"/>
        <w:rPr>
          <w:rFonts w:asciiTheme="minorEastAsia" w:hAnsiTheme="minorEastAsia" w:eastAsiaTheme="minorEastAsia"/>
          <w:bCs/>
          <w:sz w:val="24"/>
        </w:rPr>
      </w:pPr>
      <w:r>
        <w:rPr>
          <w:rFonts w:asciiTheme="minorEastAsia" w:hAnsiTheme="minorEastAsia" w:eastAsiaTheme="minorEastAsia"/>
          <w:bCs/>
          <w:sz w:val="24"/>
        </w:rPr>
        <w:t>总监理工程师和总监代表必须常驻工地，每个月至少22天。总监理工程师、总监代表若需离开现场应提前向委托人提交书面申请，并指定临时的现场负责人，经委托人书面同意且履行请假手续后才能离开。离开期间，总监理工程师、总监代表指定的现场负责人应能完全履行其职责；总监理工程师和总监代表不得同时离开工地。</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总监理工程师不得将下列工作委托其他监理人员：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1）主持编写项目监理规划、审批项目监理实施细则；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2）签发工程开工/复工报审表、工程暂停令、进度款付款证书、竣工付款证书、最终结清证书、竣工验收证书、工程接收证书、缺陷责任期终止证书； </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3）审核签认竣工结算文件；</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4）调解委托人与承包人的合同争议、处理索赔、审批工程延期；</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5）根据工程项目的进展情况进行监理人员的调配，调换不称职的监理人员。</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2.3.3</w:t>
      </w:r>
      <w:r>
        <w:rPr>
          <w:rFonts w:hint="eastAsia" w:asciiTheme="minorEastAsia" w:hAnsiTheme="minorEastAsia" w:eastAsiaTheme="minorEastAsia"/>
          <w:bCs/>
          <w:sz w:val="24"/>
        </w:rPr>
        <w:t>修改为：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现场监理人员可不必在整个监理服务阶段满员配备，但应专业齐全,符合每阶段工作需要。全部监理人员到岗与撤场都应事先征得委托人同意。</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原则上不得更换其总监理工程师，但如果根据需要必须更换时，应事先征得委托人的批准，更换后应书面通知委托人和施工承包人，同时明确前任到期时间及新任开始时间；在他们收到相应通知之前，任何对总监理工程师的任命或更换均不产生合同效力。</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经委托人确认的投入监理人员在工程进行的过程中，原则上不允许更换。监理人更换项目监理机构其他监理人员应事先得到委托人的同意。总监理工程师、总监理工程师代表、安全总监及工程师及现场监理工程师必须常驻工地现场，离开工地时，应获得委托人的批准。</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sz w:val="24"/>
        </w:rPr>
        <w:t xml:space="preserve">2.3.4 </w:t>
      </w:r>
      <w:r>
        <w:rPr>
          <w:rFonts w:asciiTheme="minorEastAsia" w:hAnsiTheme="minorEastAsia" w:eastAsiaTheme="minorEastAsia"/>
          <w:bCs/>
          <w:kern w:val="0"/>
          <w:sz w:val="24"/>
        </w:rPr>
        <w:t>更换监理人员的其他情形：</w:t>
      </w:r>
      <w:r>
        <w:rPr>
          <w:rFonts w:asciiTheme="minorEastAsia" w:hAnsiTheme="minorEastAsia" w:eastAsiaTheme="minorEastAsia"/>
          <w:bCs/>
          <w:kern w:val="0"/>
          <w:sz w:val="24"/>
          <w:u w:val="single"/>
        </w:rPr>
        <w:t xml:space="preserve">        /   </w:t>
      </w:r>
      <w:r>
        <w:rPr>
          <w:rFonts w:asciiTheme="minorEastAsia" w:hAnsiTheme="minorEastAsia" w:eastAsiaTheme="minorEastAsia"/>
          <w:bCs/>
          <w:kern w:val="0"/>
          <w:sz w:val="24"/>
        </w:rPr>
        <w:t>。</w:t>
      </w:r>
    </w:p>
    <w:p>
      <w:pPr>
        <w:keepNext/>
        <w:keepLines/>
        <w:spacing w:line="288" w:lineRule="auto"/>
        <w:outlineLvl w:val="2"/>
        <w:rPr>
          <w:rFonts w:asciiTheme="minorEastAsia" w:hAnsiTheme="minorEastAsia" w:eastAsiaTheme="minorEastAsia"/>
          <w:b/>
          <w:sz w:val="24"/>
        </w:rPr>
      </w:pPr>
      <w:bookmarkStart w:id="1180" w:name="_Toc9453"/>
      <w:bookmarkStart w:id="1181" w:name="_Toc26726"/>
      <w:bookmarkStart w:id="1182" w:name="_Toc499204988"/>
      <w:bookmarkStart w:id="1183" w:name="_Toc3436"/>
      <w:bookmarkStart w:id="1184" w:name="_Toc443898854"/>
      <w:bookmarkStart w:id="1185" w:name="_Toc496098768"/>
      <w:r>
        <w:rPr>
          <w:rFonts w:asciiTheme="minorEastAsia" w:hAnsiTheme="minorEastAsia" w:eastAsiaTheme="minorEastAsia"/>
          <w:b/>
          <w:sz w:val="24"/>
        </w:rPr>
        <w:t xml:space="preserve">2.4 </w:t>
      </w:r>
      <w:r>
        <w:rPr>
          <w:rFonts w:hint="eastAsia" w:asciiTheme="minorEastAsia" w:hAnsiTheme="minorEastAsia" w:eastAsiaTheme="minorEastAsia"/>
          <w:b/>
          <w:sz w:val="24"/>
        </w:rPr>
        <w:t>履行职责</w:t>
      </w:r>
      <w:bookmarkEnd w:id="1180"/>
      <w:bookmarkEnd w:id="1181"/>
      <w:bookmarkEnd w:id="1182"/>
      <w:bookmarkEnd w:id="1183"/>
      <w:bookmarkEnd w:id="1184"/>
      <w:bookmarkEnd w:id="1185"/>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 xml:space="preserve">2.4.3 </w:t>
      </w:r>
      <w:r>
        <w:rPr>
          <w:rFonts w:hint="eastAsia" w:asciiTheme="minorEastAsia" w:hAnsiTheme="minorEastAsia" w:eastAsiaTheme="minorEastAsia"/>
          <w:bCs/>
          <w:sz w:val="24"/>
        </w:rPr>
        <w:t>对监理人的授权范围：</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监理人在行使以下权力前须经委托人事先批准：</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1）发布开工令、暂时停工或复工令（如在紧急情况下未能事先报告时，则应在24小时内向委托人作出书面报告。）；</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2）决定工期延长；</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3）同意将工程的非关键、非主体结构部分分包给具有相应资质的分包人</w:t>
      </w:r>
      <w:r>
        <w:rPr>
          <w:rFonts w:hint="eastAsia" w:asciiTheme="minorEastAsia" w:hAnsiTheme="minorEastAsia" w:eastAsiaTheme="minorEastAsia"/>
          <w:bCs/>
          <w:sz w:val="24"/>
        </w:rPr>
        <w:t>；</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4）审查批准技术规范</w:t>
      </w:r>
      <w:r>
        <w:rPr>
          <w:rFonts w:hint="eastAsia" w:asciiTheme="minorEastAsia" w:hAnsiTheme="minorEastAsia" w:eastAsiaTheme="minorEastAsia"/>
          <w:bCs/>
          <w:sz w:val="24"/>
        </w:rPr>
        <w:t>（</w:t>
      </w:r>
      <w:r>
        <w:rPr>
          <w:rFonts w:asciiTheme="minorEastAsia" w:hAnsiTheme="minorEastAsia" w:eastAsiaTheme="minorEastAsia"/>
          <w:bCs/>
          <w:sz w:val="24"/>
        </w:rPr>
        <w:t>规格</w:t>
      </w:r>
      <w:r>
        <w:rPr>
          <w:rFonts w:hint="eastAsia" w:asciiTheme="minorEastAsia" w:hAnsiTheme="minorEastAsia" w:eastAsiaTheme="minorEastAsia"/>
          <w:bCs/>
          <w:sz w:val="24"/>
        </w:rPr>
        <w:t>）</w:t>
      </w:r>
      <w:r>
        <w:rPr>
          <w:rFonts w:asciiTheme="minorEastAsia" w:hAnsiTheme="minorEastAsia" w:eastAsiaTheme="minorEastAsia"/>
          <w:bCs/>
          <w:sz w:val="24"/>
        </w:rPr>
        <w:t>或设计的变更，并发出实施变更的指示；</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5）确定工期、费用索赔及有关暂列金额的使用；</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6）涉及责任事件的签认需要办理现场签证，以及对材料、设备单价需要进行市场询价、定价的。</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7）对不符合规范标准、设计要求或合同约定的材料、构配件、设备勒令承包人停止使用；对不符合规范和质量标准的工序、分部分项工程和不安全施工作业，勒令承包人停工整改或返工。</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8）对核算后已标价工程量清单的批准</w:t>
      </w:r>
      <w:r>
        <w:rPr>
          <w:rFonts w:hint="eastAsia" w:asciiTheme="minorEastAsia" w:hAnsiTheme="minorEastAsia" w:eastAsiaTheme="minorEastAsia"/>
          <w:bCs/>
          <w:sz w:val="24"/>
        </w:rPr>
        <w:t>；</w:t>
      </w:r>
      <w:r>
        <w:rPr>
          <w:rFonts w:asciiTheme="minorEastAsia" w:hAnsiTheme="minorEastAsia" w:eastAsiaTheme="minorEastAsia"/>
          <w:bCs/>
          <w:sz w:val="24"/>
        </w:rPr>
        <w:t>在工程施工合同约定的工程价格范围内</w:t>
      </w:r>
      <w:r>
        <w:rPr>
          <w:rFonts w:hint="eastAsia" w:asciiTheme="minorEastAsia" w:hAnsiTheme="minorEastAsia" w:eastAsiaTheme="minorEastAsia"/>
          <w:bCs/>
          <w:sz w:val="24"/>
        </w:rPr>
        <w:t>，对</w:t>
      </w:r>
      <w:r>
        <w:rPr>
          <w:rFonts w:asciiTheme="minorEastAsia" w:hAnsiTheme="minorEastAsia" w:eastAsiaTheme="minorEastAsia"/>
          <w:bCs/>
          <w:sz w:val="24"/>
        </w:rPr>
        <w:t>工程款支付的审核及签认。未经总监理工程师签字确认，委托人不支付工程款。</w:t>
      </w:r>
    </w:p>
    <w:p>
      <w:pPr>
        <w:adjustRightInd w:val="0"/>
        <w:snapToGrid w:val="0"/>
        <w:spacing w:line="288" w:lineRule="auto"/>
        <w:ind w:firstLine="453" w:firstLineChars="189"/>
        <w:rPr>
          <w:rFonts w:asciiTheme="minorEastAsia" w:hAnsiTheme="minorEastAsia" w:eastAsiaTheme="minorEastAsia"/>
          <w:bCs/>
          <w:sz w:val="24"/>
        </w:rPr>
      </w:pPr>
      <w:r>
        <w:rPr>
          <w:rFonts w:asciiTheme="minorEastAsia" w:hAnsiTheme="minorEastAsia" w:eastAsiaTheme="minorEastAsia"/>
          <w:bCs/>
          <w:sz w:val="24"/>
        </w:rPr>
        <w:t>9）监理人要求承包人撤换由其派遣或雇佣的不能胜任、或玩忽职守、工作不负责任的人员，上述撤换的人员未经监理人同意不得重新回到本合同工程工作。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10</w:t>
      </w:r>
      <w:r>
        <w:rPr>
          <w:rFonts w:hint="eastAsia" w:asciiTheme="minorEastAsia" w:hAnsiTheme="minorEastAsia" w:eastAsiaTheme="minorEastAsia"/>
          <w:bCs/>
          <w:sz w:val="24"/>
        </w:rPr>
        <w:t>）</w:t>
      </w:r>
      <w:r>
        <w:rPr>
          <w:rFonts w:asciiTheme="minorEastAsia" w:hAnsiTheme="minorEastAsia" w:eastAsiaTheme="minorEastAsia"/>
          <w:bCs/>
          <w:sz w:val="24"/>
        </w:rPr>
        <w:t>监理人依据国家、省市颁布的法律、法规、规章、强制性标准、政策性文件、施工承包合同、本监理合同、委托人相关管理制度、办法对施工承包人在履约过程中的违约行为提出惩罚措施，经委托人批准后在当期计量支付款中扣除。</w:t>
      </w:r>
    </w:p>
    <w:p>
      <w:pPr>
        <w:adjustRightInd w:val="0"/>
        <w:snapToGrid w:val="0"/>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尽管有以上规定的任务和权力要获得委托人的批准，但如果发生非常紧急情况，监理人认为将造成人员伤亡、或危及工程或邻近的财产或从委托人的权益考虑需立即采取行动的，监理人有权发布处理这种危急状况所必须的指令，承包人应按监理人的指令竭尽全力去处置或减轻危急状况。尽管监理人指令未事先征得委托人的批准，但承包人应立即执行，监理人应尽快向委托人补办确认手续，并根据实际情况确定所增加的费用，在报委托人批准之后通知承包人。</w:t>
      </w:r>
    </w:p>
    <w:p>
      <w:pPr>
        <w:adjustRightInd w:val="0"/>
        <w:snapToGrid w:val="0"/>
        <w:spacing w:line="288" w:lineRule="auto"/>
        <w:ind w:firstLine="360" w:firstLineChars="150"/>
        <w:rPr>
          <w:rFonts w:asciiTheme="minorEastAsia" w:hAnsiTheme="minorEastAsia" w:eastAsiaTheme="minorEastAsia"/>
          <w:bCs/>
          <w:sz w:val="24"/>
        </w:rPr>
      </w:pPr>
      <w:r>
        <w:rPr>
          <w:rFonts w:asciiTheme="minorEastAsia" w:hAnsiTheme="minorEastAsia" w:eastAsiaTheme="minorEastAsia"/>
          <w:bCs/>
          <w:kern w:val="0"/>
          <w:sz w:val="24"/>
        </w:rPr>
        <w:t>2.4.4 监理人有权要求承包人调换其人员</w:t>
      </w:r>
      <w:r>
        <w:rPr>
          <w:rFonts w:asciiTheme="minorEastAsia" w:hAnsiTheme="minorEastAsia" w:eastAsiaTheme="minorEastAsia"/>
          <w:bCs/>
          <w:sz w:val="24"/>
        </w:rPr>
        <w:t>的限制条件：</w:t>
      </w:r>
      <w:r>
        <w:rPr>
          <w:rFonts w:hint="eastAsia" w:asciiTheme="minorEastAsia" w:hAnsiTheme="minorEastAsia" w:eastAsiaTheme="minorEastAsia"/>
          <w:bCs/>
          <w:sz w:val="24"/>
          <w:u w:val="single"/>
        </w:rPr>
        <w:t>实际发生时，与委托人代表协商解决，最终经委托人同意后要求承包人调换</w:t>
      </w:r>
      <w:r>
        <w:rPr>
          <w:rFonts w:asciiTheme="minorEastAsia" w:hAnsiTheme="minorEastAsia" w:eastAsiaTheme="minorEastAsia"/>
          <w:bCs/>
          <w:sz w:val="24"/>
        </w:rPr>
        <w:t>。</w:t>
      </w:r>
    </w:p>
    <w:p>
      <w:pPr>
        <w:adjustRightInd w:val="0"/>
        <w:snapToGrid w:val="0"/>
        <w:spacing w:line="288" w:lineRule="auto"/>
        <w:ind w:firstLine="361" w:firstLineChars="150"/>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2.4</w:t>
      </w:r>
      <w:r>
        <w:rPr>
          <w:rFonts w:hint="eastAsia" w:asciiTheme="minorEastAsia" w:hAnsiTheme="minorEastAsia" w:eastAsiaTheme="minorEastAsia"/>
          <w:b/>
          <w:bCs/>
          <w:sz w:val="24"/>
        </w:rPr>
        <w:t>款增加如下内容：</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2.4.5</w:t>
      </w:r>
      <w:r>
        <w:rPr>
          <w:rFonts w:hint="eastAsia" w:asciiTheme="minorEastAsia" w:hAnsiTheme="minorEastAsia" w:eastAsiaTheme="minorEastAsia"/>
          <w:bCs/>
          <w:sz w:val="24"/>
        </w:rPr>
        <w:t>正常情况下，由监理人发出的任何指示都应是书面的。出于某种原因，监理人认为有必要以口头形式发出这类指示时，监理人应在上述口头指示发出后</w:t>
      </w:r>
      <w:r>
        <w:rPr>
          <w:rFonts w:asciiTheme="minorEastAsia" w:hAnsiTheme="minorEastAsia" w:eastAsiaTheme="minorEastAsia"/>
          <w:bCs/>
          <w:sz w:val="24"/>
        </w:rPr>
        <w:t>3</w:t>
      </w:r>
      <w:r>
        <w:rPr>
          <w:rFonts w:hint="eastAsia" w:asciiTheme="minorEastAsia" w:hAnsiTheme="minorEastAsia" w:eastAsiaTheme="minorEastAsia"/>
          <w:bCs/>
          <w:sz w:val="24"/>
        </w:rPr>
        <w:t>天内，以书面形式予以确认，书面确认内容与当时的口头指示应当一致。承包人如在监理人发出口头指示后</w:t>
      </w:r>
      <w:r>
        <w:rPr>
          <w:rFonts w:asciiTheme="minorEastAsia" w:hAnsiTheme="minorEastAsia" w:eastAsiaTheme="minorEastAsia"/>
          <w:bCs/>
          <w:sz w:val="24"/>
        </w:rPr>
        <w:t>3</w:t>
      </w:r>
      <w:r>
        <w:rPr>
          <w:rFonts w:hint="eastAsia" w:asciiTheme="minorEastAsia" w:hAnsiTheme="minorEastAsia" w:eastAsiaTheme="minorEastAsia"/>
          <w:bCs/>
          <w:sz w:val="24"/>
        </w:rPr>
        <w:t>天内未收到其书面确认，应立即以书面形式要求监理人确认上述口头指示。如果发出书面要求后</w:t>
      </w:r>
      <w:r>
        <w:rPr>
          <w:rFonts w:asciiTheme="minorEastAsia" w:hAnsiTheme="minorEastAsia" w:eastAsiaTheme="minorEastAsia"/>
          <w:bCs/>
          <w:sz w:val="24"/>
        </w:rPr>
        <w:t>3</w:t>
      </w:r>
      <w:r>
        <w:rPr>
          <w:rFonts w:hint="eastAsia" w:asciiTheme="minorEastAsia" w:hAnsiTheme="minorEastAsia" w:eastAsiaTheme="minorEastAsia"/>
          <w:bCs/>
          <w:sz w:val="24"/>
        </w:rPr>
        <w:t>日内未予答复的，则此类口头指示视为已被监理人确认。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2.4.6</w:t>
      </w:r>
      <w:r>
        <w:rPr>
          <w:rFonts w:hint="eastAsia" w:asciiTheme="minorEastAsia" w:hAnsiTheme="minorEastAsia" w:eastAsiaTheme="minorEastAsia"/>
          <w:bCs/>
          <w:sz w:val="24"/>
        </w:rPr>
        <w:t>由于监理人指示错误、指示延误或未能在合同约定的时间内给出书面澄清、解答、决定，并且这种行为已经或将要导致工程的进展受到影响，承包人应就此通知监理人并陈述工程进展受到影响的原因，及已经或可能造成的影响。监理人在收到此类通知和核实证明承包人的损失并报委托人批准之后决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2.4.7</w:t>
      </w:r>
      <w:r>
        <w:rPr>
          <w:rFonts w:hint="eastAsia" w:asciiTheme="minorEastAsia" w:hAnsiTheme="minorEastAsia" w:eastAsiaTheme="minorEastAsia"/>
          <w:bCs/>
          <w:sz w:val="24"/>
        </w:rPr>
        <w:t>监理人应按施工承包合同中约定的时间，对承包人呈报给监理人的任何需其批复的函件、文件、要求等做出书面批复。如果监理人未能在上述约定的时间内对呈报的函件、文件、要求等给予书面批复，承包人应立即以书面形式要求监理人予以批准；如果承包人发出书面要求后</w:t>
      </w:r>
      <w:r>
        <w:rPr>
          <w:rFonts w:asciiTheme="minorEastAsia" w:hAnsiTheme="minorEastAsia" w:eastAsiaTheme="minorEastAsia"/>
          <w:bCs/>
          <w:sz w:val="24"/>
        </w:rPr>
        <w:t>3</w:t>
      </w:r>
      <w:r>
        <w:rPr>
          <w:rFonts w:hint="eastAsia" w:asciiTheme="minorEastAsia" w:hAnsiTheme="minorEastAsia" w:eastAsiaTheme="minorEastAsia"/>
          <w:bCs/>
          <w:sz w:val="24"/>
        </w:rPr>
        <w:t>日内未被监理人以书面形式拒绝，则视为监理人已对承包人所呈报的上述函件、文件、要求等已批准和确认。</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2.4.8</w:t>
      </w:r>
      <w:r>
        <w:rPr>
          <w:rFonts w:hint="eastAsia" w:asciiTheme="minorEastAsia" w:hAnsiTheme="minorEastAsia" w:eastAsiaTheme="minorEastAsia"/>
          <w:bCs/>
          <w:sz w:val="24"/>
        </w:rPr>
        <w:t>如果施工承包合同中未约定监理人应当做出上述任何批复、澄清、解答或决定的时间期限，承包人应在呈报上述有关函件、文件、要求等的同时就监理人的批复、澄清、解答或决定的时间提出一个合理时限</w:t>
      </w:r>
      <w:r>
        <w:rPr>
          <w:rFonts w:asciiTheme="minorEastAsia" w:hAnsiTheme="minorEastAsia" w:eastAsiaTheme="minorEastAsia"/>
          <w:bCs/>
          <w:sz w:val="24"/>
        </w:rPr>
        <w:t>(</w:t>
      </w:r>
      <w:r>
        <w:rPr>
          <w:rFonts w:hint="eastAsia" w:asciiTheme="minorEastAsia" w:hAnsiTheme="minorEastAsia" w:eastAsiaTheme="minorEastAsia"/>
          <w:bCs/>
          <w:sz w:val="24"/>
        </w:rPr>
        <w:t>但最多不超过</w:t>
      </w:r>
      <w:r>
        <w:rPr>
          <w:rFonts w:asciiTheme="minorEastAsia" w:hAnsiTheme="minorEastAsia" w:eastAsiaTheme="minorEastAsia"/>
          <w:bCs/>
          <w:sz w:val="24"/>
        </w:rPr>
        <w:t>21</w:t>
      </w:r>
      <w:r>
        <w:rPr>
          <w:rFonts w:hint="eastAsia" w:asciiTheme="minorEastAsia" w:hAnsiTheme="minorEastAsia" w:eastAsiaTheme="minorEastAsia"/>
          <w:bCs/>
          <w:sz w:val="24"/>
        </w:rPr>
        <w:t>天</w:t>
      </w:r>
      <w:r>
        <w:rPr>
          <w:rFonts w:asciiTheme="minorEastAsia" w:hAnsiTheme="minorEastAsia" w:eastAsiaTheme="minorEastAsia"/>
          <w:bCs/>
          <w:sz w:val="24"/>
        </w:rPr>
        <w:t>)</w:t>
      </w:r>
      <w:r>
        <w:rPr>
          <w:rFonts w:hint="eastAsia" w:asciiTheme="minorEastAsia" w:hAnsiTheme="minorEastAsia" w:eastAsiaTheme="minorEastAsia"/>
          <w:bCs/>
          <w:sz w:val="24"/>
        </w:rPr>
        <w:t>，如监理人未对该时限提出书面异议，则应视为该时限已被监理人接受，并受上述条款的约束。</w:t>
      </w:r>
    </w:p>
    <w:p>
      <w:pPr>
        <w:keepNext/>
        <w:keepLines/>
        <w:spacing w:line="288" w:lineRule="auto"/>
        <w:outlineLvl w:val="2"/>
        <w:rPr>
          <w:rFonts w:asciiTheme="minorEastAsia" w:hAnsiTheme="minorEastAsia" w:eastAsiaTheme="minorEastAsia"/>
          <w:b/>
          <w:sz w:val="24"/>
        </w:rPr>
      </w:pPr>
      <w:bookmarkStart w:id="1186" w:name="_Toc4184"/>
      <w:bookmarkStart w:id="1187" w:name="_Toc325"/>
      <w:bookmarkStart w:id="1188" w:name="_Toc15314"/>
      <w:bookmarkStart w:id="1189" w:name="_Toc499204989"/>
      <w:bookmarkStart w:id="1190" w:name="_Toc496098769"/>
      <w:bookmarkStart w:id="1191" w:name="_Toc443898855"/>
      <w:r>
        <w:rPr>
          <w:rFonts w:asciiTheme="minorEastAsia" w:hAnsiTheme="minorEastAsia" w:eastAsiaTheme="minorEastAsia"/>
          <w:b/>
          <w:sz w:val="24"/>
        </w:rPr>
        <w:t xml:space="preserve">2.5 </w:t>
      </w:r>
      <w:r>
        <w:rPr>
          <w:rFonts w:hint="eastAsia" w:asciiTheme="minorEastAsia" w:hAnsiTheme="minorEastAsia" w:eastAsiaTheme="minorEastAsia"/>
          <w:b/>
          <w:sz w:val="24"/>
        </w:rPr>
        <w:t>提交报告</w:t>
      </w:r>
      <w:bookmarkEnd w:id="1186"/>
      <w:bookmarkEnd w:id="1187"/>
      <w:bookmarkEnd w:id="1188"/>
      <w:bookmarkEnd w:id="1189"/>
      <w:bookmarkEnd w:id="1190"/>
      <w:bookmarkEnd w:id="1191"/>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监理人应提交报告的种类</w:t>
      </w:r>
      <w:r>
        <w:rPr>
          <w:rFonts w:hint="eastAsia" w:asciiTheme="minorEastAsia" w:hAnsiTheme="minorEastAsia" w:eastAsiaTheme="minorEastAsia"/>
          <w:bCs/>
          <w:sz w:val="24"/>
        </w:rPr>
        <w:t>（</w:t>
      </w:r>
      <w:r>
        <w:rPr>
          <w:rFonts w:asciiTheme="minorEastAsia" w:hAnsiTheme="minorEastAsia" w:eastAsiaTheme="minorEastAsia"/>
          <w:bCs/>
          <w:kern w:val="0"/>
          <w:sz w:val="24"/>
        </w:rPr>
        <w:t>包括监理规划、监理月报及约定的专项报告</w:t>
      </w:r>
      <w:r>
        <w:rPr>
          <w:rFonts w:hint="eastAsia" w:asciiTheme="minorEastAsia" w:hAnsiTheme="minorEastAsia" w:eastAsiaTheme="minorEastAsia"/>
          <w:bCs/>
          <w:kern w:val="0"/>
          <w:sz w:val="24"/>
        </w:rPr>
        <w:t>）</w:t>
      </w:r>
      <w:r>
        <w:rPr>
          <w:rFonts w:asciiTheme="minorEastAsia" w:hAnsiTheme="minorEastAsia" w:eastAsiaTheme="minorEastAsia"/>
          <w:bCs/>
          <w:sz w:val="24"/>
        </w:rPr>
        <w:t>、时间和份数</w:t>
      </w:r>
      <w:r>
        <w:rPr>
          <w:rFonts w:asciiTheme="minorEastAsia" w:hAnsiTheme="minorEastAsia" w:eastAsiaTheme="minorEastAsia"/>
          <w:bCs/>
          <w:kern w:val="0"/>
          <w:sz w:val="24"/>
        </w:rPr>
        <w:t>：</w:t>
      </w:r>
      <w:r>
        <w:rPr>
          <w:rFonts w:hint="eastAsia" w:asciiTheme="minorEastAsia" w:hAnsiTheme="minorEastAsia" w:eastAsiaTheme="minorEastAsia"/>
          <w:bCs/>
          <w:sz w:val="24"/>
          <w:u w:val="single"/>
        </w:rPr>
        <w:t>按照委托人相关管理办法执行</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192" w:name="_Toc499204990"/>
      <w:bookmarkStart w:id="1193" w:name="_Toc11244"/>
      <w:bookmarkStart w:id="1194" w:name="_Toc496098770"/>
      <w:bookmarkStart w:id="1195" w:name="_Toc443898856"/>
      <w:bookmarkStart w:id="1196" w:name="_Toc24642"/>
      <w:bookmarkStart w:id="1197" w:name="_Toc9946"/>
      <w:r>
        <w:rPr>
          <w:rFonts w:asciiTheme="minorEastAsia" w:hAnsiTheme="minorEastAsia" w:eastAsiaTheme="minorEastAsia"/>
          <w:b/>
          <w:sz w:val="24"/>
        </w:rPr>
        <w:t xml:space="preserve">2.7 </w:t>
      </w:r>
      <w:r>
        <w:rPr>
          <w:rFonts w:hint="eastAsia" w:asciiTheme="minorEastAsia" w:hAnsiTheme="minorEastAsia" w:eastAsiaTheme="minorEastAsia"/>
          <w:b/>
          <w:sz w:val="24"/>
        </w:rPr>
        <w:t>使用委托人的财产</w:t>
      </w:r>
      <w:bookmarkEnd w:id="1192"/>
      <w:bookmarkEnd w:id="1193"/>
      <w:bookmarkEnd w:id="1194"/>
      <w:bookmarkEnd w:id="1195"/>
      <w:bookmarkEnd w:id="1196"/>
      <w:bookmarkEnd w:id="1197"/>
    </w:p>
    <w:p>
      <w:pPr>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sz w:val="24"/>
        </w:rPr>
        <w:t>附录B中由委托人无偿提供的房屋、设备</w:t>
      </w:r>
      <w:r>
        <w:rPr>
          <w:rFonts w:hint="eastAsia" w:asciiTheme="minorEastAsia" w:hAnsiTheme="minorEastAsia" w:eastAsiaTheme="minorEastAsia"/>
          <w:bCs/>
          <w:sz w:val="24"/>
        </w:rPr>
        <w:t>等</w:t>
      </w:r>
      <w:r>
        <w:rPr>
          <w:rFonts w:asciiTheme="minorEastAsia" w:hAnsiTheme="minorEastAsia" w:eastAsiaTheme="minorEastAsia"/>
          <w:bCs/>
          <w:sz w:val="24"/>
        </w:rPr>
        <w:t>的所有权属于：</w:t>
      </w:r>
      <w:r>
        <w:rPr>
          <w:rFonts w:hint="eastAsia" w:asciiTheme="minorEastAsia" w:hAnsiTheme="minorEastAsia" w:eastAsiaTheme="minorEastAsia"/>
          <w:bCs/>
          <w:sz w:val="24"/>
          <w:u w:val="single"/>
        </w:rPr>
        <w:t>委托人</w:t>
      </w:r>
      <w:r>
        <w:rPr>
          <w:rFonts w:asciiTheme="minorEastAsia" w:hAnsiTheme="minorEastAsia" w:eastAsiaTheme="minorEastAsia"/>
          <w:bCs/>
          <w:sz w:val="24"/>
        </w:rPr>
        <w:t>。</w:t>
      </w:r>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监理人应在本合同终止</w:t>
      </w:r>
      <w:r>
        <w:rPr>
          <w:rFonts w:hint="eastAsia" w:asciiTheme="minorEastAsia" w:hAnsiTheme="minorEastAsia" w:eastAsiaTheme="minorEastAsia"/>
          <w:bCs/>
          <w:sz w:val="24"/>
        </w:rPr>
        <w:t>时</w:t>
      </w:r>
      <w:r>
        <w:rPr>
          <w:rFonts w:asciiTheme="minorEastAsia" w:hAnsiTheme="minorEastAsia" w:eastAsiaTheme="minorEastAsia"/>
          <w:bCs/>
          <w:sz w:val="24"/>
        </w:rPr>
        <w:t>移交委托人无偿提供的房屋、设备，移交的时间和方式为</w:t>
      </w:r>
      <w:r>
        <w:rPr>
          <w:rFonts w:hint="eastAsia" w:asciiTheme="minorEastAsia" w:hAnsiTheme="minorEastAsia" w:eastAsiaTheme="minorEastAsia"/>
          <w:bCs/>
          <w:sz w:val="24"/>
        </w:rPr>
        <w:t>：</w:t>
      </w:r>
      <w:r>
        <w:rPr>
          <w:rFonts w:asciiTheme="minorEastAsia" w:hAnsiTheme="minorEastAsia" w:eastAsiaTheme="minorEastAsia"/>
          <w:bCs/>
          <w:sz w:val="24"/>
        </w:rPr>
        <w:t>在本合同终止</w:t>
      </w:r>
      <w:r>
        <w:rPr>
          <w:rFonts w:hint="eastAsia" w:asciiTheme="minorEastAsia" w:hAnsiTheme="minorEastAsia" w:eastAsiaTheme="minorEastAsia"/>
          <w:bCs/>
          <w:sz w:val="24"/>
        </w:rPr>
        <w:t>日，按照无偿提供时的清单全部归还移交个委托人</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补充约定：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监理人有义务妥善使用、保管委托人提供的设施、设备及物品，对于由于监理人的原因造成的非正常损毁与短缺，监理人负有全面的赔偿责任。</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监理人使用、保管、和移交委托人财产所需的费用，应当包含在监理人的正常监理服务收费之中。</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监理人应将所有依据合同发出或收到的函件复制给委托人。</w:t>
      </w:r>
    </w:p>
    <w:p>
      <w:r>
        <w:rPr>
          <w:rFonts w:hint="eastAsia" w:asciiTheme="minorEastAsia" w:hAnsiTheme="minorEastAsia" w:eastAsiaTheme="minorEastAsia"/>
          <w:sz w:val="24"/>
        </w:rPr>
        <w:t>2.8 监理人在领取中标通知书时须向招标代理机构缴纳代理服务费壹拾万元整。</w:t>
      </w:r>
    </w:p>
    <w:p>
      <w:pPr>
        <w:keepNext/>
        <w:keepLines/>
        <w:spacing w:beforeLines="50" w:afterLines="50" w:line="288" w:lineRule="auto"/>
        <w:outlineLvl w:val="1"/>
        <w:rPr>
          <w:rFonts w:asciiTheme="minorEastAsia" w:hAnsiTheme="minorEastAsia" w:eastAsiaTheme="minorEastAsia"/>
          <w:b/>
          <w:bCs/>
          <w:sz w:val="24"/>
        </w:rPr>
      </w:pPr>
      <w:bookmarkStart w:id="1198" w:name="_Toc14165"/>
      <w:bookmarkStart w:id="1199" w:name="_Toc443898857"/>
      <w:bookmarkStart w:id="1200" w:name="_Toc7914"/>
      <w:bookmarkStart w:id="1201" w:name="_Toc496098771"/>
      <w:r>
        <w:rPr>
          <w:rFonts w:asciiTheme="minorEastAsia" w:hAnsiTheme="minorEastAsia" w:eastAsiaTheme="minorEastAsia"/>
          <w:b/>
          <w:bCs/>
          <w:sz w:val="24"/>
        </w:rPr>
        <w:t xml:space="preserve">3. </w:t>
      </w:r>
      <w:r>
        <w:rPr>
          <w:rFonts w:hint="eastAsia" w:asciiTheme="minorEastAsia" w:hAnsiTheme="minorEastAsia" w:eastAsiaTheme="minorEastAsia"/>
          <w:b/>
          <w:bCs/>
          <w:sz w:val="24"/>
        </w:rPr>
        <w:t>委托人权利义务</w:t>
      </w:r>
      <w:bookmarkEnd w:id="1198"/>
      <w:bookmarkEnd w:id="1199"/>
      <w:bookmarkEnd w:id="1200"/>
      <w:bookmarkEnd w:id="1201"/>
    </w:p>
    <w:p>
      <w:pPr>
        <w:keepNext/>
        <w:keepLines/>
        <w:spacing w:line="288" w:lineRule="auto"/>
        <w:outlineLvl w:val="2"/>
        <w:rPr>
          <w:rFonts w:asciiTheme="minorEastAsia" w:hAnsiTheme="minorEastAsia" w:eastAsiaTheme="minorEastAsia"/>
          <w:b/>
          <w:sz w:val="24"/>
        </w:rPr>
      </w:pPr>
      <w:bookmarkStart w:id="1202" w:name="_Toc496098772"/>
      <w:bookmarkStart w:id="1203" w:name="_Toc17732"/>
      <w:bookmarkStart w:id="1204" w:name="_Toc443898858"/>
      <w:bookmarkStart w:id="1205" w:name="_Toc499204992"/>
      <w:bookmarkStart w:id="1206" w:name="_Toc1736"/>
      <w:bookmarkStart w:id="1207" w:name="_Toc22813"/>
      <w:r>
        <w:rPr>
          <w:rFonts w:asciiTheme="minorEastAsia" w:hAnsiTheme="minorEastAsia" w:eastAsiaTheme="minorEastAsia"/>
          <w:b/>
          <w:sz w:val="24"/>
        </w:rPr>
        <w:t xml:space="preserve">3.4 </w:t>
      </w:r>
      <w:r>
        <w:rPr>
          <w:rFonts w:hint="eastAsia" w:asciiTheme="minorEastAsia" w:hAnsiTheme="minorEastAsia" w:eastAsiaTheme="minorEastAsia"/>
          <w:b/>
          <w:sz w:val="24"/>
        </w:rPr>
        <w:t>委托人代表</w:t>
      </w:r>
      <w:bookmarkEnd w:id="1202"/>
      <w:bookmarkEnd w:id="1203"/>
      <w:bookmarkEnd w:id="1204"/>
      <w:bookmarkEnd w:id="1205"/>
      <w:bookmarkEnd w:id="1206"/>
      <w:bookmarkEnd w:id="1207"/>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委托人代表为：。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委托人代表在授权范围内受理与委托人有关的所有通知、指示、同意、批准、证书、决定及其他通讯联络。</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对于本合同而言，经委托人任命并且监理人已收到相应书面通知的委托人代表，应是委托人的合法代理人。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除非合同中己注明委托人代表的姓名，否则委托人应在合同生效后7天内将其任命的委托人代表的姓名及其它详细资料通知监理人。</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委托人根据需要可能随时更换其代表，更换后应书面通知监理人，同时明确前任到期时间及新任开始时间；在他们收到相应通知之前，任何对委托人代表的任命或更换均不产生合同效力。</w:t>
      </w:r>
    </w:p>
    <w:p>
      <w:pPr>
        <w:keepNext/>
        <w:keepLines/>
        <w:spacing w:line="288" w:lineRule="auto"/>
        <w:outlineLvl w:val="2"/>
        <w:rPr>
          <w:rFonts w:asciiTheme="minorEastAsia" w:hAnsiTheme="minorEastAsia" w:eastAsiaTheme="minorEastAsia"/>
          <w:b/>
          <w:sz w:val="24"/>
        </w:rPr>
      </w:pPr>
      <w:bookmarkStart w:id="1208" w:name="_Toc443898859"/>
      <w:bookmarkStart w:id="1209" w:name="_Toc499204993"/>
      <w:bookmarkStart w:id="1210" w:name="_Toc496098773"/>
      <w:bookmarkStart w:id="1211" w:name="_Toc32668"/>
      <w:bookmarkStart w:id="1212" w:name="_Toc29477"/>
      <w:bookmarkStart w:id="1213" w:name="_Toc19568"/>
      <w:r>
        <w:rPr>
          <w:rFonts w:asciiTheme="minorEastAsia" w:hAnsiTheme="minorEastAsia" w:eastAsiaTheme="minorEastAsia"/>
          <w:b/>
          <w:sz w:val="24"/>
        </w:rPr>
        <w:t xml:space="preserve">3.6 </w:t>
      </w:r>
      <w:r>
        <w:rPr>
          <w:rFonts w:hint="eastAsia" w:asciiTheme="minorEastAsia" w:hAnsiTheme="minorEastAsia" w:eastAsiaTheme="minorEastAsia"/>
          <w:b/>
          <w:sz w:val="24"/>
        </w:rPr>
        <w:t>答复修改为：</w:t>
      </w:r>
      <w:bookmarkEnd w:id="1208"/>
      <w:bookmarkEnd w:id="1209"/>
      <w:bookmarkEnd w:id="1210"/>
      <w:bookmarkEnd w:id="1211"/>
      <w:bookmarkEnd w:id="1212"/>
      <w:bookmarkEnd w:id="1213"/>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委托人同意在</w:t>
      </w:r>
      <w:r>
        <w:rPr>
          <w:rFonts w:asciiTheme="minorEastAsia" w:hAnsiTheme="minorEastAsia" w:eastAsiaTheme="minorEastAsia"/>
          <w:bCs/>
          <w:sz w:val="24"/>
          <w:u w:val="single"/>
        </w:rPr>
        <w:t>7</w:t>
      </w:r>
      <w:r>
        <w:rPr>
          <w:rFonts w:asciiTheme="minorEastAsia" w:hAnsiTheme="minorEastAsia" w:eastAsiaTheme="minorEastAsia"/>
          <w:bCs/>
          <w:sz w:val="24"/>
        </w:rPr>
        <w:t>天内，对监理人书面提交并要求做出决定的事宜给予书面答复。</w:t>
      </w:r>
      <w:r>
        <w:rPr>
          <w:rFonts w:hint="eastAsia" w:asciiTheme="minorEastAsia" w:hAnsiTheme="minorEastAsia" w:eastAsiaTheme="minorEastAsia"/>
          <w:sz w:val="24"/>
        </w:rPr>
        <w:t>若因相关事宜情况复杂无法在7天内作出答复的，经书面通知监理人，委托人可以适当延长答复期限。</w:t>
      </w:r>
      <w:r>
        <w:rPr>
          <w:rFonts w:hint="eastAsia" w:asciiTheme="minorEastAsia" w:hAnsiTheme="minorEastAsia" w:eastAsiaTheme="minorEastAsia"/>
          <w:bCs/>
          <w:sz w:val="24"/>
        </w:rPr>
        <w:t>超过延长期限仍未答复的，监理人应催告委托人及时答复。</w:t>
      </w:r>
    </w:p>
    <w:p>
      <w:pPr>
        <w:adjustRightInd w:val="0"/>
        <w:snapToGrid w:val="0"/>
        <w:spacing w:line="288" w:lineRule="auto"/>
        <w:ind w:firstLine="422"/>
        <w:rPr>
          <w:rFonts w:asciiTheme="minorEastAsia" w:hAnsiTheme="minorEastAsia" w:eastAsiaTheme="minorEastAsia"/>
          <w:b/>
          <w:bCs/>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3</w:t>
      </w:r>
      <w:r>
        <w:rPr>
          <w:rFonts w:hint="eastAsia" w:asciiTheme="minorEastAsia" w:hAnsiTheme="minorEastAsia" w:eastAsiaTheme="minorEastAsia"/>
          <w:b/>
          <w:bCs/>
          <w:sz w:val="24"/>
        </w:rPr>
        <w:t>条新增如下约定：</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3.8委托人有权按照相关考核办法对监理人进行履约检查，如监理人不能满足合同约定，有权责令改进，并有按照相关条款索取违约赔偿金的权利。</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3.9委托人按照相关考核办法对监理人作业人员的工作能力和业务水平</w:t>
      </w:r>
      <w:r>
        <w:rPr>
          <w:rFonts w:hint="eastAsia" w:asciiTheme="minorEastAsia" w:hAnsiTheme="minorEastAsia" w:eastAsiaTheme="minorEastAsia"/>
          <w:bCs/>
          <w:sz w:val="24"/>
        </w:rPr>
        <w:t>进行</w:t>
      </w:r>
      <w:r>
        <w:rPr>
          <w:rFonts w:asciiTheme="minorEastAsia" w:hAnsiTheme="minorEastAsia" w:eastAsiaTheme="minorEastAsia"/>
          <w:bCs/>
          <w:sz w:val="24"/>
        </w:rPr>
        <w:t>考核，对于无法胜任监理任务的作业人员，委托人有权提出更换，监理人</w:t>
      </w:r>
      <w:r>
        <w:rPr>
          <w:rFonts w:hint="eastAsia" w:asciiTheme="minorEastAsia" w:hAnsiTheme="minorEastAsia" w:eastAsiaTheme="minorEastAsia"/>
          <w:bCs/>
          <w:sz w:val="24"/>
        </w:rPr>
        <w:t>必</w:t>
      </w:r>
      <w:r>
        <w:rPr>
          <w:rFonts w:asciiTheme="minorEastAsia" w:hAnsiTheme="minorEastAsia" w:eastAsiaTheme="minorEastAsia"/>
          <w:bCs/>
          <w:sz w:val="24"/>
        </w:rPr>
        <w:t>须予以执行。</w:t>
      </w:r>
    </w:p>
    <w:p>
      <w:pPr>
        <w:adjustRightInd w:val="0"/>
        <w:snapToGrid w:val="0"/>
        <w:spacing w:line="288" w:lineRule="auto"/>
        <w:ind w:firstLine="420"/>
        <w:rPr>
          <w:rFonts w:asciiTheme="minorEastAsia" w:hAnsiTheme="minorEastAsia" w:eastAsiaTheme="minorEastAsia"/>
          <w:sz w:val="24"/>
        </w:rPr>
      </w:pPr>
      <w:r>
        <w:rPr>
          <w:rFonts w:asciiTheme="minorEastAsia" w:hAnsiTheme="minorEastAsia" w:eastAsiaTheme="minorEastAsia"/>
          <w:bCs/>
          <w:sz w:val="24"/>
        </w:rPr>
        <w:t>3.10监理人无法继续履行或明确表示不履行或实质上已停止履行监理合同时，</w:t>
      </w:r>
      <w:r>
        <w:rPr>
          <w:rFonts w:hint="eastAsia" w:asciiTheme="minorEastAsia" w:hAnsiTheme="minorEastAsia" w:eastAsiaTheme="minorEastAsia"/>
          <w:bCs/>
          <w:sz w:val="24"/>
        </w:rPr>
        <w:t>委托人有权通知监理人解除本合同，合同自委托人解除合同通知送达监理人时解除。本合同解除后</w:t>
      </w:r>
      <w:r>
        <w:rPr>
          <w:rFonts w:asciiTheme="minorEastAsia" w:hAnsiTheme="minorEastAsia" w:eastAsiaTheme="minorEastAsia"/>
          <w:bCs/>
          <w:sz w:val="24"/>
        </w:rPr>
        <w:t>委托人可将本合同范围内的部分或全部</w:t>
      </w:r>
      <w:r>
        <w:rPr>
          <w:rFonts w:hint="eastAsia" w:asciiTheme="minorEastAsia" w:hAnsiTheme="minorEastAsia" w:eastAsiaTheme="minorEastAsia"/>
          <w:bCs/>
          <w:sz w:val="24"/>
        </w:rPr>
        <w:t>剩余</w:t>
      </w:r>
      <w:r>
        <w:rPr>
          <w:rFonts w:asciiTheme="minorEastAsia" w:hAnsiTheme="minorEastAsia" w:eastAsiaTheme="minorEastAsia"/>
          <w:bCs/>
          <w:sz w:val="24"/>
        </w:rPr>
        <w:t>工作委托其他</w:t>
      </w:r>
      <w:r>
        <w:rPr>
          <w:rFonts w:hint="eastAsia" w:asciiTheme="minorEastAsia" w:hAnsiTheme="minorEastAsia" w:eastAsiaTheme="minorEastAsia"/>
          <w:bCs/>
          <w:sz w:val="24"/>
        </w:rPr>
        <w:t>监理</w:t>
      </w:r>
      <w:r>
        <w:rPr>
          <w:rFonts w:asciiTheme="minorEastAsia" w:hAnsiTheme="minorEastAsia" w:eastAsiaTheme="minorEastAsia"/>
          <w:bCs/>
          <w:sz w:val="24"/>
        </w:rPr>
        <w:t>单位完成</w:t>
      </w:r>
      <w:r>
        <w:rPr>
          <w:rFonts w:hint="eastAsia" w:asciiTheme="minorEastAsia" w:hAnsiTheme="minorEastAsia" w:eastAsiaTheme="minorEastAsia"/>
          <w:bCs/>
          <w:sz w:val="24"/>
        </w:rPr>
        <w:t>，因另行委托其他监理单位导致本合同约定工程监理费用增加的，增加部分的监理费用由监理人承担，委托人有权从应付监理人监理费中直接扣除。</w:t>
      </w:r>
    </w:p>
    <w:p>
      <w:pPr>
        <w:keepNext/>
        <w:keepLines/>
        <w:spacing w:beforeLines="50" w:afterLines="50" w:line="288" w:lineRule="auto"/>
        <w:outlineLvl w:val="1"/>
        <w:rPr>
          <w:rFonts w:asciiTheme="minorEastAsia" w:hAnsiTheme="minorEastAsia" w:eastAsiaTheme="minorEastAsia"/>
          <w:b/>
          <w:bCs/>
          <w:sz w:val="24"/>
        </w:rPr>
      </w:pPr>
      <w:bookmarkStart w:id="1214" w:name="_Toc496098774"/>
      <w:bookmarkStart w:id="1215" w:name="_Toc443898860"/>
      <w:bookmarkStart w:id="1216" w:name="_Toc14949"/>
      <w:bookmarkStart w:id="1217" w:name="_Toc28680"/>
      <w:r>
        <w:rPr>
          <w:rFonts w:asciiTheme="minorEastAsia" w:hAnsiTheme="minorEastAsia" w:eastAsiaTheme="minorEastAsia"/>
          <w:b/>
          <w:bCs/>
          <w:sz w:val="24"/>
        </w:rPr>
        <w:t xml:space="preserve">4. </w:t>
      </w:r>
      <w:r>
        <w:rPr>
          <w:rFonts w:hint="eastAsia" w:asciiTheme="minorEastAsia" w:hAnsiTheme="minorEastAsia" w:eastAsiaTheme="minorEastAsia"/>
          <w:b/>
          <w:bCs/>
          <w:sz w:val="24"/>
        </w:rPr>
        <w:t>违约责任</w:t>
      </w:r>
      <w:bookmarkEnd w:id="1214"/>
      <w:bookmarkEnd w:id="1215"/>
      <w:bookmarkEnd w:id="1216"/>
      <w:bookmarkEnd w:id="1217"/>
    </w:p>
    <w:p>
      <w:pPr>
        <w:keepNext/>
        <w:keepLines/>
        <w:spacing w:line="288" w:lineRule="auto"/>
        <w:outlineLvl w:val="2"/>
        <w:rPr>
          <w:rFonts w:asciiTheme="minorEastAsia" w:hAnsiTheme="minorEastAsia" w:eastAsiaTheme="minorEastAsia"/>
          <w:b/>
          <w:sz w:val="24"/>
        </w:rPr>
      </w:pPr>
      <w:bookmarkStart w:id="1218" w:name="_Toc18822"/>
      <w:bookmarkStart w:id="1219" w:name="_Toc496098775"/>
      <w:bookmarkStart w:id="1220" w:name="_Toc499204995"/>
      <w:bookmarkStart w:id="1221" w:name="_Toc443898861"/>
      <w:bookmarkStart w:id="1222" w:name="_Toc25327"/>
      <w:bookmarkStart w:id="1223" w:name="_Toc2427"/>
      <w:r>
        <w:rPr>
          <w:rFonts w:asciiTheme="minorEastAsia" w:hAnsiTheme="minorEastAsia" w:eastAsiaTheme="minorEastAsia"/>
          <w:b/>
          <w:sz w:val="24"/>
        </w:rPr>
        <w:t xml:space="preserve">4.1 </w:t>
      </w:r>
      <w:r>
        <w:rPr>
          <w:rFonts w:hint="eastAsia" w:asciiTheme="minorEastAsia" w:hAnsiTheme="minorEastAsia" w:eastAsiaTheme="minorEastAsia"/>
          <w:b/>
          <w:sz w:val="24"/>
        </w:rPr>
        <w:t>监理人的违约责任</w:t>
      </w:r>
      <w:bookmarkEnd w:id="1218"/>
      <w:bookmarkEnd w:id="1219"/>
      <w:bookmarkEnd w:id="1220"/>
      <w:bookmarkEnd w:id="1221"/>
      <w:bookmarkEnd w:id="1222"/>
      <w:bookmarkEnd w:id="1223"/>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4.1.1监理人赔偿金额按下列方法确定：</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监理人应按照因其违约给委托人造成的全部经济损失向委托人赔偿；损失无法计算的，如果本合同对具体的违约情形约定有违约金的，监理人应支付违约金。</w:t>
      </w:r>
    </w:p>
    <w:p>
      <w:pPr>
        <w:adjustRightInd w:val="0"/>
        <w:snapToGrid w:val="0"/>
        <w:spacing w:line="288" w:lineRule="auto"/>
        <w:ind w:firstLine="422"/>
        <w:rPr>
          <w:rFonts w:asciiTheme="minorEastAsia" w:hAnsiTheme="minorEastAsia" w:eastAsiaTheme="minorEastAsia"/>
          <w:bCs/>
          <w:kern w:val="0"/>
          <w:sz w:val="24"/>
        </w:rPr>
      </w:pPr>
      <w:r>
        <w:rPr>
          <w:rFonts w:hint="eastAsia" w:asciiTheme="minorEastAsia" w:hAnsiTheme="minorEastAsia" w:eastAsiaTheme="minorEastAsia"/>
          <w:b/>
          <w:bCs/>
          <w:sz w:val="24"/>
        </w:rPr>
        <w:t>第</w:t>
      </w:r>
      <w:r>
        <w:rPr>
          <w:rFonts w:asciiTheme="minorEastAsia" w:hAnsiTheme="minorEastAsia" w:eastAsiaTheme="minorEastAsia"/>
          <w:b/>
          <w:bCs/>
          <w:sz w:val="24"/>
        </w:rPr>
        <w:t>4.1</w:t>
      </w:r>
      <w:r>
        <w:rPr>
          <w:rFonts w:hint="eastAsia" w:asciiTheme="minorEastAsia" w:hAnsiTheme="minorEastAsia" w:eastAsiaTheme="minorEastAsia"/>
          <w:b/>
          <w:bCs/>
          <w:sz w:val="24"/>
        </w:rPr>
        <w:t>款新增如下约定：</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4.1.3违约金补充约定</w:t>
      </w:r>
      <w:r>
        <w:rPr>
          <w:rFonts w:hint="eastAsia" w:asciiTheme="minorEastAsia" w:hAnsiTheme="minorEastAsia" w:eastAsiaTheme="minorEastAsia"/>
          <w:bCs/>
          <w:kern w:val="0"/>
          <w:sz w:val="24"/>
        </w:rPr>
        <w:t>（监理合同金额在1000万元及以上的，违约金金额按下述条款执行，监理合同金额在1000万元以下的，违约金金额按下述条款规定金额的50%执行）</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（1）监理人更换项目管理机构人员，须</w:t>
      </w:r>
      <w:r>
        <w:rPr>
          <w:rFonts w:asciiTheme="minorEastAsia" w:hAnsiTheme="minorEastAsia" w:eastAsiaTheme="minorEastAsia"/>
          <w:bCs/>
          <w:sz w:val="24"/>
        </w:rPr>
        <w:t>经委托人同意</w:t>
      </w:r>
      <w:r>
        <w:rPr>
          <w:rFonts w:hint="eastAsia" w:asciiTheme="minorEastAsia" w:hAnsiTheme="minorEastAsia" w:eastAsiaTheme="minorEastAsia"/>
          <w:bCs/>
          <w:sz w:val="24"/>
        </w:rPr>
        <w:t>，并按下列标准向委托人支付违约金：总监理工程师、总监理工程师代表</w:t>
      </w:r>
      <w:r>
        <w:rPr>
          <w:rFonts w:asciiTheme="minorEastAsia" w:hAnsiTheme="minorEastAsia" w:eastAsiaTheme="minorEastAsia"/>
          <w:bCs/>
          <w:sz w:val="24"/>
        </w:rPr>
        <w:t>为</w:t>
      </w:r>
      <w:r>
        <w:rPr>
          <w:rFonts w:hint="eastAsia" w:asciiTheme="minorEastAsia" w:hAnsiTheme="minorEastAsia" w:eastAsiaTheme="minorEastAsia"/>
          <w:bCs/>
          <w:sz w:val="24"/>
        </w:rPr>
        <w:t>伍拾万</w:t>
      </w:r>
      <w:r>
        <w:rPr>
          <w:rFonts w:asciiTheme="minorEastAsia" w:hAnsiTheme="minorEastAsia" w:eastAsiaTheme="minorEastAsia"/>
          <w:bCs/>
          <w:sz w:val="24"/>
        </w:rPr>
        <w:t>元/人·次，</w:t>
      </w:r>
      <w:r>
        <w:rPr>
          <w:rFonts w:hint="eastAsia" w:asciiTheme="minorEastAsia" w:hAnsiTheme="minorEastAsia" w:eastAsiaTheme="minorEastAsia"/>
          <w:bCs/>
          <w:sz w:val="24"/>
        </w:rPr>
        <w:t>安全总监、合约工程师、</w:t>
      </w:r>
      <w:r>
        <w:rPr>
          <w:rFonts w:asciiTheme="minorEastAsia" w:hAnsiTheme="minorEastAsia" w:eastAsiaTheme="minorEastAsia"/>
          <w:bCs/>
          <w:sz w:val="24"/>
        </w:rPr>
        <w:t>试验检测工程师</w:t>
      </w:r>
      <w:r>
        <w:rPr>
          <w:rFonts w:hint="eastAsia" w:asciiTheme="minorEastAsia" w:hAnsiTheme="minorEastAsia" w:eastAsiaTheme="minorEastAsia"/>
          <w:bCs/>
          <w:sz w:val="24"/>
        </w:rPr>
        <w:t>、测量工程师为叁拾万</w:t>
      </w:r>
      <w:r>
        <w:rPr>
          <w:rFonts w:asciiTheme="minorEastAsia" w:hAnsiTheme="minorEastAsia" w:eastAsiaTheme="minorEastAsia"/>
          <w:bCs/>
          <w:sz w:val="24"/>
        </w:rPr>
        <w:t>元/人·次</w:t>
      </w:r>
      <w:r>
        <w:rPr>
          <w:rFonts w:hint="eastAsia" w:asciiTheme="minorEastAsia" w:hAnsiTheme="minorEastAsia" w:eastAsiaTheme="minorEastAsia"/>
          <w:bCs/>
          <w:sz w:val="24"/>
        </w:rPr>
        <w:t>，其他专业监理工程师为贰万</w:t>
      </w:r>
      <w:r>
        <w:rPr>
          <w:rFonts w:asciiTheme="minorEastAsia" w:hAnsiTheme="minorEastAsia" w:eastAsiaTheme="minorEastAsia"/>
          <w:bCs/>
          <w:sz w:val="24"/>
        </w:rPr>
        <w:t>元/人·次。</w:t>
      </w:r>
    </w:p>
    <w:p>
      <w:pPr>
        <w:spacing w:line="288" w:lineRule="auto"/>
        <w:ind w:firstLine="42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w:t>
      </w:r>
      <w:r>
        <w:rPr>
          <w:rFonts w:hint="eastAsia" w:asciiTheme="minorEastAsia" w:hAnsiTheme="minorEastAsia" w:eastAsiaTheme="minorEastAsia"/>
          <w:bCs/>
          <w:sz w:val="24"/>
        </w:rPr>
        <w:t>监理人未按照招标文件要求配置其他专业监理工程师的，委托人认为可以满足工程需要的，监理人应向委托人支付违约金，违约金标准为拾万</w:t>
      </w:r>
      <w:r>
        <w:rPr>
          <w:rFonts w:asciiTheme="minorEastAsia" w:hAnsiTheme="minorEastAsia" w:eastAsiaTheme="minorEastAsia"/>
          <w:bCs/>
          <w:sz w:val="24"/>
        </w:rPr>
        <w:t>元/人</w:t>
      </w:r>
      <w:r>
        <w:rPr>
          <w:rFonts w:hint="eastAsia" w:asciiTheme="minorEastAsia" w:hAnsiTheme="minorEastAsia" w:eastAsiaTheme="minorEastAsia"/>
          <w:bCs/>
          <w:sz w:val="24"/>
        </w:rPr>
        <w:t>；委托人认为不能满足工程需要的，可以解除合同。</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3）</w:t>
      </w:r>
      <w:r>
        <w:rPr>
          <w:rFonts w:hint="eastAsia" w:asciiTheme="minorEastAsia" w:hAnsiTheme="minorEastAsia" w:eastAsiaTheme="minorEastAsia"/>
          <w:bCs/>
          <w:kern w:val="0"/>
          <w:sz w:val="24"/>
        </w:rPr>
        <w:t>监理人人员不能胜任工作的，委托人可以要求限期更换，监理人应按要求更换合格人员，并承担本项第（1）目所约定的</w:t>
      </w:r>
      <w:r>
        <w:rPr>
          <w:rFonts w:hint="eastAsia" w:asciiTheme="minorEastAsia" w:hAnsiTheme="minorEastAsia" w:eastAsiaTheme="minorEastAsia"/>
          <w:bCs/>
          <w:sz w:val="24"/>
        </w:rPr>
        <w:t>违约金；</w:t>
      </w:r>
      <w:r>
        <w:rPr>
          <w:rFonts w:hint="eastAsia" w:asciiTheme="minorEastAsia" w:hAnsiTheme="minorEastAsia" w:eastAsiaTheme="minorEastAsia"/>
          <w:bCs/>
          <w:kern w:val="0"/>
          <w:sz w:val="24"/>
        </w:rPr>
        <w:t>监理人未按委托人要求更换的，视为擅自缺岗，按本项第（5）目的约定承担违约责任。</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4）若因监理人人员未按合同约定进场，每逾期到场一日，应按照以下标准向委托人支付违约金，违约金标准为：总监理工程师、总监理工程师代表、安全总监为壹万元/人·日，专业监理工程师为伍仟元/人·日；总监理工程师、总监理工程师代表、安全总监连续逾期7日未进场的，委托人有权通知监理人解除本合同，本合同自委托人解除合同通知送达监理人时解除，本合同解除后，委托人有权不予支付任何费用，同时监理人还应按照本合同约定的监理服务酬金总额的20%向委托人支付违约金。</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（5）监理人员</w:t>
      </w:r>
      <w:r>
        <w:rPr>
          <w:rFonts w:asciiTheme="minorEastAsia" w:hAnsiTheme="minorEastAsia" w:eastAsiaTheme="minorEastAsia"/>
          <w:bCs/>
          <w:kern w:val="0"/>
          <w:sz w:val="24"/>
        </w:rPr>
        <w:t>擅自</w:t>
      </w:r>
      <w:r>
        <w:rPr>
          <w:rFonts w:hint="eastAsia" w:asciiTheme="minorEastAsia" w:hAnsiTheme="minorEastAsia" w:eastAsiaTheme="minorEastAsia"/>
          <w:bCs/>
          <w:kern w:val="0"/>
          <w:sz w:val="24"/>
        </w:rPr>
        <w:t>缺岗</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监理人应向委托人支付违约金，</w:t>
      </w:r>
      <w:r>
        <w:rPr>
          <w:rFonts w:asciiTheme="minorEastAsia" w:hAnsiTheme="minorEastAsia" w:eastAsiaTheme="minorEastAsia"/>
          <w:bCs/>
          <w:kern w:val="0"/>
          <w:sz w:val="24"/>
        </w:rPr>
        <w:t>违约金标准为：</w:t>
      </w:r>
      <w:r>
        <w:rPr>
          <w:rFonts w:hint="eastAsia" w:asciiTheme="minorEastAsia" w:hAnsiTheme="minorEastAsia" w:eastAsiaTheme="minorEastAsia"/>
          <w:bCs/>
          <w:kern w:val="0"/>
          <w:sz w:val="24"/>
        </w:rPr>
        <w:t>总监理工程师、总监理工程师代表</w:t>
      </w:r>
      <w:r>
        <w:rPr>
          <w:rFonts w:asciiTheme="minorEastAsia" w:hAnsiTheme="minorEastAsia" w:eastAsiaTheme="minorEastAsia"/>
          <w:bCs/>
          <w:kern w:val="0"/>
          <w:sz w:val="24"/>
        </w:rPr>
        <w:t>为</w:t>
      </w:r>
      <w:r>
        <w:rPr>
          <w:rFonts w:hint="eastAsia" w:asciiTheme="minorEastAsia" w:hAnsiTheme="minorEastAsia" w:eastAsiaTheme="minorEastAsia"/>
          <w:bCs/>
          <w:kern w:val="0"/>
          <w:sz w:val="24"/>
        </w:rPr>
        <w:t>陆仟</w:t>
      </w:r>
      <w:r>
        <w:rPr>
          <w:rFonts w:asciiTheme="minorEastAsia" w:hAnsiTheme="minorEastAsia" w:eastAsiaTheme="minorEastAsia"/>
          <w:bCs/>
          <w:kern w:val="0"/>
          <w:sz w:val="24"/>
        </w:rPr>
        <w:t>元/人·</w:t>
      </w:r>
      <w:r>
        <w:rPr>
          <w:rFonts w:hint="eastAsia" w:asciiTheme="minorEastAsia" w:hAnsiTheme="minorEastAsia" w:eastAsiaTheme="minorEastAsia"/>
          <w:bCs/>
          <w:kern w:val="0"/>
          <w:sz w:val="24"/>
        </w:rPr>
        <w:t>日</w:t>
      </w:r>
      <w:r>
        <w:rPr>
          <w:rFonts w:asciiTheme="minorEastAsia" w:hAnsiTheme="minorEastAsia" w:eastAsiaTheme="minorEastAsia"/>
          <w:bCs/>
          <w:kern w:val="0"/>
          <w:sz w:val="24"/>
        </w:rPr>
        <w:t>，</w:t>
      </w:r>
      <w:r>
        <w:rPr>
          <w:rFonts w:hint="eastAsia" w:asciiTheme="minorEastAsia" w:hAnsiTheme="minorEastAsia" w:eastAsiaTheme="minorEastAsia"/>
          <w:bCs/>
          <w:sz w:val="24"/>
        </w:rPr>
        <w:t>安全总监、合约计量工程师、</w:t>
      </w:r>
      <w:r>
        <w:rPr>
          <w:rFonts w:asciiTheme="minorEastAsia" w:hAnsiTheme="minorEastAsia" w:eastAsiaTheme="minorEastAsia"/>
          <w:bCs/>
          <w:sz w:val="24"/>
        </w:rPr>
        <w:t>试验检测工程师</w:t>
      </w:r>
      <w:r>
        <w:rPr>
          <w:rFonts w:hint="eastAsia" w:asciiTheme="minorEastAsia" w:hAnsiTheme="minorEastAsia" w:eastAsiaTheme="minorEastAsia"/>
          <w:bCs/>
          <w:sz w:val="24"/>
        </w:rPr>
        <w:t>、测量工程师为肆仟</w:t>
      </w:r>
      <w:r>
        <w:rPr>
          <w:rFonts w:asciiTheme="minorEastAsia" w:hAnsiTheme="minorEastAsia" w:eastAsiaTheme="minorEastAsia"/>
          <w:bCs/>
          <w:sz w:val="24"/>
        </w:rPr>
        <w:t>元/人·</w:t>
      </w:r>
      <w:r>
        <w:rPr>
          <w:rFonts w:hint="eastAsia" w:asciiTheme="minorEastAsia" w:hAnsiTheme="minorEastAsia" w:eastAsiaTheme="minorEastAsia"/>
          <w:bCs/>
          <w:sz w:val="24"/>
        </w:rPr>
        <w:t>日，其他专业监理工程师为叁仟</w:t>
      </w:r>
      <w:r>
        <w:rPr>
          <w:rFonts w:asciiTheme="minorEastAsia" w:hAnsiTheme="minorEastAsia" w:eastAsiaTheme="minorEastAsia"/>
          <w:bCs/>
          <w:sz w:val="24"/>
        </w:rPr>
        <w:t>元/人·</w:t>
      </w:r>
      <w:r>
        <w:rPr>
          <w:rFonts w:hint="eastAsia" w:asciiTheme="minorEastAsia" w:hAnsiTheme="minorEastAsia" w:eastAsiaTheme="minorEastAsia"/>
          <w:bCs/>
          <w:sz w:val="24"/>
        </w:rPr>
        <w:t>日</w:t>
      </w:r>
      <w:r>
        <w:rPr>
          <w:rFonts w:hint="eastAsia" w:asciiTheme="minorEastAsia" w:hAnsiTheme="minorEastAsia" w:eastAsiaTheme="minorEastAsia"/>
          <w:bCs/>
          <w:kern w:val="0"/>
          <w:sz w:val="24"/>
        </w:rPr>
        <w:t>。监理人员</w:t>
      </w:r>
      <w:r>
        <w:rPr>
          <w:rFonts w:asciiTheme="minorEastAsia" w:hAnsiTheme="minorEastAsia" w:eastAsiaTheme="minorEastAsia"/>
          <w:bCs/>
          <w:kern w:val="0"/>
          <w:sz w:val="24"/>
        </w:rPr>
        <w:t>擅自</w:t>
      </w:r>
      <w:r>
        <w:rPr>
          <w:rFonts w:hint="eastAsia" w:asciiTheme="minorEastAsia" w:hAnsiTheme="minorEastAsia" w:eastAsiaTheme="minorEastAsia"/>
          <w:bCs/>
          <w:kern w:val="0"/>
          <w:sz w:val="24"/>
        </w:rPr>
        <w:t>缺岗情节严重的，委托人可以解除合同。擅自缺岗违约金累计最高限额为签约合同价的10%。</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6）监理人人员存在有接受承包人吃请、礼物、礼金及其他利益安排等有违廉洁自律的情况的，监理人应按照以下标准向委托人支付违约金，违约金标准为：总监理工程师、总监理工程师代表、安全总监为伍万元/人·次，专业监理工程师为叁万元/人·次，如因此给委托人造成损失的，监理人还应按照本合同4.1.1条约定向委托人承担赔偿责任。</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7</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监理人</w:t>
      </w:r>
      <w:r>
        <w:rPr>
          <w:rFonts w:asciiTheme="minorEastAsia" w:hAnsiTheme="minorEastAsia" w:eastAsiaTheme="minorEastAsia"/>
          <w:bCs/>
          <w:kern w:val="0"/>
          <w:sz w:val="24"/>
        </w:rPr>
        <w:t>擅自聘用未经委托人同意的人员从事监理工作，一经发现，</w:t>
      </w:r>
      <w:r>
        <w:rPr>
          <w:rFonts w:hint="eastAsia" w:asciiTheme="minorEastAsia" w:hAnsiTheme="minorEastAsia" w:eastAsiaTheme="minorEastAsia"/>
          <w:bCs/>
          <w:kern w:val="0"/>
          <w:sz w:val="24"/>
        </w:rPr>
        <w:t>限期</w:t>
      </w:r>
      <w:r>
        <w:rPr>
          <w:rFonts w:asciiTheme="minorEastAsia" w:hAnsiTheme="minorEastAsia" w:eastAsiaTheme="minorEastAsia"/>
          <w:bCs/>
          <w:kern w:val="0"/>
          <w:sz w:val="24"/>
        </w:rPr>
        <w:t>撤换该人员</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并</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元/人·次</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8</w:t>
      </w:r>
      <w:r>
        <w:rPr>
          <w:rFonts w:asciiTheme="minorEastAsia" w:hAnsiTheme="minorEastAsia" w:eastAsiaTheme="minorEastAsia"/>
          <w:bCs/>
          <w:kern w:val="0"/>
          <w:sz w:val="24"/>
        </w:rPr>
        <w:t>）未经委托人同意的人员签认监理资料，一经发现，监理资料无效，</w:t>
      </w:r>
      <w:r>
        <w:rPr>
          <w:rFonts w:hint="eastAsia" w:asciiTheme="minorEastAsia" w:hAnsiTheme="minorEastAsia" w:eastAsiaTheme="minorEastAsia"/>
          <w:bCs/>
          <w:kern w:val="0"/>
          <w:sz w:val="24"/>
        </w:rPr>
        <w:t>限期</w:t>
      </w:r>
      <w:r>
        <w:rPr>
          <w:rFonts w:asciiTheme="minorEastAsia" w:hAnsiTheme="minorEastAsia" w:eastAsiaTheme="minorEastAsia"/>
          <w:bCs/>
          <w:kern w:val="0"/>
          <w:sz w:val="24"/>
        </w:rPr>
        <w:t>撤换该人员并</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元/次</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9</w:t>
      </w:r>
      <w:r>
        <w:rPr>
          <w:rFonts w:asciiTheme="minorEastAsia" w:hAnsiTheme="minorEastAsia" w:eastAsiaTheme="minorEastAsia"/>
          <w:bCs/>
          <w:kern w:val="0"/>
          <w:sz w:val="24"/>
        </w:rPr>
        <w:t>）监理资料存在代签现象，一经发现，监理资料无效，</w:t>
      </w:r>
      <w:r>
        <w:rPr>
          <w:rFonts w:hint="eastAsia" w:asciiTheme="minorEastAsia" w:hAnsiTheme="minorEastAsia" w:eastAsiaTheme="minorEastAsia"/>
          <w:bCs/>
          <w:kern w:val="0"/>
          <w:sz w:val="24"/>
        </w:rPr>
        <w:t>限期整改，</w:t>
      </w:r>
      <w:r>
        <w:rPr>
          <w:rFonts w:asciiTheme="minorEastAsia" w:hAnsiTheme="minorEastAsia" w:eastAsiaTheme="minorEastAsia"/>
          <w:bCs/>
          <w:kern w:val="0"/>
          <w:sz w:val="24"/>
        </w:rPr>
        <w:t>并</w:t>
      </w:r>
      <w:r>
        <w:rPr>
          <w:rFonts w:hint="eastAsia" w:asciiTheme="minorEastAsia" w:hAnsiTheme="minorEastAsia" w:eastAsiaTheme="minorEastAsia"/>
          <w:bCs/>
          <w:kern w:val="0"/>
          <w:sz w:val="24"/>
        </w:rPr>
        <w:t>按照贰仟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（10）</w:t>
      </w:r>
      <w:r>
        <w:rPr>
          <w:rFonts w:hint="eastAsia" w:asciiTheme="minorEastAsia" w:hAnsiTheme="minorEastAsia" w:eastAsiaTheme="minorEastAsia"/>
          <w:bCs/>
          <w:kern w:val="0"/>
          <w:sz w:val="24"/>
        </w:rPr>
        <w:t>履约过程中，总监理工程师或总监理工程师代表出现在其他项目兼职兼任情况，</w:t>
      </w:r>
      <w:r>
        <w:rPr>
          <w:rFonts w:asciiTheme="minorEastAsia" w:hAnsiTheme="minorEastAsia" w:eastAsiaTheme="minorEastAsia"/>
          <w:bCs/>
          <w:kern w:val="0"/>
          <w:sz w:val="24"/>
        </w:rPr>
        <w:t>监理人</w:t>
      </w:r>
      <w:r>
        <w:rPr>
          <w:rFonts w:hint="eastAsia" w:asciiTheme="minorEastAsia" w:hAnsiTheme="minorEastAsia" w:eastAsiaTheme="minorEastAsia"/>
          <w:bCs/>
          <w:kern w:val="0"/>
          <w:sz w:val="24"/>
        </w:rPr>
        <w:t>按叁万</w:t>
      </w:r>
      <w:r>
        <w:rPr>
          <w:rFonts w:asciiTheme="minorEastAsia" w:hAnsiTheme="minorEastAsia" w:eastAsiaTheme="minorEastAsia"/>
          <w:bCs/>
          <w:kern w:val="0"/>
          <w:sz w:val="24"/>
        </w:rPr>
        <w:t>元/人标准</w:t>
      </w:r>
      <w:r>
        <w:rPr>
          <w:rFonts w:hint="eastAsia" w:asciiTheme="minorEastAsia" w:hAnsiTheme="minorEastAsia" w:eastAsiaTheme="minorEastAsia"/>
          <w:bCs/>
          <w:kern w:val="0"/>
          <w:sz w:val="24"/>
        </w:rPr>
        <w:t>向委托</w:t>
      </w:r>
      <w:r>
        <w:rPr>
          <w:rFonts w:asciiTheme="minorEastAsia" w:hAnsiTheme="minorEastAsia" w:eastAsiaTheme="minorEastAsia"/>
          <w:bCs/>
          <w:kern w:val="0"/>
          <w:sz w:val="24"/>
        </w:rPr>
        <w:t>人支付违约金，并要求其在7天内办理完毕所兼职项目的解除兼职手续；监理人未在上述期限内办理完毕解除兼职手续的，从发出通知之日起至监理人完成解除兼职手续之日止，委托人将按壹万元/天的标准要求监理人支付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11</w:t>
      </w:r>
      <w:r>
        <w:rPr>
          <w:rFonts w:asciiTheme="minorEastAsia" w:hAnsiTheme="minorEastAsia" w:eastAsiaTheme="minorEastAsia"/>
          <w:bCs/>
          <w:kern w:val="0"/>
          <w:sz w:val="24"/>
        </w:rPr>
        <w:t>）检测仪器及设备等未按投标文件承诺的数量、规格、时间进场的，</w:t>
      </w:r>
      <w:r>
        <w:rPr>
          <w:rFonts w:hint="eastAsia" w:asciiTheme="minorEastAsia" w:hAnsiTheme="minorEastAsia" w:eastAsiaTheme="minorEastAsia"/>
          <w:bCs/>
          <w:kern w:val="0"/>
          <w:sz w:val="24"/>
        </w:rPr>
        <w:t>限期整改，并按照壹仟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件</w:t>
      </w:r>
      <w:r>
        <w:rPr>
          <w:rFonts w:asciiTheme="minorEastAsia" w:hAnsiTheme="minorEastAsia" w:eastAsiaTheme="minorEastAsia"/>
          <w:bCs/>
          <w:kern w:val="0"/>
          <w:sz w:val="24"/>
        </w:rPr>
        <w:t>·天</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2</w:t>
      </w:r>
      <w:r>
        <w:rPr>
          <w:rFonts w:asciiTheme="minorEastAsia" w:hAnsiTheme="minorEastAsia" w:eastAsiaTheme="minorEastAsia"/>
          <w:bCs/>
          <w:kern w:val="0"/>
          <w:sz w:val="24"/>
        </w:rPr>
        <w:t>）检测仪器及设备等在监理服务期间，不能保持良好运作性能的，应</w:t>
      </w:r>
      <w:r>
        <w:rPr>
          <w:rFonts w:hint="eastAsia" w:asciiTheme="minorEastAsia" w:hAnsiTheme="minorEastAsia" w:eastAsiaTheme="minorEastAsia"/>
          <w:bCs/>
          <w:kern w:val="0"/>
          <w:sz w:val="24"/>
        </w:rPr>
        <w:t>按照委托人的要求的期限</w:t>
      </w:r>
      <w:r>
        <w:rPr>
          <w:rFonts w:asciiTheme="minorEastAsia" w:hAnsiTheme="minorEastAsia" w:eastAsiaTheme="minorEastAsia"/>
          <w:bCs/>
          <w:kern w:val="0"/>
          <w:sz w:val="24"/>
        </w:rPr>
        <w:t>更换，否则</w:t>
      </w:r>
      <w:r>
        <w:rPr>
          <w:rFonts w:hint="eastAsia" w:asciiTheme="minorEastAsia" w:hAnsiTheme="minorEastAsia" w:eastAsiaTheme="minorEastAsia"/>
          <w:bCs/>
          <w:kern w:val="0"/>
          <w:sz w:val="24"/>
        </w:rPr>
        <w:t>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件</w:t>
      </w:r>
      <w:r>
        <w:rPr>
          <w:rFonts w:asciiTheme="minorEastAsia" w:hAnsiTheme="minorEastAsia" w:eastAsiaTheme="minorEastAsia"/>
          <w:bCs/>
          <w:kern w:val="0"/>
          <w:sz w:val="24"/>
        </w:rPr>
        <w:t>·天</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）监理合同签订后，未能在开工前将监理规划和监理实施细则报送委托人的，每延误一天</w:t>
      </w:r>
      <w:r>
        <w:rPr>
          <w:rFonts w:hint="eastAsia" w:asciiTheme="minorEastAsia" w:hAnsiTheme="minorEastAsia" w:eastAsiaTheme="minorEastAsia"/>
          <w:bCs/>
          <w:kern w:val="0"/>
          <w:sz w:val="24"/>
        </w:rPr>
        <w:t>按照壹仟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4</w:t>
      </w:r>
      <w:r>
        <w:rPr>
          <w:rFonts w:asciiTheme="minorEastAsia" w:hAnsiTheme="minorEastAsia" w:eastAsiaTheme="minorEastAsia"/>
          <w:bCs/>
          <w:kern w:val="0"/>
          <w:sz w:val="24"/>
        </w:rPr>
        <w:t>）未能在相应工程项目开工前</w:t>
      </w:r>
      <w:r>
        <w:rPr>
          <w:rFonts w:hint="eastAsia" w:asciiTheme="minorEastAsia" w:hAnsiTheme="minorEastAsia" w:eastAsiaTheme="minorEastAsia"/>
          <w:bCs/>
          <w:kern w:val="0"/>
          <w:sz w:val="24"/>
        </w:rPr>
        <w:t>按照委托人要求的期限</w:t>
      </w:r>
      <w:r>
        <w:rPr>
          <w:rFonts w:asciiTheme="minorEastAsia" w:hAnsiTheme="minorEastAsia" w:eastAsiaTheme="minorEastAsia"/>
          <w:bCs/>
          <w:kern w:val="0"/>
          <w:sz w:val="24"/>
        </w:rPr>
        <w:t>组织施工图会审或审查承包单位报送的施工组织设计（方案）的，</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/天的标准向委托人支付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5</w:t>
      </w:r>
      <w:r>
        <w:rPr>
          <w:rFonts w:asciiTheme="minorEastAsia" w:hAnsiTheme="minorEastAsia" w:eastAsiaTheme="minorEastAsia"/>
          <w:bCs/>
          <w:kern w:val="0"/>
          <w:sz w:val="24"/>
        </w:rPr>
        <w:t>）未能督促承包人履行质量安全文明施工责任的，受到委托人</w:t>
      </w:r>
      <w:r>
        <w:rPr>
          <w:rFonts w:hint="eastAsia" w:asciiTheme="minorEastAsia" w:hAnsiTheme="minorEastAsia" w:eastAsiaTheme="minorEastAsia"/>
          <w:bCs/>
          <w:kern w:val="0"/>
          <w:sz w:val="24"/>
        </w:rPr>
        <w:t>及相关主管部门</w:t>
      </w:r>
      <w:r>
        <w:rPr>
          <w:rFonts w:asciiTheme="minorEastAsia" w:hAnsiTheme="minorEastAsia" w:eastAsiaTheme="minorEastAsia"/>
          <w:bCs/>
          <w:kern w:val="0"/>
          <w:sz w:val="24"/>
        </w:rPr>
        <w:t>通报</w:t>
      </w:r>
      <w:r>
        <w:rPr>
          <w:rFonts w:hint="eastAsia" w:asciiTheme="minorEastAsia" w:hAnsiTheme="minorEastAsia" w:eastAsiaTheme="minorEastAsia"/>
          <w:bCs/>
          <w:kern w:val="0"/>
          <w:sz w:val="24"/>
        </w:rPr>
        <w:t>批评</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按照壹万</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伍万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6</w:t>
      </w:r>
      <w:r>
        <w:rPr>
          <w:rFonts w:asciiTheme="minorEastAsia" w:hAnsiTheme="minorEastAsia" w:eastAsiaTheme="minorEastAsia"/>
          <w:bCs/>
          <w:kern w:val="0"/>
          <w:sz w:val="24"/>
        </w:rPr>
        <w:t>）怠于履行工程质量控制监理工作，导致工程施工出现工程质量事故的，</w:t>
      </w:r>
      <w:r>
        <w:rPr>
          <w:rFonts w:hint="eastAsia" w:asciiTheme="minorEastAsia" w:hAnsiTheme="minorEastAsia" w:eastAsiaTheme="minorEastAsia"/>
          <w:bCs/>
          <w:kern w:val="0"/>
          <w:sz w:val="24"/>
        </w:rPr>
        <w:t>赔偿由此给委托人造成的全部损失，并按照壹拾万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7</w:t>
      </w:r>
      <w:r>
        <w:rPr>
          <w:rFonts w:asciiTheme="minorEastAsia" w:hAnsiTheme="minorEastAsia" w:eastAsiaTheme="minorEastAsia"/>
          <w:bCs/>
          <w:kern w:val="0"/>
          <w:sz w:val="24"/>
        </w:rPr>
        <w:t>）按规定或委托人要求需进行旁站而不进行旁站监理的，</w:t>
      </w:r>
      <w:r>
        <w:rPr>
          <w:rFonts w:hint="eastAsia" w:asciiTheme="minorEastAsia" w:hAnsiTheme="minorEastAsia" w:eastAsiaTheme="minorEastAsia"/>
          <w:bCs/>
          <w:kern w:val="0"/>
          <w:sz w:val="24"/>
        </w:rPr>
        <w:t>按照贰万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8</w:t>
      </w:r>
      <w:r>
        <w:rPr>
          <w:rFonts w:asciiTheme="minorEastAsia" w:hAnsiTheme="minorEastAsia" w:eastAsiaTheme="minorEastAsia"/>
          <w:bCs/>
          <w:kern w:val="0"/>
          <w:sz w:val="24"/>
        </w:rPr>
        <w:t>）未尽监理职责，对设计人编制的图纸出现重大错误未发现或未提出意见的，</w:t>
      </w:r>
      <w:r>
        <w:rPr>
          <w:rFonts w:hint="eastAsia" w:asciiTheme="minorEastAsia" w:hAnsiTheme="minorEastAsia" w:eastAsiaTheme="minorEastAsia"/>
          <w:bCs/>
          <w:kern w:val="0"/>
          <w:sz w:val="24"/>
        </w:rPr>
        <w:t>按照伍万</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9</w:t>
      </w:r>
      <w:r>
        <w:rPr>
          <w:rFonts w:asciiTheme="minorEastAsia" w:hAnsiTheme="minorEastAsia" w:eastAsiaTheme="minorEastAsia"/>
          <w:bCs/>
          <w:kern w:val="0"/>
          <w:sz w:val="24"/>
        </w:rPr>
        <w:t>）对工程计量、现场签证及工程进度款支付出现错误，</w:t>
      </w:r>
      <w:r>
        <w:rPr>
          <w:rFonts w:hint="eastAsia" w:asciiTheme="minorEastAsia" w:hAnsiTheme="minorEastAsia" w:eastAsiaTheme="minorEastAsia"/>
          <w:bCs/>
          <w:kern w:val="0"/>
          <w:sz w:val="24"/>
        </w:rPr>
        <w:t>按照伍仟元/次的标准向委托人支付</w:t>
      </w:r>
      <w:r>
        <w:rPr>
          <w:rFonts w:asciiTheme="minorEastAsia" w:hAnsiTheme="minorEastAsia" w:eastAsiaTheme="minorEastAsia"/>
          <w:bCs/>
          <w:kern w:val="0"/>
          <w:sz w:val="24"/>
        </w:rPr>
        <w:t>违约金</w:t>
      </w:r>
      <w:r>
        <w:rPr>
          <w:rFonts w:hint="eastAsia" w:asciiTheme="minorEastAsia" w:hAnsiTheme="minorEastAsia" w:eastAsiaTheme="minorEastAsia"/>
          <w:bCs/>
          <w:kern w:val="0"/>
          <w:sz w:val="24"/>
        </w:rPr>
        <w:t>。</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20</w:t>
      </w:r>
      <w:r>
        <w:rPr>
          <w:rFonts w:asciiTheme="minorEastAsia" w:hAnsiTheme="minorEastAsia" w:eastAsiaTheme="minorEastAsia"/>
          <w:bCs/>
          <w:kern w:val="0"/>
          <w:sz w:val="24"/>
        </w:rPr>
        <w:t>）未按时提交月报、监理总结、质量评估报告、安全月报的，</w:t>
      </w:r>
      <w:r>
        <w:rPr>
          <w:rFonts w:hint="eastAsia" w:asciiTheme="minorEastAsia" w:hAnsiTheme="minorEastAsia" w:eastAsiaTheme="minorEastAsia"/>
          <w:bCs/>
          <w:kern w:val="0"/>
          <w:sz w:val="24"/>
        </w:rPr>
        <w:t>限期整改，并按照贰仟</w:t>
      </w:r>
      <w:r>
        <w:rPr>
          <w:rFonts w:asciiTheme="minorEastAsia" w:hAnsiTheme="minorEastAsia" w:eastAsiaTheme="minorEastAsia"/>
          <w:bCs/>
          <w:kern w:val="0"/>
          <w:sz w:val="24"/>
        </w:rPr>
        <w:t>元</w:t>
      </w:r>
      <w:r>
        <w:rPr>
          <w:rFonts w:hint="eastAsia" w:asciiTheme="minorEastAsia" w:hAnsiTheme="minorEastAsia" w:eastAsiaTheme="minorEastAsia"/>
          <w:bCs/>
          <w:kern w:val="0"/>
          <w:sz w:val="24"/>
        </w:rPr>
        <w:t>/次的标准向委托人支付</w:t>
      </w:r>
      <w:r>
        <w:rPr>
          <w:rFonts w:asciiTheme="minorEastAsia" w:hAnsiTheme="minorEastAsia" w:eastAsiaTheme="minorEastAsia"/>
          <w:bCs/>
          <w:kern w:val="0"/>
          <w:sz w:val="24"/>
        </w:rPr>
        <w:t>违约金。</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22</w:t>
      </w:r>
      <w:r>
        <w:rPr>
          <w:rFonts w:asciiTheme="minorEastAsia" w:hAnsiTheme="minorEastAsia" w:eastAsiaTheme="minorEastAsia"/>
          <w:bCs/>
          <w:kern w:val="0"/>
          <w:sz w:val="24"/>
        </w:rPr>
        <w:t>）利用监理职权谋取任何不正当利益，</w:t>
      </w:r>
      <w:r>
        <w:rPr>
          <w:rFonts w:hint="eastAsia" w:asciiTheme="minorEastAsia" w:hAnsiTheme="minorEastAsia" w:eastAsiaTheme="minorEastAsia"/>
          <w:bCs/>
          <w:kern w:val="0"/>
          <w:sz w:val="24"/>
        </w:rPr>
        <w:t>将所获取的不当利益交委托人；并按照所获利益的两倍向委托人支付违约金；涉及犯罪的，移交司法机关</w:t>
      </w:r>
      <w:r>
        <w:rPr>
          <w:rFonts w:asciiTheme="minorEastAsia" w:hAnsiTheme="minorEastAsia" w:eastAsiaTheme="minorEastAsia"/>
          <w:bCs/>
          <w:kern w:val="0"/>
          <w:sz w:val="24"/>
        </w:rPr>
        <w:t>。</w:t>
      </w:r>
    </w:p>
    <w:p>
      <w:pPr>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（23）</w:t>
      </w:r>
      <w:r>
        <w:rPr>
          <w:rFonts w:asciiTheme="minorEastAsia" w:hAnsiTheme="minorEastAsia" w:eastAsiaTheme="minorEastAsia"/>
          <w:bCs/>
          <w:kern w:val="0"/>
          <w:sz w:val="24"/>
        </w:rPr>
        <w:t>监理人将本监理合同规定的权利、义务转让</w:t>
      </w:r>
      <w:r>
        <w:rPr>
          <w:rFonts w:hint="eastAsia" w:asciiTheme="minorEastAsia" w:hAnsiTheme="minorEastAsia" w:eastAsiaTheme="minorEastAsia"/>
          <w:bCs/>
          <w:kern w:val="0"/>
          <w:sz w:val="24"/>
        </w:rPr>
        <w:t>给任何</w:t>
      </w:r>
      <w:r>
        <w:rPr>
          <w:rFonts w:asciiTheme="minorEastAsia" w:hAnsiTheme="minorEastAsia" w:eastAsiaTheme="minorEastAsia"/>
          <w:bCs/>
          <w:kern w:val="0"/>
          <w:sz w:val="24"/>
        </w:rPr>
        <w:t>第三人</w:t>
      </w:r>
      <w:r>
        <w:rPr>
          <w:rFonts w:hint="eastAsia" w:asciiTheme="minorEastAsia" w:hAnsiTheme="minorEastAsia" w:eastAsiaTheme="minorEastAsia"/>
          <w:bCs/>
          <w:kern w:val="0"/>
          <w:sz w:val="24"/>
        </w:rPr>
        <w:t>或将监理服务分包的，经委托人提出，监理人予以改正的，监理人应按照签约合同价款的10%向委托人支付违约金；经委托人提出，监理人拒不改正的，监理人应按照签约合同价款的20%向委托人支付违约金，同时，委托人有权解除合同</w:t>
      </w:r>
      <w:r>
        <w:rPr>
          <w:rFonts w:asciiTheme="minorEastAsia" w:hAnsiTheme="minorEastAsia" w:eastAsiaTheme="minorEastAsia"/>
          <w:bCs/>
          <w:kern w:val="0"/>
          <w:sz w:val="24"/>
        </w:rPr>
        <w:t>。</w:t>
      </w:r>
    </w:p>
    <w:p>
      <w:pPr>
        <w:adjustRightInd w:val="0"/>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4）监理人对施工人员的不当行为未及时制止、处理，并向委托人报告的，应向委托人支付伍仟</w:t>
      </w:r>
      <w:r>
        <w:rPr>
          <w:rFonts w:asciiTheme="minorEastAsia" w:hAnsiTheme="minorEastAsia" w:eastAsiaTheme="minorEastAsia"/>
          <w:bCs/>
          <w:kern w:val="0"/>
          <w:sz w:val="24"/>
        </w:rPr>
        <w:t>元/次的</w:t>
      </w:r>
      <w:r>
        <w:rPr>
          <w:rFonts w:hint="eastAsia" w:asciiTheme="minorEastAsia" w:hAnsiTheme="minorEastAsia" w:eastAsiaTheme="minorEastAsia"/>
          <w:bCs/>
          <w:kern w:val="0"/>
          <w:sz w:val="24"/>
        </w:rPr>
        <w:t>违约金。</w:t>
      </w:r>
    </w:p>
    <w:p>
      <w:pPr>
        <w:keepNext/>
        <w:keepLines/>
        <w:spacing w:line="288" w:lineRule="auto"/>
        <w:outlineLvl w:val="2"/>
        <w:rPr>
          <w:rFonts w:asciiTheme="minorEastAsia" w:hAnsiTheme="minorEastAsia" w:eastAsiaTheme="minorEastAsia"/>
          <w:b/>
          <w:sz w:val="24"/>
        </w:rPr>
      </w:pPr>
      <w:bookmarkStart w:id="1224" w:name="_Toc499204996"/>
      <w:bookmarkStart w:id="1225" w:name="_Toc496098776"/>
      <w:bookmarkStart w:id="1226" w:name="_Toc28329"/>
      <w:bookmarkStart w:id="1227" w:name="_Toc29570"/>
      <w:bookmarkStart w:id="1228" w:name="_Toc443898862"/>
      <w:bookmarkStart w:id="1229" w:name="_Toc19114"/>
      <w:r>
        <w:rPr>
          <w:rFonts w:asciiTheme="minorEastAsia" w:hAnsiTheme="minorEastAsia" w:eastAsiaTheme="minorEastAsia"/>
          <w:b/>
          <w:sz w:val="24"/>
        </w:rPr>
        <w:t xml:space="preserve">4.3  </w:t>
      </w:r>
      <w:r>
        <w:rPr>
          <w:rFonts w:hint="eastAsia" w:asciiTheme="minorEastAsia" w:hAnsiTheme="minorEastAsia" w:eastAsiaTheme="minorEastAsia"/>
          <w:b/>
          <w:sz w:val="24"/>
        </w:rPr>
        <w:t>除外责任</w:t>
      </w:r>
      <w:bookmarkEnd w:id="1224"/>
      <w:bookmarkEnd w:id="1225"/>
      <w:bookmarkEnd w:id="1226"/>
      <w:bookmarkEnd w:id="1227"/>
      <w:bookmarkEnd w:id="1228"/>
      <w:bookmarkEnd w:id="1229"/>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补充约定：</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履约期间发生不可抗力事件后，监理人应在不可抗力事件结束后48小时内，向委托人通报受损情况以及预计恢复的费用；持续发生时，监理人应每隔7日向委托人报告一次受损情况，直至不可抗力事件结束后14日内，向委托人正式提交受损情况及预计恢复费用的书面报告和有关资料。</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如果不可抗力严重影响合同以致无法继续履行，委托人有权通知监理人解除合同。一旦发出此项通知，本合同即告终止，但不损害任何一方对另一方在此以前发生的任何违约所应享有的</w:t>
      </w:r>
      <w:r>
        <w:rPr>
          <w:rFonts w:hint="eastAsia" w:asciiTheme="minorEastAsia" w:hAnsiTheme="minorEastAsia" w:eastAsiaTheme="minorEastAsia"/>
          <w:bCs/>
          <w:kern w:val="0"/>
          <w:sz w:val="24"/>
        </w:rPr>
        <w:t>追责</w:t>
      </w:r>
      <w:r>
        <w:rPr>
          <w:rFonts w:asciiTheme="minorEastAsia" w:hAnsiTheme="minorEastAsia" w:eastAsiaTheme="minorEastAsia"/>
          <w:bCs/>
          <w:kern w:val="0"/>
          <w:sz w:val="24"/>
        </w:rPr>
        <w:t>权利。</w:t>
      </w:r>
    </w:p>
    <w:p>
      <w:pPr>
        <w:adjustRightInd w:val="0"/>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因出现不可抗力致使本合同不能履行或仅能部分履行时，委托人应向监理人支付</w:t>
      </w:r>
      <w:r>
        <w:rPr>
          <w:rFonts w:hint="eastAsia" w:asciiTheme="minorEastAsia" w:hAnsiTheme="minorEastAsia" w:eastAsiaTheme="minorEastAsia"/>
          <w:bCs/>
          <w:kern w:val="0"/>
          <w:sz w:val="24"/>
        </w:rPr>
        <w:t>合同</w:t>
      </w:r>
      <w:r>
        <w:rPr>
          <w:rFonts w:asciiTheme="minorEastAsia" w:hAnsiTheme="minorEastAsia" w:eastAsiaTheme="minorEastAsia"/>
          <w:bCs/>
          <w:kern w:val="0"/>
          <w:sz w:val="24"/>
        </w:rPr>
        <w:t>终止之日前</w:t>
      </w:r>
      <w:r>
        <w:rPr>
          <w:rFonts w:hint="eastAsia" w:asciiTheme="minorEastAsia" w:hAnsiTheme="minorEastAsia" w:eastAsiaTheme="minorEastAsia"/>
          <w:bCs/>
          <w:kern w:val="0"/>
          <w:sz w:val="24"/>
        </w:rPr>
        <w:t>的</w:t>
      </w:r>
      <w:r>
        <w:rPr>
          <w:rFonts w:asciiTheme="minorEastAsia" w:hAnsiTheme="minorEastAsia" w:eastAsiaTheme="minorEastAsia"/>
          <w:bCs/>
          <w:kern w:val="0"/>
          <w:sz w:val="24"/>
        </w:rPr>
        <w:t>监理服务费用；由此产生的任何损失、损害或延误等，双方各负其责。</w:t>
      </w:r>
    </w:p>
    <w:p>
      <w:pPr>
        <w:keepNext/>
        <w:keepLines/>
        <w:spacing w:beforeLines="50" w:afterLines="50" w:line="288" w:lineRule="auto"/>
        <w:outlineLvl w:val="1"/>
        <w:rPr>
          <w:rFonts w:asciiTheme="minorEastAsia" w:hAnsiTheme="minorEastAsia" w:eastAsiaTheme="minorEastAsia"/>
          <w:b/>
          <w:bCs/>
          <w:sz w:val="24"/>
        </w:rPr>
      </w:pPr>
      <w:bookmarkStart w:id="1230" w:name="_Toc13683"/>
      <w:bookmarkStart w:id="1231" w:name="_Toc496098777"/>
      <w:bookmarkStart w:id="1232" w:name="_Toc16096"/>
      <w:bookmarkStart w:id="1233" w:name="_Toc443898863"/>
      <w:r>
        <w:rPr>
          <w:rFonts w:asciiTheme="minorEastAsia" w:hAnsiTheme="minorEastAsia" w:eastAsiaTheme="minorEastAsia"/>
          <w:b/>
          <w:bCs/>
          <w:sz w:val="24"/>
        </w:rPr>
        <w:t xml:space="preserve">5. </w:t>
      </w:r>
      <w:r>
        <w:rPr>
          <w:rFonts w:hint="eastAsia" w:asciiTheme="minorEastAsia" w:hAnsiTheme="minorEastAsia" w:eastAsiaTheme="minorEastAsia"/>
          <w:b/>
          <w:bCs/>
          <w:sz w:val="24"/>
        </w:rPr>
        <w:t>支付</w:t>
      </w:r>
      <w:bookmarkEnd w:id="1230"/>
      <w:bookmarkEnd w:id="1231"/>
      <w:bookmarkEnd w:id="1232"/>
      <w:bookmarkEnd w:id="1233"/>
    </w:p>
    <w:p>
      <w:pPr>
        <w:keepNext/>
        <w:keepLines/>
        <w:spacing w:line="288" w:lineRule="auto"/>
        <w:outlineLvl w:val="2"/>
        <w:rPr>
          <w:rFonts w:asciiTheme="minorEastAsia" w:hAnsiTheme="minorEastAsia" w:eastAsiaTheme="minorEastAsia"/>
          <w:b/>
          <w:sz w:val="24"/>
        </w:rPr>
      </w:pPr>
      <w:bookmarkStart w:id="1234" w:name="_Toc443898864"/>
      <w:bookmarkStart w:id="1235" w:name="_Toc4949"/>
      <w:bookmarkStart w:id="1236" w:name="_Toc496098778"/>
      <w:bookmarkStart w:id="1237" w:name="_Toc9544"/>
      <w:bookmarkStart w:id="1238" w:name="_Toc499204998"/>
      <w:bookmarkStart w:id="1239" w:name="_Toc21108"/>
      <w:r>
        <w:rPr>
          <w:rFonts w:asciiTheme="minorEastAsia" w:hAnsiTheme="minorEastAsia" w:eastAsiaTheme="minorEastAsia"/>
          <w:b/>
          <w:sz w:val="24"/>
        </w:rPr>
        <w:t xml:space="preserve">5.1 </w:t>
      </w:r>
      <w:r>
        <w:rPr>
          <w:rFonts w:hint="eastAsia" w:asciiTheme="minorEastAsia" w:hAnsiTheme="minorEastAsia" w:eastAsiaTheme="minorEastAsia"/>
          <w:b/>
          <w:sz w:val="24"/>
        </w:rPr>
        <w:t>支付货币</w:t>
      </w:r>
      <w:bookmarkEnd w:id="1234"/>
      <w:bookmarkEnd w:id="1235"/>
      <w:bookmarkEnd w:id="1236"/>
      <w:bookmarkEnd w:id="1237"/>
      <w:bookmarkEnd w:id="1238"/>
      <w:bookmarkEnd w:id="1239"/>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币种为：人民币，比例为：</w:t>
      </w:r>
      <w:r>
        <w:rPr>
          <w:rFonts w:asciiTheme="minorEastAsia" w:hAnsiTheme="minorEastAsia" w:eastAsiaTheme="minorEastAsia"/>
          <w:bCs/>
          <w:sz w:val="24"/>
          <w:u w:val="single"/>
        </w:rPr>
        <w:t xml:space="preserve"> /  </w:t>
      </w:r>
      <w:r>
        <w:rPr>
          <w:rFonts w:asciiTheme="minorEastAsia" w:hAnsiTheme="minorEastAsia" w:eastAsiaTheme="minorEastAsia"/>
          <w:bCs/>
          <w:sz w:val="24"/>
        </w:rPr>
        <w:t>，汇率为：</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240" w:name="_Toc6806"/>
      <w:bookmarkStart w:id="1241" w:name="_Toc12258"/>
      <w:bookmarkStart w:id="1242" w:name="_Toc499204999"/>
      <w:bookmarkStart w:id="1243" w:name="_Toc21415"/>
      <w:bookmarkStart w:id="1244" w:name="_Toc443898865"/>
      <w:bookmarkStart w:id="1245" w:name="_Toc496098779"/>
      <w:r>
        <w:rPr>
          <w:rFonts w:asciiTheme="minorEastAsia" w:hAnsiTheme="minorEastAsia" w:eastAsiaTheme="minorEastAsia"/>
          <w:b/>
          <w:sz w:val="24"/>
        </w:rPr>
        <w:t xml:space="preserve">5.3 </w:t>
      </w:r>
      <w:r>
        <w:rPr>
          <w:rFonts w:hint="eastAsia" w:asciiTheme="minorEastAsia" w:hAnsiTheme="minorEastAsia" w:eastAsiaTheme="minorEastAsia"/>
          <w:b/>
          <w:sz w:val="24"/>
        </w:rPr>
        <w:t>支付酬金</w:t>
      </w:r>
      <w:bookmarkEnd w:id="1240"/>
      <w:bookmarkEnd w:id="1241"/>
      <w:bookmarkEnd w:id="1242"/>
      <w:bookmarkEnd w:id="1243"/>
      <w:bookmarkEnd w:id="1244"/>
      <w:bookmarkEnd w:id="1245"/>
    </w:p>
    <w:p>
      <w:pPr>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监理服务费</w:t>
      </w:r>
      <w:r>
        <w:rPr>
          <w:rFonts w:hint="eastAsia" w:asciiTheme="minorEastAsia" w:hAnsiTheme="minorEastAsia" w:eastAsiaTheme="minorEastAsia"/>
          <w:bCs/>
          <w:sz w:val="24"/>
        </w:rPr>
        <w:t>费率为</w:t>
      </w:r>
      <w:r>
        <w:rPr>
          <w:rFonts w:asciiTheme="minorEastAsia" w:hAnsiTheme="minorEastAsia" w:eastAsiaTheme="minorEastAsia"/>
          <w:bCs/>
          <w:sz w:val="24"/>
        </w:rPr>
        <w:t>监理人应充分考虑工程规模、监理范围、工作内容、监理难度、工作条件、自身实力和风险因素，充分考虑市场竞争情况，进行</w:t>
      </w:r>
      <w:r>
        <w:rPr>
          <w:rFonts w:hint="eastAsia" w:asciiTheme="minorEastAsia" w:hAnsiTheme="minorEastAsia" w:eastAsiaTheme="minorEastAsia"/>
          <w:bCs/>
          <w:sz w:val="24"/>
        </w:rPr>
        <w:t>的</w:t>
      </w:r>
      <w:r>
        <w:rPr>
          <w:rFonts w:asciiTheme="minorEastAsia" w:hAnsiTheme="minorEastAsia" w:eastAsiaTheme="minorEastAsia"/>
          <w:bCs/>
          <w:sz w:val="24"/>
        </w:rPr>
        <w:t>报价。</w:t>
      </w:r>
      <w:r>
        <w:rPr>
          <w:rFonts w:hint="eastAsia" w:asciiTheme="minorEastAsia" w:hAnsiTheme="minorEastAsia" w:eastAsiaTheme="minorEastAsia"/>
          <w:bCs/>
          <w:sz w:val="24"/>
        </w:rPr>
        <w:t>监理人的具体工作包括：所监理项目范围内施工承包人的所有工作监理，甲供材料设备监理。监理服务费应包括完成上述监理工作服务费用，还应包括</w:t>
      </w:r>
      <w:r>
        <w:rPr>
          <w:rFonts w:asciiTheme="minorEastAsia" w:hAnsiTheme="minorEastAsia" w:eastAsiaTheme="minorEastAsia"/>
          <w:bCs/>
          <w:sz w:val="24"/>
        </w:rPr>
        <w:t>施工阶段监理人员服务费、加班费、食宿费、交通费、办公设备、用品费、监理设备使用维护费、所有自行或者外委试验检测的相关费用</w:t>
      </w:r>
      <w:r>
        <w:rPr>
          <w:rFonts w:hint="eastAsia" w:asciiTheme="minorEastAsia" w:hAnsiTheme="minorEastAsia" w:eastAsiaTheme="minorEastAsia"/>
          <w:bCs/>
          <w:sz w:val="24"/>
        </w:rPr>
        <w:t>、</w:t>
      </w:r>
      <w:r>
        <w:rPr>
          <w:rFonts w:asciiTheme="minorEastAsia" w:hAnsiTheme="minorEastAsia" w:eastAsiaTheme="minorEastAsia"/>
          <w:bCs/>
          <w:sz w:val="24"/>
        </w:rPr>
        <w:t>现场管理费用</w:t>
      </w:r>
      <w:r>
        <w:rPr>
          <w:rFonts w:hint="eastAsia" w:asciiTheme="minorEastAsia" w:hAnsiTheme="minorEastAsia" w:eastAsiaTheme="minorEastAsia"/>
          <w:bCs/>
          <w:sz w:val="24"/>
        </w:rPr>
        <w:t>、</w:t>
      </w:r>
      <w:r>
        <w:rPr>
          <w:rFonts w:asciiTheme="minorEastAsia" w:hAnsiTheme="minorEastAsia" w:eastAsiaTheme="minorEastAsia"/>
          <w:bCs/>
          <w:sz w:val="24"/>
        </w:rPr>
        <w:t>公司管理费用</w:t>
      </w:r>
      <w:r>
        <w:rPr>
          <w:rFonts w:hint="eastAsia" w:asciiTheme="minorEastAsia" w:hAnsiTheme="minorEastAsia" w:eastAsiaTheme="minorEastAsia"/>
          <w:bCs/>
          <w:sz w:val="24"/>
        </w:rPr>
        <w:t>、</w:t>
      </w:r>
      <w:r>
        <w:rPr>
          <w:rFonts w:asciiTheme="minorEastAsia" w:hAnsiTheme="minorEastAsia" w:eastAsiaTheme="minorEastAsia"/>
          <w:bCs/>
          <w:sz w:val="24"/>
        </w:rPr>
        <w:t>监理服务风险费</w:t>
      </w:r>
      <w:r>
        <w:rPr>
          <w:rFonts w:hint="eastAsia" w:asciiTheme="minorEastAsia" w:hAnsiTheme="minorEastAsia" w:eastAsiaTheme="minorEastAsia"/>
          <w:bCs/>
          <w:sz w:val="24"/>
        </w:rPr>
        <w:t>、</w:t>
      </w:r>
      <w:r>
        <w:rPr>
          <w:rFonts w:asciiTheme="minorEastAsia" w:hAnsiTheme="minorEastAsia" w:eastAsiaTheme="minorEastAsia"/>
          <w:bCs/>
          <w:sz w:val="24"/>
        </w:rPr>
        <w:t>利润</w:t>
      </w:r>
      <w:r>
        <w:rPr>
          <w:rFonts w:hint="eastAsia" w:asciiTheme="minorEastAsia" w:hAnsiTheme="minorEastAsia" w:eastAsiaTheme="minorEastAsia"/>
          <w:bCs/>
          <w:sz w:val="24"/>
        </w:rPr>
        <w:t>、</w:t>
      </w:r>
      <w:r>
        <w:rPr>
          <w:rFonts w:asciiTheme="minorEastAsia" w:hAnsiTheme="minorEastAsia" w:eastAsiaTheme="minorEastAsia"/>
          <w:bCs/>
          <w:sz w:val="24"/>
        </w:rPr>
        <w:t>税金等</w:t>
      </w:r>
      <w:r>
        <w:rPr>
          <w:rFonts w:hint="eastAsia" w:asciiTheme="minorEastAsia" w:hAnsiTheme="minorEastAsia" w:eastAsiaTheme="minorEastAsia"/>
          <w:bCs/>
          <w:sz w:val="24"/>
        </w:rPr>
        <w:t>费用。</w:t>
      </w:r>
      <w:r>
        <w:rPr>
          <w:rFonts w:asciiTheme="minorEastAsia" w:hAnsiTheme="minorEastAsia" w:eastAsiaTheme="minorEastAsia"/>
          <w:bCs/>
          <w:sz w:val="24"/>
        </w:rPr>
        <w:t>中标后，所报</w:t>
      </w:r>
      <w:r>
        <w:rPr>
          <w:rFonts w:hint="eastAsia" w:asciiTheme="minorEastAsia" w:hAnsiTheme="minorEastAsia" w:eastAsiaTheme="minorEastAsia"/>
          <w:bCs/>
          <w:sz w:val="24"/>
        </w:rPr>
        <w:t>费率</w:t>
      </w:r>
      <w:r>
        <w:rPr>
          <w:rFonts w:asciiTheme="minorEastAsia" w:hAnsiTheme="minorEastAsia" w:eastAsiaTheme="minorEastAsia"/>
          <w:bCs/>
          <w:sz w:val="24"/>
        </w:rPr>
        <w:t>在合同履行期间保持不变</w:t>
      </w:r>
      <w:r>
        <w:rPr>
          <w:rFonts w:hint="eastAsia" w:asciiTheme="minorEastAsia" w:hAnsiTheme="minorEastAsia" w:eastAsiaTheme="minorEastAsia"/>
          <w:bCs/>
          <w:sz w:val="24"/>
        </w:rPr>
        <w:t>，不因工期提前或顺延而变化。无论何种原因导致监理服务周期调整，均属正常监理工作，委托人不因此另行支付其它费用。</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第5.3.1项中包含招标范围内所对应的所有设备采购、安装合同的监理服务工作。      </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5.3.1付款方式</w:t>
      </w:r>
    </w:p>
    <w:p>
      <w:pPr>
        <w:spacing w:line="288" w:lineRule="auto"/>
        <w:ind w:firstLine="420"/>
        <w:rPr>
          <w:rFonts w:asciiTheme="minorEastAsia" w:hAnsiTheme="minorEastAsia" w:eastAsiaTheme="minorEastAsia"/>
          <w:bCs/>
          <w:kern w:val="0"/>
          <w:sz w:val="24"/>
        </w:rPr>
      </w:pPr>
      <w:r>
        <w:rPr>
          <w:rFonts w:hint="eastAsia" w:ascii="宋体" w:hAnsi="宋体" w:cs="宋体"/>
          <w:sz w:val="24"/>
        </w:rPr>
        <w:t>施工过程中根据工程形象进度支付施工单位工程款时按照本项目中标的监理费费率同比例支付监理费，工程全部竣工且监理人向委托人提供备案所必需由监理人出具的全部资料并履行政府投资项目拨款流程后十个工作日内支付至合同监理费的85%，工程审计结算完成并履行政府投资项目拨款流程后十个工作日内支付至合同监理费的97%。</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5.3.2预付款</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预付款支付比例或金额：</w:t>
      </w:r>
      <w:r>
        <w:rPr>
          <w:rFonts w:hint="eastAsia" w:asciiTheme="minorEastAsia" w:hAnsiTheme="minorEastAsia" w:eastAsiaTheme="minorEastAsia"/>
          <w:bCs/>
          <w:kern w:val="0"/>
          <w:sz w:val="24"/>
          <w:u w:val="single"/>
        </w:rPr>
        <w:t xml:space="preserve"> /</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预付款支付期限</w:t>
      </w:r>
      <w:r>
        <w:rPr>
          <w:rFonts w:hint="eastAsia" w:asciiTheme="minorEastAsia" w:hAnsiTheme="minorEastAsia" w:eastAsiaTheme="minorEastAsia"/>
          <w:bCs/>
          <w:kern w:val="0"/>
          <w:sz w:val="24"/>
          <w:u w:val="single"/>
        </w:rPr>
        <w:t xml:space="preserve">：/ </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预付款扣回的方式： </w:t>
      </w:r>
      <w:r>
        <w:rPr>
          <w:rFonts w:hint="eastAsia" w:asciiTheme="minorEastAsia" w:hAnsiTheme="minorEastAsia" w:eastAsiaTheme="minorEastAsia"/>
          <w:bCs/>
          <w:kern w:val="0"/>
          <w:sz w:val="24"/>
          <w:u w:val="single"/>
        </w:rPr>
        <w:t>/</w:t>
      </w:r>
      <w:r>
        <w:rPr>
          <w:rFonts w:hint="eastAsia" w:asciiTheme="minorEastAsia" w:hAnsiTheme="minorEastAsia" w:eastAsiaTheme="minorEastAsia"/>
          <w:bCs/>
          <w:kern w:val="0"/>
          <w:sz w:val="24"/>
        </w:rPr>
        <w:t>。</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5.3.3竣工结算支付</w:t>
      </w:r>
    </w:p>
    <w:p>
      <w:pPr>
        <w:spacing w:line="288" w:lineRule="auto"/>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最终监理服务费=所监理范围内结算金额*中标费率。</w:t>
      </w:r>
    </w:p>
    <w:p>
      <w:pPr>
        <w:spacing w:line="288" w:lineRule="auto"/>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（1）工程结算经政府财政主管部门审计后，监理服务费付至经审计结算监理服务费的97%；</w:t>
      </w:r>
    </w:p>
    <w:p>
      <w:pPr>
        <w:ind w:firstLine="484" w:firstLineChars="202"/>
        <w:rPr>
          <w:rFonts w:asciiTheme="minorEastAsia" w:hAnsiTheme="minorEastAsia" w:eastAsiaTheme="minorEastAsia"/>
          <w:bCs/>
          <w:kern w:val="0"/>
          <w:sz w:val="24"/>
        </w:rPr>
      </w:pPr>
      <w:r>
        <w:rPr>
          <w:rFonts w:hint="eastAsia" w:asciiTheme="minorEastAsia" w:hAnsiTheme="minorEastAsia" w:eastAsiaTheme="minorEastAsia"/>
          <w:bCs/>
          <w:kern w:val="0"/>
          <w:sz w:val="24"/>
        </w:rPr>
        <w:t>（2）如未按省市档案部门要求移交竣工档案资料，暂扣经审计结算监理服务费的3%，按省市档案部门要求移交竣工档案资料后，支付该部分费用。</w:t>
      </w:r>
    </w:p>
    <w:p>
      <w:pPr>
        <w:ind w:firstLine="424" w:firstLineChars="177"/>
        <w:rPr>
          <w:rFonts w:asciiTheme="minorEastAsia" w:hAnsiTheme="minorEastAsia" w:eastAsiaTheme="minorEastAsia"/>
          <w:bCs/>
          <w:kern w:val="0"/>
          <w:sz w:val="24"/>
        </w:rPr>
      </w:pPr>
      <w:r>
        <w:rPr>
          <w:rFonts w:hint="eastAsia" w:asciiTheme="minorEastAsia" w:hAnsiTheme="minorEastAsia" w:eastAsiaTheme="minorEastAsia"/>
          <w:bCs/>
          <w:kern w:val="0"/>
          <w:sz w:val="24"/>
        </w:rPr>
        <w:t>5.3.4工作质量保证金</w:t>
      </w:r>
    </w:p>
    <w:p>
      <w:pPr>
        <w:rPr>
          <w:sz w:val="24"/>
        </w:rPr>
      </w:pPr>
      <w:r>
        <w:rPr>
          <w:rFonts w:hint="eastAsia"/>
          <w:sz w:val="24"/>
        </w:rPr>
        <w:t>工作质量保证金是监理人为保证工作质量能够满足合同约定和规范规程的保证金，如果监理人工作质量违反了合同约定或规范规程，委托人将扣除部分或者全部的工作质量保证金；如果</w:t>
      </w:r>
      <w:r>
        <w:rPr>
          <w:rFonts w:hint="eastAsia" w:asciiTheme="minorEastAsia" w:hAnsiTheme="minorEastAsia" w:eastAsiaTheme="minorEastAsia"/>
          <w:bCs/>
          <w:kern w:val="0"/>
          <w:sz w:val="24"/>
        </w:rPr>
        <w:t>监理人造成的工程损失，其工作质量保证金不足以弥补时，委托人有权向监理人索取赔偿金，用以补足损失的差额部分。工作质量保证金在监理服务费结算时一次性扣留，扣留比例为经审计结算监理服务费的3%。监理服务周期满后，监理人可向委托人提交工作质量保证金支付申请。</w:t>
      </w:r>
    </w:p>
    <w:p>
      <w:pPr>
        <w:spacing w:line="288" w:lineRule="auto"/>
        <w:ind w:firstLine="424" w:firstLineChars="177"/>
        <w:rPr>
          <w:rFonts w:asciiTheme="minorEastAsia" w:hAnsiTheme="minorEastAsia" w:eastAsiaTheme="minorEastAsia"/>
          <w:bCs/>
          <w:kern w:val="0"/>
          <w:sz w:val="24"/>
        </w:rPr>
      </w:pPr>
      <w:r>
        <w:rPr>
          <w:rFonts w:hint="eastAsia" w:asciiTheme="minorEastAsia" w:hAnsiTheme="minorEastAsia" w:eastAsiaTheme="minorEastAsia"/>
          <w:bCs/>
          <w:kern w:val="0"/>
          <w:sz w:val="24"/>
        </w:rPr>
        <w:t>5.3.5支付申请</w:t>
      </w:r>
    </w:p>
    <w:p>
      <w:pPr>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监理人应按照委托人确定的监理服务费支付申请格式，向委托人提交监理服务收费支付申请。委托人在收到监理服务收费支付申请单后21天内予以审批，在批复后21天内向监理人支付。若委托人对监理人提交的支付申请存有异议，委托人应在收到监理服务费支付申请后21天内将申请退回监理人，并要求其重新计算、上报，但不得借此延误对监理人其它应得款项的支付。</w:t>
      </w:r>
    </w:p>
    <w:p>
      <w:pPr>
        <w:keepNext/>
        <w:keepLines/>
        <w:spacing w:beforeLines="50" w:afterLines="50" w:line="288" w:lineRule="auto"/>
        <w:outlineLvl w:val="1"/>
        <w:rPr>
          <w:rFonts w:asciiTheme="minorEastAsia" w:hAnsiTheme="minorEastAsia" w:eastAsiaTheme="minorEastAsia"/>
          <w:b/>
          <w:bCs/>
          <w:sz w:val="24"/>
        </w:rPr>
      </w:pPr>
      <w:bookmarkStart w:id="1246" w:name="_Toc443898866"/>
      <w:bookmarkStart w:id="1247" w:name="_Toc25508"/>
      <w:bookmarkStart w:id="1248" w:name="_Toc496098780"/>
      <w:bookmarkStart w:id="1249" w:name="_Toc9096"/>
      <w:r>
        <w:rPr>
          <w:rFonts w:asciiTheme="minorEastAsia" w:hAnsiTheme="minorEastAsia" w:eastAsiaTheme="minorEastAsia"/>
          <w:b/>
          <w:bCs/>
          <w:sz w:val="24"/>
        </w:rPr>
        <w:t xml:space="preserve">6. </w:t>
      </w:r>
      <w:r>
        <w:rPr>
          <w:rFonts w:hint="eastAsia" w:asciiTheme="minorEastAsia" w:hAnsiTheme="minorEastAsia" w:eastAsiaTheme="minorEastAsia"/>
          <w:b/>
          <w:bCs/>
          <w:sz w:val="24"/>
        </w:rPr>
        <w:t>合同生效、变更、暂停、解除与终止</w:t>
      </w:r>
      <w:bookmarkEnd w:id="1246"/>
      <w:bookmarkEnd w:id="1247"/>
      <w:bookmarkEnd w:id="1248"/>
      <w:bookmarkEnd w:id="1249"/>
    </w:p>
    <w:p>
      <w:pPr>
        <w:keepNext/>
        <w:keepLines/>
        <w:spacing w:line="288" w:lineRule="auto"/>
        <w:outlineLvl w:val="2"/>
        <w:rPr>
          <w:rFonts w:asciiTheme="minorEastAsia" w:hAnsiTheme="minorEastAsia" w:eastAsiaTheme="minorEastAsia"/>
          <w:b/>
          <w:sz w:val="24"/>
        </w:rPr>
      </w:pPr>
      <w:bookmarkStart w:id="1250" w:name="_Toc25684"/>
      <w:bookmarkStart w:id="1251" w:name="_Toc14713"/>
      <w:bookmarkStart w:id="1252" w:name="_Toc443898867"/>
      <w:bookmarkStart w:id="1253" w:name="_Toc496098781"/>
      <w:bookmarkStart w:id="1254" w:name="_Toc26485"/>
      <w:bookmarkStart w:id="1255" w:name="_Toc499205001"/>
      <w:r>
        <w:rPr>
          <w:rFonts w:asciiTheme="minorEastAsia" w:hAnsiTheme="minorEastAsia" w:eastAsiaTheme="minorEastAsia"/>
          <w:b/>
          <w:sz w:val="24"/>
        </w:rPr>
        <w:t xml:space="preserve">6.1 </w:t>
      </w:r>
      <w:r>
        <w:rPr>
          <w:rFonts w:hint="eastAsia" w:asciiTheme="minorEastAsia" w:hAnsiTheme="minorEastAsia" w:eastAsiaTheme="minorEastAsia"/>
          <w:b/>
          <w:sz w:val="24"/>
        </w:rPr>
        <w:t>生效</w:t>
      </w:r>
      <w:bookmarkEnd w:id="1250"/>
      <w:bookmarkEnd w:id="1251"/>
      <w:bookmarkEnd w:id="1252"/>
      <w:bookmarkEnd w:id="1253"/>
      <w:bookmarkEnd w:id="1254"/>
      <w:bookmarkEnd w:id="1255"/>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本合同生效条件：</w:t>
      </w:r>
      <w:r>
        <w:rPr>
          <w:rFonts w:asciiTheme="minorEastAsia" w:hAnsiTheme="minorEastAsia" w:eastAsiaTheme="minorEastAsia"/>
          <w:bCs/>
          <w:kern w:val="0"/>
          <w:sz w:val="24"/>
          <w:u w:val="single"/>
        </w:rPr>
        <w:t>本合同自双方签字盖章后生效。</w:t>
      </w:r>
    </w:p>
    <w:p>
      <w:pPr>
        <w:keepNext/>
        <w:keepLines/>
        <w:spacing w:line="288" w:lineRule="auto"/>
        <w:outlineLvl w:val="2"/>
        <w:rPr>
          <w:rFonts w:asciiTheme="minorEastAsia" w:hAnsiTheme="minorEastAsia" w:eastAsiaTheme="minorEastAsia"/>
          <w:b/>
          <w:sz w:val="24"/>
        </w:rPr>
      </w:pPr>
      <w:bookmarkStart w:id="1256" w:name="_Toc496098782"/>
      <w:bookmarkStart w:id="1257" w:name="_Toc14085"/>
      <w:bookmarkStart w:id="1258" w:name="_Toc2682"/>
      <w:bookmarkStart w:id="1259" w:name="_Toc499205002"/>
      <w:bookmarkStart w:id="1260" w:name="_Toc21471"/>
      <w:bookmarkStart w:id="1261" w:name="_Toc443898868"/>
      <w:r>
        <w:rPr>
          <w:rFonts w:asciiTheme="minorEastAsia" w:hAnsiTheme="minorEastAsia" w:eastAsiaTheme="minorEastAsia"/>
          <w:b/>
          <w:sz w:val="24"/>
        </w:rPr>
        <w:t xml:space="preserve">6.2 </w:t>
      </w:r>
      <w:r>
        <w:rPr>
          <w:rFonts w:hint="eastAsia" w:asciiTheme="minorEastAsia" w:hAnsiTheme="minorEastAsia" w:eastAsiaTheme="minorEastAsia"/>
          <w:b/>
          <w:sz w:val="24"/>
        </w:rPr>
        <w:t>变更</w:t>
      </w:r>
      <w:bookmarkEnd w:id="1256"/>
      <w:bookmarkEnd w:id="1257"/>
      <w:bookmarkEnd w:id="1258"/>
      <w:bookmarkEnd w:id="1259"/>
      <w:bookmarkEnd w:id="1260"/>
      <w:bookmarkEnd w:id="1261"/>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6.2.2</w:t>
      </w:r>
      <w:r>
        <w:rPr>
          <w:rFonts w:asciiTheme="minorEastAsia" w:hAnsiTheme="minorEastAsia" w:eastAsiaTheme="minorEastAsia"/>
          <w:bCs/>
          <w:kern w:val="0"/>
          <w:sz w:val="24"/>
          <w:u w:val="single"/>
        </w:rPr>
        <w:t>不执行通用条件。</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6.2.3</w:t>
      </w:r>
      <w:r>
        <w:rPr>
          <w:rFonts w:asciiTheme="minorEastAsia" w:hAnsiTheme="minorEastAsia" w:eastAsiaTheme="minorEastAsia"/>
          <w:bCs/>
          <w:kern w:val="0"/>
          <w:sz w:val="24"/>
          <w:u w:val="single"/>
        </w:rPr>
        <w:t>不执行通用条件。</w:t>
      </w:r>
    </w:p>
    <w:p>
      <w:pPr>
        <w:keepNext/>
        <w:keepLines/>
        <w:spacing w:line="288" w:lineRule="auto"/>
        <w:outlineLvl w:val="2"/>
        <w:rPr>
          <w:rFonts w:asciiTheme="minorEastAsia" w:hAnsiTheme="minorEastAsia" w:eastAsiaTheme="minorEastAsia"/>
          <w:b/>
          <w:sz w:val="24"/>
        </w:rPr>
      </w:pPr>
      <w:bookmarkStart w:id="1262" w:name="_Toc25675"/>
      <w:bookmarkStart w:id="1263" w:name="_Toc20093"/>
      <w:bookmarkStart w:id="1264" w:name="_Toc499205003"/>
      <w:bookmarkStart w:id="1265" w:name="_Toc496098783"/>
      <w:bookmarkStart w:id="1266" w:name="_Toc12504"/>
      <w:r>
        <w:rPr>
          <w:rFonts w:asciiTheme="minorEastAsia" w:hAnsiTheme="minorEastAsia" w:eastAsiaTheme="minorEastAsia"/>
          <w:b/>
          <w:sz w:val="24"/>
        </w:rPr>
        <w:t>6.4补充约定</w:t>
      </w:r>
      <w:bookmarkEnd w:id="1262"/>
      <w:bookmarkEnd w:id="1263"/>
      <w:bookmarkEnd w:id="1264"/>
      <w:bookmarkEnd w:id="1265"/>
      <w:bookmarkEnd w:id="1266"/>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合同的权利义务终止后，委托人和监理人应当遵循诚实信用原则，继续履行通知、协助、保密等</w:t>
      </w:r>
      <w:r>
        <w:rPr>
          <w:rFonts w:hint="eastAsia" w:asciiTheme="minorEastAsia" w:hAnsiTheme="minorEastAsia" w:eastAsiaTheme="minorEastAsia"/>
          <w:bCs/>
          <w:kern w:val="0"/>
          <w:sz w:val="24"/>
        </w:rPr>
        <w:t>附随</w:t>
      </w:r>
      <w:r>
        <w:rPr>
          <w:rFonts w:asciiTheme="minorEastAsia" w:hAnsiTheme="minorEastAsia" w:eastAsiaTheme="minorEastAsia"/>
          <w:bCs/>
          <w:kern w:val="0"/>
          <w:sz w:val="24"/>
        </w:rPr>
        <w:t>义务，合同中结算和清理等条款的效力应当继续有效。</w:t>
      </w:r>
    </w:p>
    <w:p>
      <w:pPr>
        <w:keepNext/>
        <w:keepLines/>
        <w:spacing w:beforeLines="50" w:afterLines="50" w:line="288" w:lineRule="auto"/>
        <w:outlineLvl w:val="1"/>
        <w:rPr>
          <w:rFonts w:asciiTheme="minorEastAsia" w:hAnsiTheme="minorEastAsia" w:eastAsiaTheme="minorEastAsia"/>
          <w:b/>
          <w:bCs/>
          <w:sz w:val="24"/>
        </w:rPr>
      </w:pPr>
      <w:bookmarkStart w:id="1267" w:name="_Toc11536"/>
      <w:bookmarkStart w:id="1268" w:name="_Toc496098784"/>
      <w:bookmarkStart w:id="1269" w:name="_Toc443898869"/>
      <w:bookmarkStart w:id="1270" w:name="_Toc32512"/>
      <w:r>
        <w:rPr>
          <w:rFonts w:asciiTheme="minorEastAsia" w:hAnsiTheme="minorEastAsia" w:eastAsiaTheme="minorEastAsia"/>
          <w:b/>
          <w:bCs/>
          <w:sz w:val="24"/>
        </w:rPr>
        <w:t xml:space="preserve">7. </w:t>
      </w:r>
      <w:r>
        <w:rPr>
          <w:rFonts w:hint="eastAsia" w:asciiTheme="minorEastAsia" w:hAnsiTheme="minorEastAsia" w:eastAsiaTheme="minorEastAsia"/>
          <w:b/>
          <w:bCs/>
          <w:sz w:val="24"/>
        </w:rPr>
        <w:t>争议解决</w:t>
      </w:r>
      <w:bookmarkEnd w:id="1267"/>
      <w:bookmarkEnd w:id="1268"/>
      <w:bookmarkEnd w:id="1269"/>
      <w:bookmarkEnd w:id="1270"/>
    </w:p>
    <w:p>
      <w:pPr>
        <w:keepNext/>
        <w:keepLines/>
        <w:spacing w:line="288" w:lineRule="auto"/>
        <w:outlineLvl w:val="2"/>
        <w:rPr>
          <w:rFonts w:asciiTheme="minorEastAsia" w:hAnsiTheme="minorEastAsia" w:eastAsiaTheme="minorEastAsia"/>
          <w:b/>
          <w:sz w:val="24"/>
        </w:rPr>
      </w:pPr>
      <w:bookmarkStart w:id="1271" w:name="_Toc1956"/>
      <w:bookmarkStart w:id="1272" w:name="_Toc499205005"/>
      <w:bookmarkStart w:id="1273" w:name="_Toc15382"/>
      <w:bookmarkStart w:id="1274" w:name="_Toc28080"/>
      <w:bookmarkStart w:id="1275" w:name="_Toc496098785"/>
      <w:bookmarkStart w:id="1276" w:name="_Toc443898870"/>
      <w:r>
        <w:rPr>
          <w:rFonts w:asciiTheme="minorEastAsia" w:hAnsiTheme="minorEastAsia" w:eastAsiaTheme="minorEastAsia"/>
          <w:b/>
          <w:sz w:val="24"/>
        </w:rPr>
        <w:t xml:space="preserve">7.2 </w:t>
      </w:r>
      <w:r>
        <w:rPr>
          <w:rFonts w:hint="eastAsia" w:asciiTheme="minorEastAsia" w:hAnsiTheme="minorEastAsia" w:eastAsiaTheme="minorEastAsia"/>
          <w:b/>
          <w:sz w:val="24"/>
        </w:rPr>
        <w:t>调解</w:t>
      </w:r>
      <w:bookmarkEnd w:id="1271"/>
      <w:bookmarkEnd w:id="1272"/>
      <w:bookmarkEnd w:id="1273"/>
      <w:bookmarkEnd w:id="1274"/>
      <w:bookmarkEnd w:id="1275"/>
      <w:bookmarkEnd w:id="1276"/>
    </w:p>
    <w:p>
      <w:pPr>
        <w:snapToGrid w:val="0"/>
        <w:spacing w:line="288" w:lineRule="auto"/>
        <w:ind w:firstLine="470" w:firstLineChars="196"/>
        <w:rPr>
          <w:rFonts w:asciiTheme="minorEastAsia" w:hAnsiTheme="minorEastAsia" w:eastAsiaTheme="minorEastAsia"/>
          <w:bCs/>
          <w:sz w:val="24"/>
        </w:rPr>
      </w:pPr>
      <w:r>
        <w:rPr>
          <w:rFonts w:asciiTheme="minorEastAsia" w:hAnsiTheme="minorEastAsia" w:eastAsiaTheme="minorEastAsia"/>
          <w:bCs/>
          <w:sz w:val="24"/>
        </w:rPr>
        <w:t>本合同争议进行调解时，可提交</w:t>
      </w:r>
      <w:r>
        <w:rPr>
          <w:rFonts w:hint="eastAsia" w:asciiTheme="minorEastAsia" w:hAnsiTheme="minorEastAsia" w:eastAsiaTheme="minorEastAsia"/>
          <w:bCs/>
          <w:sz w:val="24"/>
          <w:u w:val="single"/>
        </w:rPr>
        <w:t>工程所在地</w:t>
      </w:r>
      <w:r>
        <w:rPr>
          <w:rFonts w:asciiTheme="minorEastAsia" w:hAnsiTheme="minorEastAsia" w:eastAsiaTheme="minorEastAsia"/>
          <w:bCs/>
          <w:kern w:val="0"/>
          <w:sz w:val="24"/>
          <w:u w:val="single"/>
        </w:rPr>
        <w:t>建设行政主管部门</w:t>
      </w:r>
      <w:r>
        <w:rPr>
          <w:rFonts w:asciiTheme="minorEastAsia" w:hAnsiTheme="minorEastAsia" w:eastAsiaTheme="minorEastAsia"/>
          <w:bCs/>
          <w:sz w:val="24"/>
        </w:rPr>
        <w:t>进行调解。</w:t>
      </w:r>
    </w:p>
    <w:p>
      <w:pPr>
        <w:keepNext/>
        <w:keepLines/>
        <w:spacing w:line="288" w:lineRule="auto"/>
        <w:outlineLvl w:val="2"/>
        <w:rPr>
          <w:rFonts w:asciiTheme="minorEastAsia" w:hAnsiTheme="minorEastAsia" w:eastAsiaTheme="minorEastAsia"/>
          <w:b/>
          <w:sz w:val="24"/>
        </w:rPr>
      </w:pPr>
      <w:bookmarkStart w:id="1277" w:name="_Toc30481"/>
      <w:bookmarkStart w:id="1278" w:name="_Toc443898871"/>
      <w:bookmarkStart w:id="1279" w:name="_Toc436"/>
      <w:bookmarkStart w:id="1280" w:name="_Toc496098786"/>
      <w:bookmarkStart w:id="1281" w:name="_Toc32599"/>
      <w:bookmarkStart w:id="1282" w:name="_Toc499205006"/>
      <w:r>
        <w:rPr>
          <w:rFonts w:asciiTheme="minorEastAsia" w:hAnsiTheme="minorEastAsia" w:eastAsiaTheme="minorEastAsia"/>
          <w:b/>
          <w:sz w:val="24"/>
        </w:rPr>
        <w:t xml:space="preserve">7.3 </w:t>
      </w:r>
      <w:r>
        <w:rPr>
          <w:rFonts w:hint="eastAsia" w:asciiTheme="minorEastAsia" w:hAnsiTheme="minorEastAsia" w:eastAsiaTheme="minorEastAsia"/>
          <w:b/>
          <w:sz w:val="24"/>
        </w:rPr>
        <w:t>仲裁或诉讼</w:t>
      </w:r>
      <w:bookmarkEnd w:id="1277"/>
      <w:bookmarkEnd w:id="1278"/>
      <w:bookmarkEnd w:id="1279"/>
      <w:bookmarkEnd w:id="1280"/>
      <w:bookmarkEnd w:id="1281"/>
      <w:bookmarkEnd w:id="1282"/>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合同争议的最终解决方式为下列第</w:t>
      </w:r>
      <w:r>
        <w:rPr>
          <w:rFonts w:asciiTheme="minorEastAsia" w:hAnsiTheme="minorEastAsia" w:eastAsiaTheme="minorEastAsia"/>
          <w:bCs/>
          <w:kern w:val="0"/>
          <w:sz w:val="24"/>
          <w:u w:val="single"/>
        </w:rPr>
        <w:t xml:space="preserve">（1） </w:t>
      </w:r>
      <w:r>
        <w:rPr>
          <w:rFonts w:asciiTheme="minorEastAsia" w:hAnsiTheme="minorEastAsia" w:eastAsiaTheme="minorEastAsia"/>
          <w:bCs/>
          <w:sz w:val="24"/>
        </w:rPr>
        <w:t>种方式：</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（1）提请</w:t>
      </w:r>
      <w:r>
        <w:rPr>
          <w:rFonts w:hint="eastAsia" w:asciiTheme="minorEastAsia" w:hAnsiTheme="minorEastAsia" w:eastAsiaTheme="minorEastAsia"/>
          <w:bCs/>
          <w:sz w:val="24"/>
        </w:rPr>
        <w:t>许昌市</w:t>
      </w:r>
      <w:r>
        <w:rPr>
          <w:rFonts w:asciiTheme="minorEastAsia" w:hAnsiTheme="minorEastAsia" w:eastAsiaTheme="minorEastAsia"/>
          <w:bCs/>
          <w:sz w:val="24"/>
        </w:rPr>
        <w:t>仲裁委员会进行仲裁。</w:t>
      </w:r>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（2）向</w:t>
      </w:r>
      <w:r>
        <w:rPr>
          <w:rFonts w:asciiTheme="minorEastAsia" w:hAnsiTheme="minorEastAsia" w:eastAsiaTheme="minorEastAsia"/>
          <w:bCs/>
          <w:sz w:val="24"/>
          <w:u w:val="single"/>
        </w:rPr>
        <w:t xml:space="preserve">  / </w:t>
      </w:r>
      <w:r>
        <w:rPr>
          <w:rFonts w:asciiTheme="minorEastAsia" w:hAnsiTheme="minorEastAsia" w:eastAsiaTheme="minorEastAsia"/>
          <w:bCs/>
          <w:sz w:val="24"/>
        </w:rPr>
        <w:t>人民法院提起诉讼。</w:t>
      </w:r>
    </w:p>
    <w:p>
      <w:pPr>
        <w:keepNext/>
        <w:keepLines/>
        <w:spacing w:beforeLines="50" w:afterLines="50" w:line="288" w:lineRule="auto"/>
        <w:outlineLvl w:val="1"/>
        <w:rPr>
          <w:rFonts w:asciiTheme="minorEastAsia" w:hAnsiTheme="minorEastAsia" w:eastAsiaTheme="minorEastAsia"/>
          <w:b/>
          <w:bCs/>
          <w:sz w:val="24"/>
        </w:rPr>
      </w:pPr>
      <w:bookmarkStart w:id="1283" w:name="_Toc13743"/>
      <w:bookmarkStart w:id="1284" w:name="_Toc496098787"/>
      <w:bookmarkStart w:id="1285" w:name="_Toc16377"/>
      <w:bookmarkStart w:id="1286" w:name="_Toc443898872"/>
      <w:r>
        <w:rPr>
          <w:rFonts w:asciiTheme="minorEastAsia" w:hAnsiTheme="minorEastAsia" w:eastAsiaTheme="minorEastAsia"/>
          <w:b/>
          <w:bCs/>
          <w:sz w:val="24"/>
        </w:rPr>
        <w:t xml:space="preserve">8. </w:t>
      </w:r>
      <w:r>
        <w:rPr>
          <w:rFonts w:hint="eastAsia" w:asciiTheme="minorEastAsia" w:hAnsiTheme="minorEastAsia" w:eastAsiaTheme="minorEastAsia"/>
          <w:b/>
          <w:bCs/>
          <w:sz w:val="24"/>
        </w:rPr>
        <w:t>其他</w:t>
      </w:r>
      <w:bookmarkEnd w:id="1283"/>
      <w:bookmarkEnd w:id="1284"/>
      <w:bookmarkEnd w:id="1285"/>
      <w:bookmarkEnd w:id="1286"/>
    </w:p>
    <w:p>
      <w:pPr>
        <w:keepNext/>
        <w:keepLines/>
        <w:spacing w:line="288" w:lineRule="auto"/>
        <w:outlineLvl w:val="2"/>
        <w:rPr>
          <w:rFonts w:asciiTheme="minorEastAsia" w:hAnsiTheme="minorEastAsia" w:eastAsiaTheme="minorEastAsia"/>
          <w:b/>
          <w:sz w:val="24"/>
        </w:rPr>
      </w:pPr>
      <w:bookmarkStart w:id="1287" w:name="_Toc496098788"/>
      <w:bookmarkStart w:id="1288" w:name="_Toc878"/>
      <w:bookmarkStart w:id="1289" w:name="_Toc499205008"/>
      <w:bookmarkStart w:id="1290" w:name="_Toc443898873"/>
      <w:bookmarkStart w:id="1291" w:name="_Toc25146"/>
      <w:bookmarkStart w:id="1292" w:name="_Toc26735"/>
      <w:r>
        <w:rPr>
          <w:rFonts w:asciiTheme="minorEastAsia" w:hAnsiTheme="minorEastAsia" w:eastAsiaTheme="minorEastAsia"/>
          <w:b/>
          <w:sz w:val="24"/>
        </w:rPr>
        <w:t xml:space="preserve">8.2 </w:t>
      </w:r>
      <w:r>
        <w:rPr>
          <w:rFonts w:hint="eastAsia" w:asciiTheme="minorEastAsia" w:hAnsiTheme="minorEastAsia" w:eastAsiaTheme="minorEastAsia"/>
          <w:b/>
          <w:sz w:val="24"/>
        </w:rPr>
        <w:t>检测费用</w:t>
      </w:r>
      <w:bookmarkEnd w:id="1287"/>
      <w:bookmarkEnd w:id="1288"/>
      <w:bookmarkEnd w:id="1289"/>
      <w:bookmarkEnd w:id="1290"/>
      <w:bookmarkEnd w:id="1291"/>
      <w:bookmarkEnd w:id="1292"/>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检测费用已包含在正常监理服务费中，不再另行支付。</w:t>
      </w:r>
    </w:p>
    <w:p>
      <w:pPr>
        <w:keepNext/>
        <w:keepLines/>
        <w:spacing w:line="288" w:lineRule="auto"/>
        <w:outlineLvl w:val="2"/>
        <w:rPr>
          <w:rFonts w:asciiTheme="minorEastAsia" w:hAnsiTheme="minorEastAsia" w:eastAsiaTheme="minorEastAsia"/>
          <w:b/>
          <w:sz w:val="24"/>
        </w:rPr>
      </w:pPr>
      <w:bookmarkStart w:id="1293" w:name="_Toc499205009"/>
      <w:bookmarkStart w:id="1294" w:name="_Toc1271"/>
      <w:bookmarkStart w:id="1295" w:name="_Toc496098789"/>
      <w:bookmarkStart w:id="1296" w:name="_Toc443898874"/>
      <w:bookmarkStart w:id="1297" w:name="_Toc28614"/>
      <w:bookmarkStart w:id="1298" w:name="_Toc2372"/>
      <w:r>
        <w:rPr>
          <w:rFonts w:asciiTheme="minorEastAsia" w:hAnsiTheme="minorEastAsia" w:eastAsiaTheme="minorEastAsia"/>
          <w:b/>
          <w:sz w:val="24"/>
        </w:rPr>
        <w:t xml:space="preserve">8.3 </w:t>
      </w:r>
      <w:r>
        <w:rPr>
          <w:rFonts w:hint="eastAsia" w:asciiTheme="minorEastAsia" w:hAnsiTheme="minorEastAsia" w:eastAsiaTheme="minorEastAsia"/>
          <w:b/>
          <w:sz w:val="24"/>
        </w:rPr>
        <w:t>咨询费用</w:t>
      </w:r>
      <w:bookmarkEnd w:id="1293"/>
      <w:bookmarkEnd w:id="1294"/>
      <w:bookmarkEnd w:id="1295"/>
      <w:bookmarkEnd w:id="1296"/>
      <w:bookmarkEnd w:id="1297"/>
      <w:bookmarkEnd w:id="1298"/>
    </w:p>
    <w:p>
      <w:pPr>
        <w:adjustRightInd w:val="0"/>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咨询费用已包含在正常监理服务费中，不再另行支付。</w:t>
      </w:r>
    </w:p>
    <w:p>
      <w:pPr>
        <w:keepNext/>
        <w:keepLines/>
        <w:spacing w:line="288" w:lineRule="auto"/>
        <w:outlineLvl w:val="2"/>
        <w:rPr>
          <w:rFonts w:asciiTheme="minorEastAsia" w:hAnsiTheme="minorEastAsia" w:eastAsiaTheme="minorEastAsia"/>
          <w:b/>
          <w:sz w:val="24"/>
        </w:rPr>
      </w:pPr>
      <w:bookmarkStart w:id="1299" w:name="_Toc11481"/>
      <w:bookmarkStart w:id="1300" w:name="_Toc29234"/>
      <w:bookmarkStart w:id="1301" w:name="_Toc499205010"/>
      <w:bookmarkStart w:id="1302" w:name="_Toc443898875"/>
      <w:bookmarkStart w:id="1303" w:name="_Toc24115"/>
      <w:bookmarkStart w:id="1304" w:name="_Toc496098790"/>
      <w:r>
        <w:rPr>
          <w:rFonts w:asciiTheme="minorEastAsia" w:hAnsiTheme="minorEastAsia" w:eastAsiaTheme="minorEastAsia"/>
          <w:b/>
          <w:sz w:val="24"/>
        </w:rPr>
        <w:t xml:space="preserve">8.4 </w:t>
      </w:r>
      <w:r>
        <w:rPr>
          <w:rFonts w:hint="eastAsia" w:asciiTheme="minorEastAsia" w:hAnsiTheme="minorEastAsia" w:eastAsiaTheme="minorEastAsia"/>
          <w:b/>
          <w:sz w:val="24"/>
        </w:rPr>
        <w:t>奖励</w:t>
      </w:r>
      <w:bookmarkEnd w:id="1299"/>
      <w:bookmarkEnd w:id="1300"/>
      <w:bookmarkEnd w:id="1301"/>
      <w:bookmarkEnd w:id="1302"/>
      <w:bookmarkEnd w:id="1303"/>
      <w:bookmarkEnd w:id="1304"/>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合理化建议的奖励金额按下列方法确定为：</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奖励金额＝工程投资节省额×奖励金额的比率；</w:t>
      </w:r>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奖励金额的比率</w:t>
      </w:r>
      <w:r>
        <w:rPr>
          <w:rFonts w:hint="eastAsia" w:asciiTheme="minorEastAsia" w:hAnsiTheme="minorEastAsia" w:eastAsiaTheme="minorEastAsia"/>
          <w:bCs/>
          <w:sz w:val="24"/>
        </w:rPr>
        <w:t>待发生时另行约定</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305" w:name="_Toc499205011"/>
      <w:bookmarkStart w:id="1306" w:name="_Toc443898876"/>
      <w:bookmarkStart w:id="1307" w:name="_Toc496098791"/>
      <w:bookmarkStart w:id="1308" w:name="_Toc13396"/>
      <w:bookmarkStart w:id="1309" w:name="_Toc5324"/>
      <w:bookmarkStart w:id="1310" w:name="_Toc31748"/>
      <w:r>
        <w:rPr>
          <w:rFonts w:asciiTheme="minorEastAsia" w:hAnsiTheme="minorEastAsia" w:eastAsiaTheme="minorEastAsia"/>
          <w:b/>
          <w:sz w:val="24"/>
        </w:rPr>
        <w:t xml:space="preserve">8.6 </w:t>
      </w:r>
      <w:r>
        <w:rPr>
          <w:rFonts w:hint="eastAsia" w:asciiTheme="minorEastAsia" w:hAnsiTheme="minorEastAsia" w:eastAsiaTheme="minorEastAsia"/>
          <w:b/>
          <w:sz w:val="24"/>
        </w:rPr>
        <w:t>保密</w:t>
      </w:r>
      <w:bookmarkEnd w:id="1305"/>
      <w:bookmarkEnd w:id="1306"/>
      <w:bookmarkEnd w:id="1307"/>
      <w:bookmarkEnd w:id="1308"/>
      <w:bookmarkEnd w:id="1309"/>
      <w:bookmarkEnd w:id="1310"/>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委托人申明的保密事项和期限：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监理人申明的保密事项和期限：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adjustRightInd w:val="0"/>
        <w:snapToGrid w:val="0"/>
        <w:spacing w:line="288" w:lineRule="auto"/>
        <w:ind w:firstLine="420"/>
        <w:rPr>
          <w:rFonts w:asciiTheme="minorEastAsia" w:hAnsiTheme="minorEastAsia" w:eastAsiaTheme="minorEastAsia"/>
          <w:bCs/>
          <w:sz w:val="24"/>
          <w:u w:val="single"/>
        </w:rPr>
      </w:pPr>
      <w:r>
        <w:rPr>
          <w:rFonts w:asciiTheme="minorEastAsia" w:hAnsiTheme="minorEastAsia" w:eastAsiaTheme="minorEastAsia"/>
          <w:bCs/>
          <w:sz w:val="24"/>
        </w:rPr>
        <w:t>第三方申明的保密事项和期限：</w:t>
      </w:r>
      <w:r>
        <w:rPr>
          <w:rFonts w:asciiTheme="minorEastAsia" w:hAnsiTheme="minorEastAsia" w:eastAsiaTheme="minorEastAsia"/>
          <w:bCs/>
          <w:sz w:val="24"/>
          <w:u w:val="single"/>
        </w:rPr>
        <w:t xml:space="preserve">         /         </w:t>
      </w:r>
      <w:r>
        <w:rPr>
          <w:rFonts w:asciiTheme="minorEastAsia" w:hAnsiTheme="minorEastAsia" w:eastAsiaTheme="minorEastAsia"/>
          <w:bCs/>
          <w:sz w:val="24"/>
        </w:rPr>
        <w:t>。</w:t>
      </w:r>
    </w:p>
    <w:p>
      <w:pPr>
        <w:keepNext/>
        <w:keepLines/>
        <w:spacing w:line="288" w:lineRule="auto"/>
        <w:outlineLvl w:val="2"/>
        <w:rPr>
          <w:rFonts w:asciiTheme="minorEastAsia" w:hAnsiTheme="minorEastAsia" w:eastAsiaTheme="minorEastAsia"/>
          <w:b/>
          <w:sz w:val="24"/>
        </w:rPr>
      </w:pPr>
      <w:bookmarkStart w:id="1311" w:name="_Toc443898877"/>
      <w:bookmarkStart w:id="1312" w:name="_Toc23011"/>
      <w:bookmarkStart w:id="1313" w:name="_Toc496098792"/>
      <w:bookmarkStart w:id="1314" w:name="_Toc30219"/>
      <w:bookmarkStart w:id="1315" w:name="_Toc13561"/>
      <w:bookmarkStart w:id="1316" w:name="_Toc499205012"/>
      <w:r>
        <w:rPr>
          <w:rFonts w:asciiTheme="minorEastAsia" w:hAnsiTheme="minorEastAsia" w:eastAsiaTheme="minorEastAsia"/>
          <w:b/>
          <w:sz w:val="24"/>
        </w:rPr>
        <w:t>8.8</w:t>
      </w:r>
      <w:r>
        <w:rPr>
          <w:rFonts w:hint="eastAsia" w:asciiTheme="minorEastAsia" w:hAnsiTheme="minorEastAsia" w:eastAsiaTheme="minorEastAsia"/>
          <w:b/>
          <w:sz w:val="24"/>
        </w:rPr>
        <w:t>著作权</w:t>
      </w:r>
      <w:bookmarkEnd w:id="1311"/>
      <w:bookmarkEnd w:id="1312"/>
      <w:bookmarkEnd w:id="1313"/>
      <w:bookmarkEnd w:id="1314"/>
      <w:bookmarkEnd w:id="1315"/>
      <w:bookmarkEnd w:id="1316"/>
    </w:p>
    <w:p>
      <w:pPr>
        <w:snapToGrid w:val="0"/>
        <w:spacing w:line="288" w:lineRule="auto"/>
        <w:ind w:firstLine="420"/>
        <w:rPr>
          <w:rFonts w:asciiTheme="minorEastAsia" w:hAnsiTheme="minorEastAsia" w:eastAsiaTheme="minorEastAsia"/>
          <w:bCs/>
          <w:sz w:val="24"/>
        </w:rPr>
      </w:pPr>
      <w:r>
        <w:rPr>
          <w:rFonts w:asciiTheme="minorEastAsia" w:hAnsiTheme="minorEastAsia" w:eastAsiaTheme="minorEastAsia"/>
          <w:bCs/>
          <w:sz w:val="24"/>
        </w:rPr>
        <w:t>监理人在本合同履行期间及本合同终止后出版涉及本工程的有关监理与相关服务的资料的限制条件：</w:t>
      </w:r>
      <w:r>
        <w:rPr>
          <w:rFonts w:hint="eastAsia" w:asciiTheme="minorEastAsia" w:hAnsiTheme="minorEastAsia" w:eastAsiaTheme="minorEastAsia"/>
          <w:bCs/>
          <w:sz w:val="24"/>
          <w:u w:val="single"/>
        </w:rPr>
        <w:t>任何时间均应事先征得委托人的书面同意后方可进行</w:t>
      </w:r>
      <w:r>
        <w:rPr>
          <w:rFonts w:asciiTheme="minorEastAsia" w:hAnsiTheme="minorEastAsia" w:eastAsiaTheme="minorEastAsia"/>
          <w:bCs/>
          <w:sz w:val="24"/>
        </w:rPr>
        <w:t>。</w:t>
      </w:r>
    </w:p>
    <w:p>
      <w:pPr>
        <w:keepNext/>
        <w:keepLines/>
        <w:spacing w:beforeLines="50" w:afterLines="50" w:line="288" w:lineRule="auto"/>
        <w:outlineLvl w:val="1"/>
        <w:rPr>
          <w:rFonts w:asciiTheme="minorEastAsia" w:hAnsiTheme="minorEastAsia" w:eastAsiaTheme="minorEastAsia"/>
          <w:b/>
          <w:bCs/>
          <w:sz w:val="24"/>
        </w:rPr>
      </w:pPr>
      <w:bookmarkStart w:id="1317" w:name="_Toc496098793"/>
      <w:bookmarkStart w:id="1318" w:name="_Toc10694"/>
      <w:bookmarkStart w:id="1319" w:name="_Toc18704"/>
      <w:bookmarkStart w:id="1320" w:name="_Toc443898878"/>
      <w:r>
        <w:rPr>
          <w:rFonts w:asciiTheme="minorEastAsia" w:hAnsiTheme="minorEastAsia" w:eastAsiaTheme="minorEastAsia"/>
          <w:b/>
          <w:bCs/>
          <w:sz w:val="24"/>
        </w:rPr>
        <w:t xml:space="preserve">9. </w:t>
      </w:r>
      <w:r>
        <w:rPr>
          <w:rFonts w:hint="eastAsia" w:asciiTheme="minorEastAsia" w:hAnsiTheme="minorEastAsia" w:eastAsiaTheme="minorEastAsia"/>
          <w:b/>
          <w:bCs/>
          <w:sz w:val="24"/>
        </w:rPr>
        <w:t>补充条款</w:t>
      </w:r>
      <w:bookmarkEnd w:id="1317"/>
      <w:bookmarkEnd w:id="1318"/>
      <w:bookmarkEnd w:id="1319"/>
      <w:bookmarkEnd w:id="1320"/>
    </w:p>
    <w:p>
      <w:pPr>
        <w:keepNext/>
        <w:keepLines/>
        <w:spacing w:line="288" w:lineRule="auto"/>
        <w:outlineLvl w:val="2"/>
        <w:rPr>
          <w:rFonts w:asciiTheme="minorEastAsia" w:hAnsiTheme="minorEastAsia" w:eastAsiaTheme="minorEastAsia"/>
          <w:b/>
          <w:sz w:val="24"/>
        </w:rPr>
      </w:pPr>
      <w:bookmarkStart w:id="1321" w:name="_Toc496098794"/>
      <w:bookmarkStart w:id="1322" w:name="_Toc5356"/>
      <w:bookmarkStart w:id="1323" w:name="_Toc4719"/>
      <w:bookmarkStart w:id="1324" w:name="_Toc17291"/>
      <w:bookmarkStart w:id="1325" w:name="_Toc499205014"/>
      <w:bookmarkStart w:id="1326" w:name="_Toc443898879"/>
      <w:r>
        <w:rPr>
          <w:rFonts w:asciiTheme="minorEastAsia" w:hAnsiTheme="minorEastAsia" w:eastAsiaTheme="minorEastAsia"/>
          <w:b/>
          <w:sz w:val="24"/>
        </w:rPr>
        <w:t>9.1</w:t>
      </w:r>
      <w:r>
        <w:rPr>
          <w:rFonts w:hint="eastAsia" w:asciiTheme="minorEastAsia" w:hAnsiTheme="minorEastAsia" w:eastAsiaTheme="minorEastAsia"/>
          <w:b/>
          <w:sz w:val="24"/>
        </w:rPr>
        <w:t>履约担保</w:t>
      </w:r>
      <w:bookmarkEnd w:id="1321"/>
      <w:bookmarkEnd w:id="1322"/>
      <w:bookmarkEnd w:id="1323"/>
      <w:bookmarkEnd w:id="1324"/>
      <w:bookmarkEnd w:id="1325"/>
      <w:bookmarkEnd w:id="1326"/>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9.1.1监理人应在监理合同签订前，向委托人提供履约担保，担保额度</w:t>
      </w:r>
      <w:r>
        <w:rPr>
          <w:rFonts w:hint="eastAsia" w:asciiTheme="minorEastAsia" w:hAnsiTheme="minorEastAsia" w:eastAsiaTheme="minorEastAsia"/>
          <w:bCs/>
          <w:kern w:val="0"/>
          <w:sz w:val="24"/>
        </w:rPr>
        <w:t>按照招标文件规定执行</w:t>
      </w:r>
      <w:r>
        <w:rPr>
          <w:rFonts w:asciiTheme="minorEastAsia" w:hAnsiTheme="minorEastAsia" w:eastAsiaTheme="minorEastAsia"/>
          <w:bCs/>
          <w:kern w:val="0"/>
          <w:sz w:val="24"/>
        </w:rPr>
        <w:t>；履约担保若为保函形式，应由银行开具，格式应参照招标文件中给定的格式或经委托人批准的格式；如为非保函形式，可采用电汇或网银的形式，须由监理人基本账户汇出。</w:t>
      </w:r>
      <w:r>
        <w:rPr>
          <w:rFonts w:hint="eastAsia" w:asciiTheme="minorEastAsia" w:hAnsiTheme="minorEastAsia" w:eastAsiaTheme="minorEastAsia"/>
          <w:bCs/>
          <w:kern w:val="0"/>
          <w:sz w:val="24"/>
        </w:rPr>
        <w:t>如监理人未按时提交履约担保，委托人同意签订合同的,每逾期一日，监理人应向委托人支付履约担保金额的万分之五的违约金，逾期超过14日的，监理人除仍需承担上述违约责任外，委托人有权解除合同。。</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9.1.2履约担保的有效期应持续到所监理工程竣工验收后30日内。在工程不能按期竣工时，履约担保有效期将按委托人的要求延长，其费用由监理人承担。</w:t>
      </w:r>
    </w:p>
    <w:p>
      <w:pPr>
        <w:snapToGrid w:val="0"/>
        <w:spacing w:line="288" w:lineRule="auto"/>
        <w:ind w:firstLine="420"/>
        <w:rPr>
          <w:rFonts w:asciiTheme="minorEastAsia" w:hAnsiTheme="minorEastAsia" w:eastAsiaTheme="minorEastAsia"/>
          <w:bCs/>
          <w:kern w:val="0"/>
          <w:sz w:val="24"/>
        </w:rPr>
      </w:pPr>
      <w:r>
        <w:rPr>
          <w:rFonts w:hint="eastAsia" w:asciiTheme="minorEastAsia" w:hAnsiTheme="minorEastAsia" w:eastAsiaTheme="minorEastAsia"/>
          <w:bCs/>
          <w:kern w:val="0"/>
          <w:sz w:val="24"/>
        </w:rPr>
        <w:t>9.1.3监理人提供的履约保函由银行出具的，应可以在中国人民银行查询查付系统中查询。</w:t>
      </w:r>
    </w:p>
    <w:p>
      <w:pPr>
        <w:keepNext/>
        <w:keepLines/>
        <w:spacing w:line="288" w:lineRule="auto"/>
        <w:outlineLvl w:val="2"/>
        <w:rPr>
          <w:rFonts w:asciiTheme="minorEastAsia" w:hAnsiTheme="minorEastAsia" w:eastAsiaTheme="minorEastAsia"/>
          <w:b/>
          <w:sz w:val="24"/>
        </w:rPr>
      </w:pPr>
      <w:bookmarkStart w:id="1327" w:name="_Toc496098795"/>
      <w:bookmarkStart w:id="1328" w:name="_Toc18473"/>
      <w:bookmarkStart w:id="1329" w:name="_Toc499205015"/>
      <w:bookmarkStart w:id="1330" w:name="_Toc443898880"/>
      <w:bookmarkStart w:id="1331" w:name="_Toc32709"/>
      <w:bookmarkStart w:id="1332" w:name="_Toc31325"/>
      <w:r>
        <w:rPr>
          <w:rFonts w:asciiTheme="minorEastAsia" w:hAnsiTheme="minorEastAsia" w:eastAsiaTheme="minorEastAsia"/>
          <w:b/>
          <w:sz w:val="24"/>
        </w:rPr>
        <w:t>9.2</w:t>
      </w:r>
      <w:r>
        <w:rPr>
          <w:rFonts w:hint="eastAsia" w:asciiTheme="minorEastAsia" w:hAnsiTheme="minorEastAsia" w:eastAsiaTheme="minorEastAsia"/>
          <w:b/>
          <w:sz w:val="24"/>
        </w:rPr>
        <w:t>保障及保险</w:t>
      </w:r>
      <w:bookmarkEnd w:id="1327"/>
      <w:bookmarkEnd w:id="1328"/>
      <w:bookmarkEnd w:id="1329"/>
      <w:bookmarkEnd w:id="1330"/>
      <w:bookmarkEnd w:id="1331"/>
      <w:bookmarkEnd w:id="1332"/>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9.2.1监理人应保障委托人及其雇员免遭因监理人实施工程监理或工作不当而导致的一切索赔、损害、损失和开支</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9.2.2监理人如因上述保障不力造成委托人及其雇员损失时，委托人有权向监理人索取相应的赔偿金额。</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9.2.3监理人应在监理服务期内，自费办理派驻到工程所在地的人员人身、自备财产的保险及法律法规要求必须办理的</w:t>
      </w:r>
      <w:r>
        <w:rPr>
          <w:rFonts w:hint="eastAsia" w:asciiTheme="minorEastAsia" w:hAnsiTheme="minorEastAsia" w:eastAsiaTheme="minorEastAsia"/>
          <w:bCs/>
          <w:kern w:val="0"/>
          <w:sz w:val="24"/>
        </w:rPr>
        <w:t>其他</w:t>
      </w:r>
      <w:r>
        <w:rPr>
          <w:rFonts w:asciiTheme="minorEastAsia" w:hAnsiTheme="minorEastAsia" w:eastAsiaTheme="minorEastAsia"/>
          <w:bCs/>
          <w:kern w:val="0"/>
          <w:sz w:val="24"/>
        </w:rPr>
        <w:t>保险，保险期间应不低于监理实际服务期限。如果监理人不办理上述保险，有关风险及后果自负其责。</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9.2.4监理人应根据监理服务工作的需要，结合监理服务工作的范围与期间，自费对监理人的责任、第三人的责任以及委托人为监理服务提供的财产等进行保险。如果监理人不办理上述保险，有关风险及后果自负其责。</w:t>
      </w:r>
    </w:p>
    <w:p>
      <w:pPr>
        <w:keepNext/>
        <w:keepLines/>
        <w:spacing w:line="288" w:lineRule="auto"/>
        <w:outlineLvl w:val="2"/>
        <w:rPr>
          <w:rFonts w:asciiTheme="minorEastAsia" w:hAnsiTheme="minorEastAsia" w:eastAsiaTheme="minorEastAsia"/>
          <w:b/>
          <w:sz w:val="24"/>
        </w:rPr>
      </w:pPr>
      <w:bookmarkStart w:id="1333" w:name="_Toc443898881"/>
      <w:bookmarkStart w:id="1334" w:name="_Toc26935"/>
      <w:bookmarkStart w:id="1335" w:name="_Toc496098796"/>
      <w:bookmarkStart w:id="1336" w:name="_Toc499205016"/>
      <w:bookmarkStart w:id="1337" w:name="_Toc28524"/>
      <w:bookmarkStart w:id="1338" w:name="_Toc21818"/>
      <w:r>
        <w:rPr>
          <w:rFonts w:asciiTheme="minorEastAsia" w:hAnsiTheme="minorEastAsia" w:eastAsiaTheme="minorEastAsia"/>
          <w:b/>
          <w:sz w:val="24"/>
        </w:rPr>
        <w:t>9.3</w:t>
      </w:r>
      <w:r>
        <w:rPr>
          <w:rFonts w:hint="eastAsia" w:asciiTheme="minorEastAsia" w:hAnsiTheme="minorEastAsia" w:eastAsiaTheme="minorEastAsia"/>
          <w:b/>
          <w:sz w:val="24"/>
        </w:rPr>
        <w:t>索赔</w:t>
      </w:r>
      <w:bookmarkEnd w:id="1333"/>
      <w:bookmarkEnd w:id="1334"/>
      <w:bookmarkEnd w:id="1335"/>
      <w:bookmarkEnd w:id="1336"/>
      <w:bookmarkEnd w:id="1337"/>
      <w:bookmarkEnd w:id="1338"/>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委托人或监理人中任何一方向另一方要求的赔偿，都应在赔偿事件发生后的28日之内以书面形式提出。如果该事件具有持续性，则应在事件首次发生后7日之内提出索赔意向，并每隔7日提供一次该事件仍在持续发展的证明资料，直至该事件结束后28日之内提出正式的索赔文件。否则，无论是委托人还是监理人均有权对上述索赔不予受理。</w:t>
      </w:r>
    </w:p>
    <w:p>
      <w:pPr>
        <w:keepNext/>
        <w:keepLines/>
        <w:spacing w:line="288" w:lineRule="auto"/>
        <w:outlineLvl w:val="2"/>
        <w:rPr>
          <w:rFonts w:asciiTheme="minorEastAsia" w:hAnsiTheme="minorEastAsia" w:eastAsiaTheme="minorEastAsia"/>
          <w:b/>
          <w:sz w:val="24"/>
        </w:rPr>
      </w:pPr>
      <w:bookmarkStart w:id="1339" w:name="_Toc27447"/>
      <w:bookmarkStart w:id="1340" w:name="_Toc496098797"/>
      <w:bookmarkStart w:id="1341" w:name="_Toc443898882"/>
      <w:bookmarkStart w:id="1342" w:name="_Toc499205017"/>
      <w:bookmarkStart w:id="1343" w:name="_Toc2033"/>
      <w:bookmarkStart w:id="1344" w:name="_Toc24270"/>
      <w:r>
        <w:rPr>
          <w:rFonts w:asciiTheme="minorEastAsia" w:hAnsiTheme="minorEastAsia" w:eastAsiaTheme="minorEastAsia"/>
          <w:b/>
          <w:sz w:val="24"/>
        </w:rPr>
        <w:t>9.4</w:t>
      </w:r>
      <w:r>
        <w:rPr>
          <w:rFonts w:hint="eastAsia" w:asciiTheme="minorEastAsia" w:hAnsiTheme="minorEastAsia" w:eastAsiaTheme="minorEastAsia"/>
          <w:b/>
          <w:sz w:val="24"/>
        </w:rPr>
        <w:t>转让和分包</w:t>
      </w:r>
      <w:bookmarkEnd w:id="1339"/>
      <w:bookmarkEnd w:id="1340"/>
      <w:bookmarkEnd w:id="1341"/>
      <w:bookmarkEnd w:id="1342"/>
      <w:bookmarkEnd w:id="1343"/>
      <w:bookmarkEnd w:id="1344"/>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9.4.1合同履行期间，委托人有权将本合同中所拥有的全部权利、义务转让给</w:t>
      </w:r>
      <w:r>
        <w:rPr>
          <w:rFonts w:hint="eastAsia" w:asciiTheme="minorEastAsia" w:hAnsiTheme="minorEastAsia" w:eastAsiaTheme="minorEastAsia"/>
          <w:bCs/>
          <w:kern w:val="0"/>
          <w:sz w:val="24"/>
        </w:rPr>
        <w:t>第三人，届时监理人对权利义务的转让不持任何异议</w:t>
      </w:r>
      <w:r>
        <w:rPr>
          <w:rFonts w:asciiTheme="minorEastAsia" w:hAnsiTheme="minorEastAsia" w:eastAsiaTheme="minorEastAsia"/>
          <w:bCs/>
          <w:kern w:val="0"/>
          <w:sz w:val="24"/>
        </w:rPr>
        <w:t>。转让时委托人将以书面形式通知监理人，监理人承诺配合</w:t>
      </w:r>
      <w:r>
        <w:rPr>
          <w:rFonts w:hint="eastAsia" w:asciiTheme="minorEastAsia" w:hAnsiTheme="minorEastAsia" w:eastAsiaTheme="minorEastAsia"/>
          <w:bCs/>
          <w:kern w:val="0"/>
          <w:sz w:val="24"/>
        </w:rPr>
        <w:t>第三人</w:t>
      </w:r>
      <w:r>
        <w:rPr>
          <w:rFonts w:asciiTheme="minorEastAsia" w:hAnsiTheme="minorEastAsia" w:eastAsiaTheme="minorEastAsia"/>
          <w:bCs/>
          <w:kern w:val="0"/>
          <w:sz w:val="24"/>
        </w:rPr>
        <w:t>完成相关工作。完成转让后，</w:t>
      </w:r>
      <w:r>
        <w:rPr>
          <w:rFonts w:hint="eastAsia" w:asciiTheme="minorEastAsia" w:hAnsiTheme="minorEastAsia" w:eastAsiaTheme="minorEastAsia"/>
          <w:bCs/>
          <w:kern w:val="0"/>
          <w:sz w:val="24"/>
        </w:rPr>
        <w:t>第三人</w:t>
      </w:r>
      <w:r>
        <w:rPr>
          <w:rFonts w:asciiTheme="minorEastAsia" w:hAnsiTheme="minorEastAsia" w:eastAsiaTheme="minorEastAsia"/>
          <w:bCs/>
          <w:kern w:val="0"/>
          <w:sz w:val="24"/>
        </w:rPr>
        <w:t>将继续履行本合同中约定的委托人的权利和义务。</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9.4.2监理人不得将本监理合同规定的权利、义务转让</w:t>
      </w:r>
      <w:r>
        <w:rPr>
          <w:rFonts w:hint="eastAsia" w:asciiTheme="minorEastAsia" w:hAnsiTheme="minorEastAsia" w:eastAsiaTheme="minorEastAsia"/>
          <w:bCs/>
          <w:kern w:val="0"/>
          <w:sz w:val="24"/>
        </w:rPr>
        <w:t>给任何</w:t>
      </w:r>
      <w:r>
        <w:rPr>
          <w:rFonts w:asciiTheme="minorEastAsia" w:hAnsiTheme="minorEastAsia" w:eastAsiaTheme="minorEastAsia"/>
          <w:bCs/>
          <w:kern w:val="0"/>
          <w:sz w:val="24"/>
        </w:rPr>
        <w:t>第三人。</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9.4.3没有委托人的同意，监理人不得将监理服务的任何部分予以分包。监理人因监理服务的需要，聘用专业技术人员和辅助工作人员不属于分包行为。</w:t>
      </w:r>
    </w:p>
    <w:p>
      <w:pPr>
        <w:keepNext/>
        <w:keepLines/>
        <w:spacing w:line="288" w:lineRule="auto"/>
        <w:outlineLvl w:val="2"/>
        <w:rPr>
          <w:rFonts w:asciiTheme="minorEastAsia" w:hAnsiTheme="minorEastAsia" w:eastAsiaTheme="minorEastAsia"/>
          <w:b/>
          <w:sz w:val="24"/>
        </w:rPr>
      </w:pPr>
      <w:bookmarkStart w:id="1345" w:name="_Toc496098798"/>
      <w:bookmarkStart w:id="1346" w:name="_Toc3138"/>
      <w:bookmarkStart w:id="1347" w:name="_Toc499205018"/>
      <w:bookmarkStart w:id="1348" w:name="_Toc2018"/>
      <w:bookmarkStart w:id="1349" w:name="_Toc443898883"/>
      <w:bookmarkStart w:id="1350" w:name="_Toc10472"/>
      <w:r>
        <w:rPr>
          <w:rFonts w:asciiTheme="minorEastAsia" w:hAnsiTheme="minorEastAsia" w:eastAsiaTheme="minorEastAsia"/>
          <w:b/>
          <w:sz w:val="24"/>
        </w:rPr>
        <w:t>9.5</w:t>
      </w:r>
      <w:r>
        <w:rPr>
          <w:rFonts w:hint="eastAsia" w:asciiTheme="minorEastAsia" w:hAnsiTheme="minorEastAsia" w:eastAsiaTheme="minorEastAsia"/>
          <w:b/>
          <w:sz w:val="24"/>
        </w:rPr>
        <w:t>贿赂</w:t>
      </w:r>
      <w:bookmarkEnd w:id="1345"/>
      <w:bookmarkEnd w:id="1346"/>
      <w:bookmarkEnd w:id="1347"/>
      <w:bookmarkEnd w:id="1348"/>
      <w:bookmarkEnd w:id="1349"/>
      <w:bookmarkEnd w:id="1350"/>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合同双方当事人不得以贿赂或变相贿赂的方式，谋取不当利益或损害对方权益。因贿赂造成对方损失的，行为人应赔偿损失，并承担相应的法律责任。</w:t>
      </w:r>
    </w:p>
    <w:p>
      <w:pPr>
        <w:keepNext/>
        <w:keepLines/>
        <w:spacing w:line="288" w:lineRule="auto"/>
        <w:outlineLvl w:val="2"/>
        <w:rPr>
          <w:rFonts w:asciiTheme="minorEastAsia" w:hAnsiTheme="minorEastAsia" w:eastAsiaTheme="minorEastAsia"/>
          <w:b/>
          <w:sz w:val="24"/>
        </w:rPr>
      </w:pPr>
      <w:bookmarkStart w:id="1351" w:name="_Toc4975"/>
      <w:bookmarkStart w:id="1352" w:name="_Toc443898884"/>
      <w:bookmarkStart w:id="1353" w:name="_Toc13835"/>
      <w:bookmarkStart w:id="1354" w:name="_Toc499205019"/>
      <w:bookmarkStart w:id="1355" w:name="_Toc18629"/>
      <w:bookmarkStart w:id="1356" w:name="_Toc496098799"/>
      <w:r>
        <w:rPr>
          <w:rFonts w:asciiTheme="minorEastAsia" w:hAnsiTheme="minorEastAsia" w:eastAsiaTheme="minorEastAsia"/>
          <w:b/>
          <w:sz w:val="24"/>
        </w:rPr>
        <w:t>9.6</w:t>
      </w:r>
      <w:r>
        <w:rPr>
          <w:rFonts w:hint="eastAsia" w:asciiTheme="minorEastAsia" w:hAnsiTheme="minorEastAsia" w:eastAsiaTheme="minorEastAsia"/>
          <w:b/>
          <w:sz w:val="24"/>
        </w:rPr>
        <w:t>会议管理</w:t>
      </w:r>
      <w:bookmarkEnd w:id="1351"/>
      <w:bookmarkEnd w:id="1352"/>
      <w:bookmarkEnd w:id="1353"/>
      <w:bookmarkEnd w:id="1354"/>
      <w:bookmarkEnd w:id="1355"/>
      <w:bookmarkEnd w:id="1356"/>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9.6.1</w:t>
      </w:r>
      <w:r>
        <w:rPr>
          <w:rFonts w:hint="eastAsia" w:asciiTheme="minorEastAsia" w:hAnsiTheme="minorEastAsia" w:eastAsiaTheme="minorEastAsia"/>
          <w:bCs/>
          <w:kern w:val="0"/>
          <w:sz w:val="24"/>
        </w:rPr>
        <w:t>监理人将主持召开由委托人、承包人、设计人、其他承包人和主要分包人出席的每周一次的生产例会，在监理人认为必要时，监理人可随时召集所有上述各方或其中一部分人参加的其他会议，承包人应保证三位能代表承包人当场作出决定的高级管理人员出席会议，同时确保在合同关系上受他控制的任何人的出席。</w:t>
      </w:r>
    </w:p>
    <w:p>
      <w:pPr>
        <w:snapToGrid w:val="0"/>
        <w:spacing w:line="288" w:lineRule="auto"/>
        <w:ind w:firstLine="420"/>
        <w:rPr>
          <w:rFonts w:asciiTheme="minorEastAsia" w:hAnsiTheme="minorEastAsia" w:eastAsiaTheme="minorEastAsia"/>
          <w:bCs/>
          <w:kern w:val="0"/>
          <w:sz w:val="24"/>
        </w:rPr>
      </w:pPr>
      <w:r>
        <w:rPr>
          <w:rFonts w:asciiTheme="minorEastAsia" w:hAnsiTheme="minorEastAsia" w:eastAsiaTheme="minorEastAsia"/>
          <w:bCs/>
          <w:kern w:val="0"/>
          <w:sz w:val="24"/>
        </w:rPr>
        <w:t>9.6.2</w:t>
      </w:r>
      <w:r>
        <w:rPr>
          <w:rFonts w:hint="eastAsia" w:asciiTheme="minorEastAsia" w:hAnsiTheme="minorEastAsia" w:eastAsiaTheme="minorEastAsia"/>
          <w:bCs/>
          <w:kern w:val="0"/>
          <w:sz w:val="24"/>
        </w:rPr>
        <w:t>由监理人召集并主持的生产例会的内容将涉及合同管理和工程管理的各个方面，会议纪要由监理人整理并在相应会议后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小时内分发给出席会议的各方；会议纪要将如实反映会议的内容，包括任何决定、存在的问题、责任方、有关工作的时间目标等；各方在收到会议纪要后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小时内，如有任何异议，应将有关异议以书面形式通知监理人；如监理人在会议纪要发出后</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内未收到任何书面异议，则会议纪要的全部内容对各方产生合同约束力；对在上述时限内提出的任何有效异议，监理人应将此类书面异议转发给其他出席会议方，有异议的事项在下一个会议上更新讨论或由监理人依合同条件的有关约定发出相应指示；但对任何事项的异议，不影响会议纪要中无异议的事项的合同约束力。</w:t>
      </w:r>
    </w:p>
    <w:p>
      <w:pPr>
        <w:spacing w:line="288" w:lineRule="auto"/>
        <w:ind w:firstLine="420"/>
      </w:pPr>
      <w:r>
        <w:rPr>
          <w:rFonts w:asciiTheme="minorEastAsia" w:hAnsiTheme="minorEastAsia" w:eastAsiaTheme="minorEastAsia"/>
          <w:bCs/>
          <w:kern w:val="0"/>
          <w:sz w:val="24"/>
        </w:rPr>
        <w:t>9.6.3</w:t>
      </w:r>
      <w:r>
        <w:rPr>
          <w:rFonts w:hint="eastAsia" w:asciiTheme="minorEastAsia" w:hAnsiTheme="minorEastAsia" w:eastAsiaTheme="minorEastAsia"/>
          <w:bCs/>
          <w:kern w:val="0"/>
          <w:sz w:val="24"/>
        </w:rPr>
        <w:t>承包人应每周至少召开一次包括所有专业分包人出席的内部生产协调会，并提前</w:t>
      </w:r>
      <w:r>
        <w:rPr>
          <w:rFonts w:asciiTheme="minorEastAsia" w:hAnsiTheme="minorEastAsia" w:eastAsiaTheme="minorEastAsia"/>
          <w:bCs/>
          <w:kern w:val="0"/>
          <w:sz w:val="24"/>
        </w:rPr>
        <w:t>24</w:t>
      </w:r>
      <w:r>
        <w:rPr>
          <w:rFonts w:hint="eastAsia" w:asciiTheme="minorEastAsia" w:hAnsiTheme="minorEastAsia" w:eastAsiaTheme="minorEastAsia"/>
          <w:bCs/>
          <w:kern w:val="0"/>
          <w:sz w:val="24"/>
        </w:rPr>
        <w:t>小时将每次会议的时间和地址通知监理人，由监理人自己决定是否出席：每次会议后</w:t>
      </w:r>
      <w:r>
        <w:rPr>
          <w:rFonts w:asciiTheme="minorEastAsia" w:hAnsiTheme="minorEastAsia" w:eastAsiaTheme="minorEastAsia"/>
          <w:bCs/>
          <w:kern w:val="0"/>
          <w:sz w:val="24"/>
        </w:rPr>
        <w:t>48</w:t>
      </w:r>
      <w:r>
        <w:rPr>
          <w:rFonts w:hint="eastAsia" w:asciiTheme="minorEastAsia" w:hAnsiTheme="minorEastAsia" w:eastAsiaTheme="minorEastAsia"/>
          <w:bCs/>
          <w:kern w:val="0"/>
          <w:sz w:val="24"/>
        </w:rPr>
        <w:t>小时内，承包人应将该次会议的会议纪要递交给监理人；会议纪要的格式应等同于监理人每周生产例会的会议纪要的格式。</w:t>
      </w:r>
    </w:p>
    <w:p>
      <w:r>
        <w:rPr>
          <w:rFonts w:hint="eastAsia"/>
        </w:rPr>
        <w:br w:type="page"/>
      </w:r>
      <w:bookmarkStart w:id="1357" w:name="_Toc22797"/>
    </w:p>
    <w:p>
      <w:pPr>
        <w:pStyle w:val="2"/>
      </w:pPr>
      <w:bookmarkStart w:id="1358" w:name="_Toc5068"/>
      <w:bookmarkStart w:id="1359" w:name="_Toc496098800"/>
      <w:r>
        <w:rPr>
          <w:rFonts w:hint="eastAsia"/>
        </w:rPr>
        <w:t>附录A相关服务的范围和内容</w:t>
      </w:r>
      <w:bookmarkEnd w:id="1357"/>
      <w:bookmarkEnd w:id="1358"/>
      <w:bookmarkEnd w:id="1359"/>
    </w:p>
    <w:p>
      <w:pPr>
        <w:snapToGrid w:val="0"/>
        <w:spacing w:beforeLines="50" w:afterLines="50"/>
        <w:jc w:val="left"/>
        <w:rPr>
          <w:bCs/>
          <w:kern w:val="0"/>
          <w:szCs w:val="21"/>
        </w:rPr>
      </w:pPr>
      <w:r>
        <w:rPr>
          <w:bCs/>
          <w:kern w:val="0"/>
          <w:szCs w:val="21"/>
        </w:rPr>
        <w:t xml:space="preserve">A-1 </w:t>
      </w:r>
      <w:r>
        <w:rPr>
          <w:rFonts w:hAnsi="宋体"/>
          <w:bCs/>
          <w:kern w:val="0"/>
          <w:szCs w:val="21"/>
        </w:rPr>
        <w:t>勘察阶段：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A-2 设计阶段：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A-3 保修阶段：</w:t>
      </w:r>
    </w:p>
    <w:p>
      <w:pPr>
        <w:snapToGrid w:val="0"/>
        <w:spacing w:beforeLines="50" w:afterLines="50"/>
        <w:ind w:firstLine="420"/>
        <w:jc w:val="left"/>
        <w:rPr>
          <w:rFonts w:ascii="宋体" w:hAnsi="宋体" w:cs="宋体"/>
          <w:bCs/>
          <w:szCs w:val="21"/>
        </w:rPr>
      </w:pPr>
    </w:p>
    <w:p>
      <w:pPr>
        <w:snapToGrid w:val="0"/>
        <w:spacing w:beforeLines="50" w:afterLines="50"/>
        <w:jc w:val="left"/>
        <w:rPr>
          <w:bCs/>
          <w:kern w:val="0"/>
          <w:szCs w:val="21"/>
        </w:rPr>
      </w:pPr>
      <w:r>
        <w:rPr>
          <w:rFonts w:hint="eastAsia"/>
          <w:bCs/>
          <w:kern w:val="0"/>
          <w:szCs w:val="21"/>
        </w:rPr>
        <w:t>A-4 其他（专业技术咨询、外部协调工作等）：</w:t>
      </w:r>
    </w:p>
    <w:p>
      <w:pPr>
        <w:snapToGrid w:val="0"/>
        <w:spacing w:beforeLines="50" w:afterLines="50"/>
        <w:ind w:firstLine="420"/>
        <w:jc w:val="left"/>
        <w:rPr>
          <w:rFonts w:ascii="宋体" w:hAnsi="宋体" w:cs="宋体"/>
          <w:bCs/>
          <w:szCs w:val="21"/>
        </w:rPr>
      </w:pPr>
    </w:p>
    <w:p>
      <w:pPr>
        <w:pStyle w:val="2"/>
      </w:pPr>
      <w:r>
        <w:rPr>
          <w:rFonts w:hint="eastAsia" w:cs="宋体"/>
        </w:rPr>
        <w:br w:type="page"/>
      </w:r>
      <w:bookmarkStart w:id="1360" w:name="_Toc496098801"/>
      <w:bookmarkStart w:id="1361" w:name="_Toc19317"/>
      <w:bookmarkStart w:id="1362" w:name="_Toc4758"/>
      <w:r>
        <w:rPr>
          <w:rFonts w:hint="eastAsia"/>
        </w:rPr>
        <w:t>附录B委托人派遣的人员和提供的房屋、资料、设备</w:t>
      </w:r>
      <w:bookmarkEnd w:id="1360"/>
      <w:bookmarkEnd w:id="1361"/>
      <w:bookmarkEnd w:id="1362"/>
    </w:p>
    <w:p>
      <w:pPr>
        <w:spacing w:beforeLines="50"/>
        <w:ind w:firstLine="420"/>
        <w:rPr>
          <w:bCs/>
          <w:kern w:val="0"/>
          <w:szCs w:val="21"/>
        </w:rPr>
      </w:pPr>
      <w:r>
        <w:rPr>
          <w:bCs/>
          <w:kern w:val="0"/>
          <w:szCs w:val="21"/>
        </w:rPr>
        <w:t xml:space="preserve">B-1  </w:t>
      </w:r>
      <w:r>
        <w:rPr>
          <w:rFonts w:hAnsi="宋体"/>
          <w:bCs/>
          <w:kern w:val="0"/>
          <w:szCs w:val="21"/>
        </w:rPr>
        <w:t>委托人派遣的人员</w:t>
      </w:r>
    </w:p>
    <w:tbl>
      <w:tblPr>
        <w:tblStyle w:val="28"/>
        <w:tblW w:w="8478"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jc w:val="center"/>
              <w:rPr>
                <w:bCs/>
                <w:szCs w:val="21"/>
              </w:rPr>
            </w:pPr>
            <w:r>
              <w:rPr>
                <w:rFonts w:hAnsi="宋体"/>
                <w:bCs/>
                <w:szCs w:val="21"/>
              </w:rPr>
              <w:t>名称</w:t>
            </w:r>
          </w:p>
        </w:tc>
        <w:tc>
          <w:tcPr>
            <w:tcW w:w="1770" w:type="dxa"/>
            <w:vAlign w:val="center"/>
          </w:tcPr>
          <w:p>
            <w:pPr>
              <w:jc w:val="center"/>
              <w:rPr>
                <w:bCs/>
                <w:szCs w:val="21"/>
              </w:rPr>
            </w:pPr>
            <w:r>
              <w:rPr>
                <w:rFonts w:hAnsi="宋体"/>
                <w:bCs/>
                <w:szCs w:val="21"/>
              </w:rPr>
              <w:t>数量</w:t>
            </w:r>
          </w:p>
        </w:tc>
        <w:tc>
          <w:tcPr>
            <w:tcW w:w="2130" w:type="dxa"/>
            <w:vAlign w:val="center"/>
          </w:tcPr>
          <w:p>
            <w:pPr>
              <w:jc w:val="center"/>
              <w:rPr>
                <w:bCs/>
                <w:szCs w:val="21"/>
              </w:rPr>
            </w:pPr>
            <w:r>
              <w:rPr>
                <w:rFonts w:hAnsi="宋体"/>
                <w:bCs/>
                <w:szCs w:val="21"/>
              </w:rPr>
              <w:t>工作要求</w:t>
            </w:r>
          </w:p>
        </w:tc>
        <w:tc>
          <w:tcPr>
            <w:tcW w:w="1860"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vAlign w:val="center"/>
          </w:tcPr>
          <w:p>
            <w:pPr>
              <w:rPr>
                <w:bCs/>
                <w:szCs w:val="21"/>
              </w:rPr>
            </w:pPr>
          </w:p>
        </w:tc>
        <w:tc>
          <w:tcPr>
            <w:tcW w:w="177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bl>
    <w:p>
      <w:pPr>
        <w:ind w:firstLine="420"/>
        <w:rPr>
          <w:szCs w:val="21"/>
        </w:rPr>
      </w:pPr>
      <w:r>
        <w:rPr>
          <w:rFonts w:hint="eastAsia"/>
          <w:szCs w:val="21"/>
        </w:rPr>
        <w:t>B-2  委托人提供的房屋</w:t>
      </w:r>
    </w:p>
    <w:tbl>
      <w:tblPr>
        <w:tblStyle w:val="28"/>
        <w:tblW w:w="8478"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035"/>
        <w:gridCol w:w="2712"/>
        <w:gridCol w:w="2506"/>
      </w:tblGrid>
      <w:tr>
        <w:tblPrEx>
          <w:tblLayout w:type="fixed"/>
          <w:tblCellMar>
            <w:top w:w="0" w:type="dxa"/>
            <w:left w:w="108" w:type="dxa"/>
            <w:bottom w:w="0" w:type="dxa"/>
            <w:right w:w="108" w:type="dxa"/>
          </w:tblCellMar>
        </w:tblPrEx>
        <w:trPr>
          <w:jc w:val="center"/>
        </w:trPr>
        <w:tc>
          <w:tcPr>
            <w:tcW w:w="2225" w:type="dxa"/>
            <w:vAlign w:val="center"/>
          </w:tcPr>
          <w:p>
            <w:pPr>
              <w:jc w:val="center"/>
              <w:rPr>
                <w:bCs/>
                <w:szCs w:val="21"/>
              </w:rPr>
            </w:pPr>
            <w:r>
              <w:rPr>
                <w:rFonts w:hAnsi="宋体"/>
                <w:bCs/>
                <w:szCs w:val="21"/>
              </w:rPr>
              <w:t>名称</w:t>
            </w:r>
          </w:p>
        </w:tc>
        <w:tc>
          <w:tcPr>
            <w:tcW w:w="1035" w:type="dxa"/>
            <w:vAlign w:val="center"/>
          </w:tcPr>
          <w:p>
            <w:pPr>
              <w:jc w:val="center"/>
              <w:rPr>
                <w:bCs/>
                <w:szCs w:val="21"/>
              </w:rPr>
            </w:pPr>
            <w:r>
              <w:rPr>
                <w:rFonts w:hAnsi="宋体"/>
                <w:bCs/>
                <w:szCs w:val="21"/>
              </w:rPr>
              <w:t>数量</w:t>
            </w:r>
          </w:p>
        </w:tc>
        <w:tc>
          <w:tcPr>
            <w:tcW w:w="2712" w:type="dxa"/>
            <w:vAlign w:val="center"/>
          </w:tcPr>
          <w:p>
            <w:pPr>
              <w:jc w:val="center"/>
              <w:rPr>
                <w:bCs/>
                <w:szCs w:val="21"/>
              </w:rPr>
            </w:pPr>
            <w:r>
              <w:rPr>
                <w:rFonts w:hAnsi="宋体"/>
                <w:bCs/>
                <w:szCs w:val="21"/>
              </w:rPr>
              <w:t>面积</w:t>
            </w:r>
          </w:p>
        </w:tc>
        <w:tc>
          <w:tcPr>
            <w:tcW w:w="2506"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r>
              <w:rPr>
                <w:rFonts w:hint="eastAsia"/>
                <w:bCs/>
                <w:szCs w:val="21"/>
              </w:rPr>
              <w:t>无</w:t>
            </w: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1035" w:type="dxa"/>
            <w:vAlign w:val="center"/>
          </w:tcPr>
          <w:p>
            <w:pPr>
              <w:rPr>
                <w:bCs/>
                <w:szCs w:val="21"/>
              </w:rPr>
            </w:pPr>
          </w:p>
        </w:tc>
        <w:tc>
          <w:tcPr>
            <w:tcW w:w="2712" w:type="dxa"/>
            <w:vAlign w:val="center"/>
          </w:tcPr>
          <w:p>
            <w:pPr>
              <w:rPr>
                <w:bCs/>
                <w:szCs w:val="21"/>
              </w:rPr>
            </w:pPr>
          </w:p>
        </w:tc>
        <w:tc>
          <w:tcPr>
            <w:tcW w:w="2506"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vAlign w:val="center"/>
          </w:tcPr>
          <w:p>
            <w:pPr>
              <w:rPr>
                <w:bCs/>
                <w:szCs w:val="21"/>
              </w:rPr>
            </w:pPr>
          </w:p>
        </w:tc>
        <w:tc>
          <w:tcPr>
            <w:tcW w:w="6253" w:type="dxa"/>
            <w:gridSpan w:val="3"/>
            <w:vAlign w:val="center"/>
          </w:tcPr>
          <w:p>
            <w:pPr>
              <w:rPr>
                <w:bCs/>
                <w:szCs w:val="21"/>
              </w:rPr>
            </w:pPr>
          </w:p>
        </w:tc>
      </w:tr>
    </w:tbl>
    <w:p>
      <w:pPr>
        <w:ind w:firstLine="420"/>
        <w:rPr>
          <w:bCs/>
          <w:kern w:val="0"/>
          <w:szCs w:val="21"/>
        </w:rPr>
      </w:pPr>
      <w:r>
        <w:rPr>
          <w:bCs/>
          <w:kern w:val="0"/>
          <w:szCs w:val="21"/>
        </w:rPr>
        <w:t xml:space="preserve">B-3  </w:t>
      </w:r>
      <w:r>
        <w:rPr>
          <w:rFonts w:hAnsi="宋体"/>
          <w:bCs/>
          <w:kern w:val="0"/>
          <w:szCs w:val="21"/>
        </w:rPr>
        <w:t>委托人提供的资料</w:t>
      </w:r>
    </w:p>
    <w:tbl>
      <w:tblPr>
        <w:tblStyle w:val="28"/>
        <w:tblpPr w:leftFromText="180" w:rightFromText="180" w:vertAnchor="text" w:horzAnchor="page" w:tblpX="1820" w:tblpY="333"/>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491"/>
        <w:gridCol w:w="214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jc w:val="center"/>
              <w:rPr>
                <w:bCs/>
                <w:szCs w:val="21"/>
              </w:rPr>
            </w:pPr>
            <w:r>
              <w:rPr>
                <w:rFonts w:hAnsi="宋体"/>
                <w:bCs/>
                <w:szCs w:val="21"/>
              </w:rPr>
              <w:t>名称</w:t>
            </w:r>
          </w:p>
        </w:tc>
        <w:tc>
          <w:tcPr>
            <w:tcW w:w="1491" w:type="dxa"/>
            <w:vAlign w:val="center"/>
          </w:tcPr>
          <w:p>
            <w:pPr>
              <w:jc w:val="center"/>
              <w:rPr>
                <w:bCs/>
                <w:szCs w:val="21"/>
              </w:rPr>
            </w:pPr>
            <w:r>
              <w:rPr>
                <w:rFonts w:hAnsi="宋体"/>
                <w:bCs/>
                <w:szCs w:val="21"/>
              </w:rPr>
              <w:t>份数</w:t>
            </w:r>
          </w:p>
        </w:tc>
        <w:tc>
          <w:tcPr>
            <w:tcW w:w="2147" w:type="dxa"/>
            <w:vAlign w:val="center"/>
          </w:tcPr>
          <w:p>
            <w:pPr>
              <w:jc w:val="center"/>
              <w:rPr>
                <w:bCs/>
                <w:szCs w:val="21"/>
              </w:rPr>
            </w:pPr>
            <w:r>
              <w:rPr>
                <w:rFonts w:hAnsi="宋体"/>
                <w:bCs/>
                <w:szCs w:val="21"/>
              </w:rPr>
              <w:t>提供时间</w:t>
            </w:r>
          </w:p>
        </w:tc>
        <w:tc>
          <w:tcPr>
            <w:tcW w:w="2032" w:type="dxa"/>
            <w:vAlign w:val="center"/>
          </w:tcPr>
          <w:p>
            <w:pPr>
              <w:jc w:val="center"/>
              <w:rPr>
                <w:bCs/>
                <w:szCs w:val="21"/>
              </w:rPr>
            </w:pPr>
            <w:r>
              <w:rPr>
                <w:rFonts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1. </w:t>
            </w:r>
            <w:r>
              <w:rPr>
                <w:rFonts w:hAnsi="宋体"/>
                <w:bCs/>
                <w:szCs w:val="21"/>
              </w:rPr>
              <w:t>工程立项文件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2. </w:t>
            </w:r>
            <w:r>
              <w:rPr>
                <w:rFonts w:hAnsi="宋体"/>
                <w:bCs/>
                <w:szCs w:val="21"/>
              </w:rPr>
              <w:t>工程勘察文件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3. </w:t>
            </w:r>
            <w:r>
              <w:rPr>
                <w:rFonts w:hAnsi="宋体"/>
                <w:bCs/>
                <w:szCs w:val="21"/>
              </w:rPr>
              <w:t>工程设计及施工图纸</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4. </w:t>
            </w:r>
            <w:r>
              <w:rPr>
                <w:rFonts w:hAnsi="宋体"/>
                <w:bCs/>
                <w:szCs w:val="21"/>
              </w:rPr>
              <w:t>工程承包合同及其他相关合同</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5. </w:t>
            </w:r>
            <w:r>
              <w:rPr>
                <w:rFonts w:hAnsi="宋体"/>
                <w:bCs/>
                <w:szCs w:val="21"/>
              </w:rPr>
              <w:t>施工许可文件</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r>
              <w:rPr>
                <w:bCs/>
                <w:szCs w:val="21"/>
              </w:rPr>
              <w:t xml:space="preserve">6. </w:t>
            </w:r>
            <w:r>
              <w:rPr>
                <w:rFonts w:hAnsi="宋体"/>
                <w:bCs/>
                <w:szCs w:val="21"/>
              </w:rPr>
              <w:t>与本工程有关的协作单位、配合单位的名录</w:t>
            </w: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vAlign w:val="center"/>
          </w:tcPr>
          <w:p>
            <w:pPr>
              <w:rPr>
                <w:bCs/>
                <w:szCs w:val="21"/>
              </w:rPr>
            </w:pPr>
          </w:p>
        </w:tc>
        <w:tc>
          <w:tcPr>
            <w:tcW w:w="1491" w:type="dxa"/>
            <w:vAlign w:val="center"/>
          </w:tcPr>
          <w:p>
            <w:pPr>
              <w:rPr>
                <w:bCs/>
                <w:szCs w:val="21"/>
              </w:rPr>
            </w:pPr>
          </w:p>
        </w:tc>
        <w:tc>
          <w:tcPr>
            <w:tcW w:w="2147" w:type="dxa"/>
            <w:vAlign w:val="center"/>
          </w:tcPr>
          <w:p>
            <w:pPr>
              <w:rPr>
                <w:bCs/>
                <w:szCs w:val="21"/>
              </w:rPr>
            </w:pPr>
          </w:p>
        </w:tc>
        <w:tc>
          <w:tcPr>
            <w:tcW w:w="2032" w:type="dxa"/>
            <w:vAlign w:val="center"/>
          </w:tcPr>
          <w:p>
            <w:pPr>
              <w:rPr>
                <w:bCs/>
                <w:szCs w:val="21"/>
              </w:rPr>
            </w:pPr>
          </w:p>
        </w:tc>
      </w:tr>
    </w:tbl>
    <w:p>
      <w:pPr>
        <w:spacing w:beforeLines="50"/>
        <w:ind w:firstLine="420"/>
        <w:rPr>
          <w:bCs/>
          <w:kern w:val="0"/>
          <w:szCs w:val="21"/>
        </w:rPr>
      </w:pPr>
      <w:r>
        <w:rPr>
          <w:bCs/>
          <w:kern w:val="0"/>
          <w:szCs w:val="21"/>
        </w:rPr>
        <w:t xml:space="preserve">B-4 </w:t>
      </w:r>
      <w:r>
        <w:rPr>
          <w:rFonts w:hAnsi="宋体"/>
          <w:bCs/>
          <w:kern w:val="0"/>
          <w:szCs w:val="21"/>
        </w:rPr>
        <w:t>委托人提供的设备</w:t>
      </w:r>
    </w:p>
    <w:tbl>
      <w:tblPr>
        <w:tblStyle w:val="28"/>
        <w:tblpPr w:leftFromText="180" w:rightFromText="180" w:vertAnchor="text" w:horzAnchor="page" w:tblpX="1803" w:tblpY="354"/>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tabs>
                <w:tab w:val="center" w:pos="1386"/>
              </w:tabs>
              <w:jc w:val="center"/>
              <w:rPr>
                <w:bCs/>
                <w:szCs w:val="21"/>
              </w:rPr>
            </w:pPr>
            <w:r>
              <w:rPr>
                <w:rFonts w:hAnsi="宋体"/>
                <w:bCs/>
                <w:szCs w:val="21"/>
              </w:rPr>
              <w:t>名称</w:t>
            </w:r>
          </w:p>
        </w:tc>
        <w:tc>
          <w:tcPr>
            <w:tcW w:w="1590" w:type="dxa"/>
            <w:vAlign w:val="center"/>
          </w:tcPr>
          <w:p>
            <w:pPr>
              <w:jc w:val="center"/>
              <w:rPr>
                <w:bCs/>
                <w:szCs w:val="21"/>
              </w:rPr>
            </w:pPr>
            <w:r>
              <w:rPr>
                <w:rFonts w:hAnsi="宋体"/>
                <w:bCs/>
                <w:szCs w:val="21"/>
              </w:rPr>
              <w:t>数量</w:t>
            </w:r>
          </w:p>
        </w:tc>
        <w:tc>
          <w:tcPr>
            <w:tcW w:w="2130" w:type="dxa"/>
            <w:vAlign w:val="center"/>
          </w:tcPr>
          <w:p>
            <w:pPr>
              <w:jc w:val="center"/>
              <w:rPr>
                <w:bCs/>
                <w:szCs w:val="21"/>
              </w:rPr>
            </w:pPr>
            <w:r>
              <w:rPr>
                <w:rFonts w:hAnsi="宋体"/>
                <w:bCs/>
                <w:szCs w:val="21"/>
              </w:rPr>
              <w:t>型号与规格</w:t>
            </w:r>
          </w:p>
        </w:tc>
        <w:tc>
          <w:tcPr>
            <w:tcW w:w="1860" w:type="dxa"/>
            <w:vAlign w:val="center"/>
          </w:tcPr>
          <w:p>
            <w:pPr>
              <w:jc w:val="center"/>
              <w:rPr>
                <w:bCs/>
                <w:szCs w:val="21"/>
              </w:rPr>
            </w:pPr>
            <w:r>
              <w:rPr>
                <w:rFonts w:hAnsi="宋体"/>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r>
              <w:rPr>
                <w:rFonts w:hint="eastAsia"/>
                <w:bCs/>
                <w:szCs w:val="21"/>
              </w:rPr>
              <w:t>无</w:t>
            </w: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rPr>
                <w:bCs/>
                <w:szCs w:val="21"/>
              </w:rPr>
            </w:pPr>
          </w:p>
        </w:tc>
        <w:tc>
          <w:tcPr>
            <w:tcW w:w="1590" w:type="dxa"/>
            <w:vAlign w:val="center"/>
          </w:tcPr>
          <w:p>
            <w:pPr>
              <w:rPr>
                <w:bCs/>
                <w:szCs w:val="21"/>
              </w:rPr>
            </w:pPr>
          </w:p>
        </w:tc>
        <w:tc>
          <w:tcPr>
            <w:tcW w:w="2130" w:type="dxa"/>
            <w:vAlign w:val="center"/>
          </w:tcPr>
          <w:p>
            <w:pPr>
              <w:rPr>
                <w:bCs/>
                <w:szCs w:val="21"/>
              </w:rPr>
            </w:pPr>
          </w:p>
        </w:tc>
        <w:tc>
          <w:tcPr>
            <w:tcW w:w="1860" w:type="dxa"/>
            <w:vAlign w:val="center"/>
          </w:tcPr>
          <w:p>
            <w:pPr>
              <w:rPr>
                <w:bCs/>
                <w:szCs w:val="21"/>
              </w:rPr>
            </w:pPr>
          </w:p>
        </w:tc>
      </w:tr>
    </w:tbl>
    <w:p>
      <w:bookmarkStart w:id="1363" w:name="_Toc24835"/>
      <w:bookmarkStart w:id="1364" w:name="_Toc153177840"/>
      <w:bookmarkStart w:id="1365" w:name="_Toc153106545"/>
      <w:bookmarkStart w:id="1366" w:name="_Toc153524100"/>
      <w:bookmarkStart w:id="1367" w:name="_Toc296520809"/>
      <w:bookmarkStart w:id="1368" w:name="_Toc153591797"/>
      <w:bookmarkStart w:id="1369" w:name="_Toc496098802"/>
    </w:p>
    <w:p/>
    <w:p/>
    <w:p/>
    <w:p/>
    <w:p/>
    <w:p/>
    <w:p>
      <w:pPr>
        <w:pStyle w:val="2"/>
      </w:pPr>
      <w:bookmarkStart w:id="1370" w:name="_Toc7113"/>
      <w:r>
        <w:rPr>
          <w:rFonts w:hint="eastAsia"/>
        </w:rPr>
        <w:t>附录C</w:t>
      </w:r>
      <w:bookmarkEnd w:id="1363"/>
      <w:bookmarkEnd w:id="1364"/>
      <w:bookmarkEnd w:id="1365"/>
      <w:bookmarkEnd w:id="1366"/>
      <w:bookmarkEnd w:id="1367"/>
      <w:bookmarkEnd w:id="1368"/>
      <w:bookmarkStart w:id="1371" w:name="_Toc476924927"/>
      <w:r>
        <w:rPr>
          <w:rFonts w:hint="eastAsia"/>
        </w:rPr>
        <w:t>廉洁从业合同格式</w:t>
      </w:r>
      <w:bookmarkEnd w:id="1369"/>
      <w:bookmarkEnd w:id="1370"/>
      <w:bookmarkEnd w:id="1371"/>
    </w:p>
    <w:p>
      <w:pPr>
        <w:spacing w:beforeLines="100" w:afterLines="100" w:line="288" w:lineRule="auto"/>
        <w:ind w:firstLine="482"/>
        <w:jc w:val="center"/>
        <w:rPr>
          <w:b/>
          <w:sz w:val="24"/>
        </w:rPr>
      </w:pPr>
      <w:r>
        <w:rPr>
          <w:rFonts w:hint="eastAsia"/>
          <w:b/>
          <w:sz w:val="24"/>
        </w:rPr>
        <w:t>廉洁从业合同</w:t>
      </w:r>
    </w:p>
    <w:p>
      <w:pPr>
        <w:spacing w:line="440" w:lineRule="exact"/>
        <w:ind w:firstLine="420"/>
        <w:rPr>
          <w:rFonts w:ascii="宋体" w:hAnsi="宋体" w:cs="宋体"/>
          <w:bCs/>
          <w:sz w:val="24"/>
        </w:rPr>
      </w:pPr>
      <w:r>
        <w:rPr>
          <w:rFonts w:hint="eastAsia" w:ascii="宋体" w:hAnsi="宋体" w:cs="宋体"/>
          <w:bCs/>
          <w:sz w:val="24"/>
        </w:rPr>
        <w:t>委托人（简称甲方）：</w:t>
      </w:r>
    </w:p>
    <w:p>
      <w:pPr>
        <w:spacing w:line="440" w:lineRule="exact"/>
        <w:ind w:firstLine="420"/>
        <w:rPr>
          <w:rFonts w:ascii="宋体" w:hAnsi="宋体" w:cs="宋体"/>
          <w:bCs/>
          <w:sz w:val="24"/>
        </w:rPr>
      </w:pPr>
      <w:r>
        <w:rPr>
          <w:rFonts w:hint="eastAsia" w:ascii="宋体" w:hAnsi="宋体" w:cs="宋体"/>
          <w:bCs/>
          <w:sz w:val="24"/>
        </w:rPr>
        <w:t>监理人（简称乙方）：</w:t>
      </w:r>
    </w:p>
    <w:p>
      <w:pPr>
        <w:spacing w:line="440" w:lineRule="exact"/>
        <w:ind w:firstLine="420"/>
        <w:rPr>
          <w:rFonts w:ascii="宋体" w:hAnsi="宋体" w:cs="宋体"/>
          <w:bCs/>
          <w:sz w:val="24"/>
        </w:rPr>
      </w:pPr>
      <w:r>
        <w:rPr>
          <w:rFonts w:hint="eastAsia" w:ascii="宋体" w:hAnsi="宋体" w:cs="宋体"/>
          <w:bCs/>
          <w:sz w:val="24"/>
        </w:rPr>
        <w:t xml:space="preserve">为加强工程建设中的廉洁建设，规范工程建设监理委托与被委托双方的各项活动，防止发生各种谋取不正当利益的违法违纪行为，保护国家、集体和当事人的合法权益，根据国家有关工程建设的法律法规和廉洁建设责任制规定，特订立本廉洁责任书。 </w:t>
      </w:r>
    </w:p>
    <w:p>
      <w:pPr>
        <w:spacing w:line="440" w:lineRule="exact"/>
        <w:ind w:firstLine="420"/>
        <w:rPr>
          <w:rFonts w:ascii="宋体" w:hAnsi="宋体" w:cs="宋体"/>
          <w:bCs/>
          <w:sz w:val="24"/>
        </w:rPr>
      </w:pPr>
      <w:r>
        <w:rPr>
          <w:rFonts w:hint="eastAsia" w:ascii="宋体" w:hAnsi="宋体" w:cs="宋体"/>
          <w:bCs/>
          <w:sz w:val="24"/>
        </w:rPr>
        <w:t xml:space="preserve">第一条甲乙双方的责任 </w:t>
      </w:r>
    </w:p>
    <w:p>
      <w:pPr>
        <w:spacing w:line="440" w:lineRule="exact"/>
        <w:ind w:firstLine="420"/>
        <w:rPr>
          <w:rFonts w:ascii="宋体" w:hAnsi="宋体" w:cs="宋体"/>
          <w:bCs/>
          <w:sz w:val="24"/>
        </w:rPr>
      </w:pPr>
      <w:r>
        <w:rPr>
          <w:rFonts w:hint="eastAsia" w:ascii="宋体" w:hAnsi="宋体" w:cs="宋体"/>
          <w:bCs/>
          <w:sz w:val="24"/>
        </w:rPr>
        <w:t xml:space="preserve">　　（一）应严格遵守国家关于市场准入、项目招标投标、工程建设、工程监理和市场活动的有关法律、法规，相关政策，以及廉洁建设的各项规定。 </w:t>
      </w:r>
    </w:p>
    <w:p>
      <w:pPr>
        <w:spacing w:line="440" w:lineRule="exact"/>
        <w:ind w:firstLine="420"/>
        <w:rPr>
          <w:rFonts w:ascii="宋体" w:hAnsi="宋体" w:cs="宋体"/>
          <w:bCs/>
          <w:sz w:val="24"/>
        </w:rPr>
      </w:pPr>
      <w:r>
        <w:rPr>
          <w:rFonts w:hint="eastAsia" w:ascii="宋体" w:hAnsi="宋体" w:cs="宋体"/>
          <w:bCs/>
          <w:sz w:val="24"/>
        </w:rPr>
        <w:t xml:space="preserve">　　（二）严格执行建设工程项目监理合同文件，自觉按合同办事。 </w:t>
      </w:r>
    </w:p>
    <w:p>
      <w:pPr>
        <w:spacing w:line="440" w:lineRule="exact"/>
        <w:ind w:firstLine="420"/>
        <w:rPr>
          <w:rFonts w:ascii="宋体" w:hAnsi="宋体" w:cs="宋体"/>
          <w:bCs/>
          <w:sz w:val="24"/>
        </w:rPr>
      </w:pPr>
      <w:r>
        <w:rPr>
          <w:rFonts w:hint="eastAsia" w:ascii="宋体" w:hAnsi="宋体" w:cs="宋体"/>
          <w:bCs/>
          <w:sz w:val="24"/>
        </w:rPr>
        <w:t xml:space="preserve">　　（三）业务活动必须坚持公开、公平、公正、诚信、透明的原则（除法律法规另有规定者外），不得为获取不正当的利益，损害国家、集体和对方利益，不得违反工程建设管理、建设监理的规章制度。 </w:t>
      </w:r>
    </w:p>
    <w:p>
      <w:pPr>
        <w:spacing w:line="440" w:lineRule="exact"/>
        <w:ind w:firstLine="420"/>
        <w:rPr>
          <w:rFonts w:ascii="宋体" w:hAnsi="宋体" w:cs="宋体"/>
          <w:bCs/>
          <w:sz w:val="24"/>
        </w:rPr>
      </w:pPr>
      <w:r>
        <w:rPr>
          <w:rFonts w:hint="eastAsia" w:ascii="宋体" w:hAnsi="宋体" w:cs="宋体"/>
          <w:bCs/>
          <w:sz w:val="24"/>
        </w:rPr>
        <w:t xml:space="preserve">　　（四）发现对方在业务活动中有违规、违纪、违法行为的，应及时提醒对方，情节严重的，应向其上级主管部门或纪检监察、司法等有关机关举报。 </w:t>
      </w:r>
    </w:p>
    <w:p>
      <w:pPr>
        <w:spacing w:line="440" w:lineRule="exact"/>
        <w:ind w:firstLine="420"/>
        <w:rPr>
          <w:rFonts w:ascii="宋体" w:hAnsi="宋体" w:cs="宋体"/>
          <w:bCs/>
          <w:sz w:val="24"/>
        </w:rPr>
      </w:pPr>
      <w:r>
        <w:rPr>
          <w:rFonts w:hint="eastAsia" w:ascii="宋体" w:hAnsi="宋体" w:cs="宋体"/>
          <w:bCs/>
          <w:sz w:val="24"/>
        </w:rPr>
        <w:t xml:space="preserve">第二条甲方的责任 </w:t>
      </w:r>
    </w:p>
    <w:p>
      <w:pPr>
        <w:spacing w:line="440" w:lineRule="exact"/>
        <w:ind w:firstLine="420"/>
        <w:rPr>
          <w:rFonts w:ascii="宋体" w:hAnsi="宋体" w:cs="宋体"/>
          <w:bCs/>
          <w:sz w:val="24"/>
        </w:rPr>
      </w:pPr>
      <w:r>
        <w:rPr>
          <w:rFonts w:hint="eastAsia" w:ascii="宋体" w:hAnsi="宋体" w:cs="宋体"/>
          <w:bCs/>
          <w:sz w:val="24"/>
        </w:rPr>
        <w:t xml:space="preserve">　　甲方的领导和从事该建设工程项目的工作人员在工程建设的事前、事中、事后应遵守以下规定： </w:t>
      </w:r>
    </w:p>
    <w:p>
      <w:pPr>
        <w:spacing w:line="440" w:lineRule="exact"/>
        <w:ind w:firstLine="420"/>
        <w:rPr>
          <w:rFonts w:ascii="宋体" w:hAnsi="宋体" w:cs="宋体"/>
          <w:bCs/>
          <w:sz w:val="24"/>
        </w:rPr>
      </w:pPr>
      <w:r>
        <w:rPr>
          <w:rFonts w:hint="eastAsia" w:ascii="宋体" w:hAnsi="宋体" w:cs="宋体"/>
          <w:bCs/>
          <w:sz w:val="24"/>
        </w:rPr>
        <w:t xml:space="preserve">　　（一）不准向乙方和相关单位索要或接受回扣、礼金、有价证券、贵重物品和好处费、感谢费等。 </w:t>
      </w:r>
    </w:p>
    <w:p>
      <w:pPr>
        <w:spacing w:line="440" w:lineRule="exact"/>
        <w:ind w:firstLine="420"/>
        <w:rPr>
          <w:rFonts w:ascii="宋体" w:hAnsi="宋体" w:cs="宋体"/>
          <w:bCs/>
          <w:sz w:val="24"/>
        </w:rPr>
      </w:pPr>
      <w:r>
        <w:rPr>
          <w:rFonts w:hint="eastAsia" w:ascii="宋体" w:hAnsi="宋体" w:cs="宋体"/>
          <w:bCs/>
          <w:sz w:val="24"/>
        </w:rPr>
        <w:t xml:space="preserve">　　（二）不准在乙方和相关单位报销任何应由甲方或个人支付的费用。 </w:t>
      </w:r>
    </w:p>
    <w:p>
      <w:pPr>
        <w:spacing w:line="440" w:lineRule="exact"/>
        <w:ind w:firstLine="420"/>
        <w:rPr>
          <w:rFonts w:ascii="宋体" w:hAnsi="宋体" w:cs="宋体"/>
          <w:bCs/>
          <w:sz w:val="24"/>
        </w:rPr>
      </w:pPr>
      <w:r>
        <w:rPr>
          <w:rFonts w:hint="eastAsia" w:ascii="宋体" w:hAnsi="宋体" w:cs="宋体"/>
          <w:bCs/>
          <w:sz w:val="24"/>
        </w:rPr>
        <w:t xml:space="preserve">　　（三）不准要求、暗示或接受乙方和相关单位为个人装修住房、婚丧嫁娶、配偶子女的工作安排以及出国（境）、旅游等提供方便。 </w:t>
      </w:r>
    </w:p>
    <w:p>
      <w:pPr>
        <w:spacing w:line="440" w:lineRule="exact"/>
        <w:ind w:firstLine="420"/>
        <w:rPr>
          <w:rFonts w:ascii="宋体" w:hAnsi="宋体" w:cs="宋体"/>
          <w:bCs/>
          <w:sz w:val="24"/>
        </w:rPr>
      </w:pPr>
      <w:r>
        <w:rPr>
          <w:rFonts w:hint="eastAsia" w:ascii="宋体" w:hAnsi="宋体" w:cs="宋体"/>
          <w:bCs/>
          <w:sz w:val="24"/>
        </w:rPr>
        <w:t xml:space="preserve">　　（四）不准参加有可能影响公正执行公务的乙方和相关单位的宴请、健身、娱乐等活动。 </w:t>
      </w:r>
    </w:p>
    <w:p>
      <w:pPr>
        <w:spacing w:line="440" w:lineRule="exact"/>
        <w:ind w:firstLine="420"/>
        <w:rPr>
          <w:rFonts w:ascii="宋体" w:hAnsi="宋体" w:cs="宋体"/>
          <w:bCs/>
          <w:sz w:val="24"/>
        </w:rPr>
      </w:pPr>
      <w:r>
        <w:rPr>
          <w:rFonts w:hint="eastAsia" w:ascii="宋体" w:hAnsi="宋体" w:cs="宋体"/>
          <w:bCs/>
          <w:sz w:val="24"/>
        </w:rPr>
        <w:t xml:space="preserve">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 </w:t>
      </w:r>
    </w:p>
    <w:p>
      <w:pPr>
        <w:spacing w:line="440" w:lineRule="exact"/>
        <w:ind w:firstLine="420"/>
        <w:rPr>
          <w:rFonts w:ascii="宋体" w:hAnsi="宋体" w:cs="宋体"/>
          <w:bCs/>
          <w:sz w:val="24"/>
        </w:rPr>
      </w:pPr>
      <w:r>
        <w:rPr>
          <w:rFonts w:hint="eastAsia" w:ascii="宋体" w:hAnsi="宋体" w:cs="宋体"/>
          <w:bCs/>
          <w:sz w:val="24"/>
        </w:rPr>
        <w:t xml:space="preserve">第三条乙方的责任 </w:t>
      </w:r>
    </w:p>
    <w:p>
      <w:pPr>
        <w:spacing w:line="440" w:lineRule="exact"/>
        <w:ind w:firstLine="420"/>
        <w:rPr>
          <w:rFonts w:ascii="宋体" w:hAnsi="宋体" w:cs="宋体"/>
          <w:bCs/>
          <w:sz w:val="24"/>
        </w:rPr>
      </w:pPr>
      <w:r>
        <w:rPr>
          <w:rFonts w:hint="eastAsia" w:ascii="宋体" w:hAnsi="宋体" w:cs="宋体"/>
          <w:bCs/>
          <w:sz w:val="24"/>
        </w:rPr>
        <w:t xml:space="preserve">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pPr>
        <w:spacing w:line="440" w:lineRule="exact"/>
        <w:ind w:firstLine="420"/>
        <w:rPr>
          <w:rFonts w:ascii="宋体" w:hAnsi="宋体" w:cs="宋体"/>
          <w:bCs/>
          <w:sz w:val="24"/>
        </w:rPr>
      </w:pPr>
      <w:r>
        <w:rPr>
          <w:rFonts w:hint="eastAsia" w:ascii="宋体" w:hAnsi="宋体" w:cs="宋体"/>
          <w:bCs/>
          <w:sz w:val="24"/>
        </w:rPr>
        <w:t xml:space="preserve">　　（一）不准以任何理由向甲方和相关单位及其工作人员索要、接受或赠送礼金、有价证券、贵重物品及回扣、好处费、感谢费等。 </w:t>
      </w:r>
    </w:p>
    <w:p>
      <w:pPr>
        <w:spacing w:line="440" w:lineRule="exact"/>
        <w:ind w:firstLine="420"/>
        <w:rPr>
          <w:rFonts w:ascii="宋体" w:hAnsi="宋体" w:cs="宋体"/>
          <w:bCs/>
          <w:sz w:val="24"/>
        </w:rPr>
      </w:pPr>
      <w:r>
        <w:rPr>
          <w:rFonts w:hint="eastAsia" w:ascii="宋体" w:hAnsi="宋体" w:cs="宋体"/>
          <w:bCs/>
          <w:sz w:val="24"/>
        </w:rPr>
        <w:t xml:space="preserve">　　（二）不准以任何理由为甲方和相关单位报销应由对方或个人支付的费用。 </w:t>
      </w:r>
    </w:p>
    <w:p>
      <w:pPr>
        <w:spacing w:line="440" w:lineRule="exact"/>
        <w:ind w:firstLine="420"/>
        <w:rPr>
          <w:rFonts w:ascii="宋体" w:hAnsi="宋体" w:cs="宋体"/>
          <w:bCs/>
          <w:sz w:val="24"/>
        </w:rPr>
      </w:pPr>
      <w:r>
        <w:rPr>
          <w:rFonts w:hint="eastAsia" w:ascii="宋体" w:hAnsi="宋体" w:cs="宋体"/>
          <w:bCs/>
          <w:sz w:val="24"/>
        </w:rPr>
        <w:t xml:space="preserve">　　（三）不准接受或暗示为甲方、相关单位或个人装修住房、婚丧嫁娶、配偶子女的工作安排以及出国（境）、旅游等提供方便。 </w:t>
      </w:r>
    </w:p>
    <w:p>
      <w:pPr>
        <w:spacing w:line="440" w:lineRule="exact"/>
        <w:ind w:firstLine="420"/>
        <w:rPr>
          <w:rFonts w:ascii="宋体" w:hAnsi="宋体" w:cs="宋体"/>
          <w:bCs/>
          <w:sz w:val="24"/>
        </w:rPr>
      </w:pPr>
      <w:r>
        <w:rPr>
          <w:rFonts w:hint="eastAsia" w:ascii="宋体" w:hAnsi="宋体" w:cs="宋体"/>
          <w:bCs/>
          <w:sz w:val="24"/>
        </w:rPr>
        <w:t xml:space="preserve">　　（四）不准违反合同约定而使用甲方、相关单位提供的通信、交通工具和高档办公用品。 </w:t>
      </w:r>
    </w:p>
    <w:p>
      <w:pPr>
        <w:spacing w:line="440" w:lineRule="exact"/>
        <w:ind w:firstLine="420"/>
        <w:rPr>
          <w:rFonts w:ascii="宋体" w:hAnsi="宋体" w:cs="宋体"/>
          <w:bCs/>
          <w:sz w:val="24"/>
        </w:rPr>
      </w:pPr>
      <w:r>
        <w:rPr>
          <w:rFonts w:hint="eastAsia" w:ascii="宋体" w:hAnsi="宋体" w:cs="宋体"/>
          <w:bCs/>
          <w:sz w:val="24"/>
        </w:rPr>
        <w:t xml:space="preserve">　　（五）不准以任何理由为甲方、相关单位或个人组织有可能影响公正执行公务的宴请、健身、娱乐等活动。 </w:t>
      </w:r>
    </w:p>
    <w:p>
      <w:pPr>
        <w:spacing w:line="440" w:lineRule="exact"/>
        <w:ind w:firstLine="420"/>
        <w:rPr>
          <w:rFonts w:ascii="宋体" w:hAnsi="宋体" w:cs="宋体"/>
          <w:bCs/>
          <w:sz w:val="24"/>
        </w:rPr>
      </w:pPr>
      <w:r>
        <w:rPr>
          <w:rFonts w:hint="eastAsia" w:ascii="宋体" w:hAnsi="宋体" w:cs="宋体"/>
          <w:bCs/>
          <w:sz w:val="24"/>
        </w:rPr>
        <w:t xml:space="preserve">第四条违约责任 </w:t>
      </w:r>
    </w:p>
    <w:p>
      <w:pPr>
        <w:spacing w:line="440" w:lineRule="exact"/>
        <w:ind w:firstLine="420"/>
        <w:rPr>
          <w:rFonts w:ascii="宋体" w:hAnsi="宋体" w:cs="宋体"/>
          <w:bCs/>
          <w:sz w:val="24"/>
        </w:rPr>
      </w:pPr>
      <w:r>
        <w:rPr>
          <w:rFonts w:hint="eastAsia" w:ascii="宋体" w:hAnsi="宋体" w:cs="宋体"/>
          <w:bCs/>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 </w:t>
      </w:r>
    </w:p>
    <w:p>
      <w:pPr>
        <w:spacing w:line="440" w:lineRule="exact"/>
        <w:ind w:firstLine="420"/>
        <w:rPr>
          <w:rFonts w:ascii="宋体" w:hAnsi="宋体" w:cs="宋体"/>
          <w:bCs/>
          <w:sz w:val="24"/>
        </w:rPr>
      </w:pPr>
      <w:r>
        <w:rPr>
          <w:rFonts w:hint="eastAsia" w:ascii="宋体" w:hAnsi="宋体" w:cs="宋体"/>
          <w:bCs/>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 </w:t>
      </w:r>
    </w:p>
    <w:p>
      <w:pPr>
        <w:spacing w:line="440" w:lineRule="exact"/>
        <w:ind w:firstLine="420"/>
        <w:rPr>
          <w:rFonts w:ascii="宋体" w:hAnsi="宋体" w:cs="宋体"/>
          <w:bCs/>
          <w:sz w:val="24"/>
        </w:rPr>
      </w:pPr>
      <w:r>
        <w:rPr>
          <w:rFonts w:hint="eastAsia" w:ascii="宋体" w:hAnsi="宋体" w:cs="宋体"/>
          <w:bCs/>
          <w:sz w:val="24"/>
        </w:rPr>
        <w:t xml:space="preserve">　　第五条本责任书作为工程监理合同的附件，与工程监理合同具有同等法律效力。经双方签署后立即生效。 </w:t>
      </w:r>
    </w:p>
    <w:p>
      <w:pPr>
        <w:spacing w:line="440" w:lineRule="exact"/>
        <w:ind w:firstLine="420"/>
        <w:rPr>
          <w:rFonts w:ascii="宋体" w:hAnsi="宋体" w:cs="宋体"/>
          <w:bCs/>
          <w:sz w:val="24"/>
        </w:rPr>
      </w:pPr>
      <w:r>
        <w:rPr>
          <w:rFonts w:hint="eastAsia" w:ascii="宋体" w:hAnsi="宋体" w:cs="宋体"/>
          <w:bCs/>
          <w:sz w:val="24"/>
        </w:rPr>
        <w:t xml:space="preserve">　　第六条本责任书的有效期为双方签署之日起至该工程项目竣工验收合格时止。 </w:t>
      </w:r>
    </w:p>
    <w:p>
      <w:pPr>
        <w:spacing w:line="440" w:lineRule="exact"/>
        <w:ind w:firstLine="420"/>
        <w:rPr>
          <w:rFonts w:ascii="宋体" w:hAnsi="宋体" w:cs="宋体"/>
          <w:bCs/>
          <w:sz w:val="24"/>
        </w:rPr>
      </w:pPr>
    </w:p>
    <w:p>
      <w:pPr>
        <w:spacing w:line="440" w:lineRule="exact"/>
        <w:ind w:firstLine="420"/>
        <w:rPr>
          <w:rFonts w:ascii="宋体" w:hAnsi="宋体" w:cs="宋体"/>
          <w:bCs/>
          <w:sz w:val="24"/>
        </w:rPr>
      </w:pPr>
      <w:r>
        <w:rPr>
          <w:rFonts w:hint="eastAsia" w:ascii="宋体" w:hAnsi="宋体" w:cs="宋体"/>
          <w:bCs/>
          <w:sz w:val="24"/>
        </w:rPr>
        <w:t xml:space="preserve">　　委托人单位：（盖章）　　　　　　　　监理人单位：（盖章） </w:t>
      </w:r>
    </w:p>
    <w:p>
      <w:pPr>
        <w:spacing w:line="440" w:lineRule="exact"/>
        <w:ind w:firstLine="420"/>
        <w:rPr>
          <w:rFonts w:ascii="宋体" w:hAnsi="宋体" w:cs="宋体"/>
          <w:bCs/>
          <w:sz w:val="24"/>
        </w:rPr>
      </w:pPr>
      <w:r>
        <w:rPr>
          <w:rFonts w:hint="eastAsia" w:ascii="宋体" w:hAnsi="宋体" w:cs="宋体"/>
          <w:bCs/>
          <w:sz w:val="24"/>
        </w:rPr>
        <w:t xml:space="preserve">　　法定代表人：　　　　　　　　　　　　法定代表人： </w:t>
      </w:r>
    </w:p>
    <w:p>
      <w:pPr>
        <w:spacing w:line="440" w:lineRule="exact"/>
        <w:ind w:firstLine="420"/>
        <w:rPr>
          <w:rFonts w:ascii="宋体" w:hAnsi="宋体" w:cs="宋体"/>
          <w:bCs/>
          <w:sz w:val="24"/>
        </w:rPr>
      </w:pPr>
      <w:r>
        <w:rPr>
          <w:rFonts w:hint="eastAsia" w:ascii="宋体" w:hAnsi="宋体" w:cs="宋体"/>
          <w:bCs/>
          <w:sz w:val="24"/>
        </w:rPr>
        <w:t xml:space="preserve">　　地址：　　　　　　　　　　　　　　　地址： </w:t>
      </w:r>
    </w:p>
    <w:p>
      <w:pPr>
        <w:spacing w:line="440" w:lineRule="exact"/>
        <w:ind w:firstLine="420"/>
        <w:rPr>
          <w:rFonts w:ascii="宋体" w:hAnsi="宋体" w:cs="宋体"/>
          <w:bCs/>
          <w:sz w:val="24"/>
        </w:rPr>
      </w:pPr>
      <w:r>
        <w:rPr>
          <w:rFonts w:hint="eastAsia" w:ascii="宋体" w:hAnsi="宋体" w:cs="宋体"/>
          <w:bCs/>
          <w:sz w:val="24"/>
        </w:rPr>
        <w:t xml:space="preserve">　　电话：　　　　　　　　　　　　　　　电话： </w:t>
      </w:r>
    </w:p>
    <w:p>
      <w:pPr>
        <w:spacing w:line="440" w:lineRule="exact"/>
        <w:ind w:firstLine="720" w:firstLineChars="300"/>
        <w:rPr>
          <w:sz w:val="24"/>
        </w:rPr>
      </w:pPr>
      <w:r>
        <w:rPr>
          <w:rFonts w:hint="eastAsia"/>
          <w:sz w:val="24"/>
        </w:rPr>
        <w:t>年　月　日　　　　　　　　　　　　　　年　月　日</w:t>
      </w:r>
    </w:p>
    <w:p>
      <w:pPr>
        <w:widowControl/>
        <w:jc w:val="left"/>
      </w:pPr>
      <w:r>
        <w:br w:type="page"/>
      </w:r>
    </w:p>
    <w:p>
      <w:pPr>
        <w:pStyle w:val="2"/>
      </w:pPr>
      <w:bookmarkStart w:id="1372" w:name="_Toc496098803"/>
      <w:bookmarkStart w:id="1373" w:name="_Toc8172"/>
      <w:bookmarkStart w:id="1374" w:name="_Toc17674"/>
      <w:bookmarkStart w:id="1375" w:name="_Toc296520811"/>
      <w:r>
        <w:rPr>
          <w:rFonts w:hint="eastAsia"/>
        </w:rPr>
        <w:t>附录D安全责任保证书</w:t>
      </w:r>
      <w:bookmarkEnd w:id="1372"/>
      <w:bookmarkEnd w:id="1373"/>
      <w:bookmarkEnd w:id="1374"/>
      <w:bookmarkEnd w:id="1375"/>
    </w:p>
    <w:p>
      <w:pPr>
        <w:spacing w:beforeLines="100" w:afterLines="100" w:line="360" w:lineRule="auto"/>
        <w:ind w:firstLine="482"/>
        <w:jc w:val="center"/>
        <w:rPr>
          <w:b/>
        </w:rPr>
      </w:pPr>
      <w:r>
        <w:rPr>
          <w:rFonts w:hint="eastAsia"/>
          <w:b/>
        </w:rPr>
        <w:t>安全责任保证书</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委托人（全称）：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（简称甲方）</w:t>
      </w:r>
    </w:p>
    <w:p>
      <w:pPr>
        <w:spacing w:line="360" w:lineRule="auto"/>
        <w:ind w:firstLine="420"/>
        <w:rPr>
          <w:rFonts w:cs="宋体" w:asciiTheme="minorEastAsia" w:hAnsiTheme="minorEastAsia" w:eastAsiaTheme="minorEastAsia"/>
          <w:bCs/>
          <w:sz w:val="24"/>
          <w:u w:val="single"/>
        </w:rPr>
      </w:pPr>
      <w:r>
        <w:rPr>
          <w:rFonts w:hint="eastAsia" w:cs="宋体" w:asciiTheme="minorEastAsia" w:hAnsiTheme="minorEastAsia" w:eastAsiaTheme="minorEastAsia"/>
          <w:bCs/>
          <w:sz w:val="24"/>
        </w:rPr>
        <w:t>承包人（全称）：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监理人（全称）：</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bCs/>
          <w:sz w:val="24"/>
        </w:rPr>
        <w:t>（简称丙方）</w:t>
      </w: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为确保工程项目的施工安全，依照国家、建设部及河南省、许昌市有关法律、法规，甲、乙、丙三方经协商，特签订本协议：</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第一条 各方必须严格遵守国家、行业和河南省、许昌市安全生产法律、法规的规定，保证本工程安全生产，依法承担建设工程安全生产责任。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第二条 甲方的权利与义务：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（一）审核乙方、丙方的资质及合同履行能力，审核项目负责人、技术负责人、专职安全管理人员、监理人员的资质。</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（二）向乙方移交本工程施工场地，并明确乙方进入施工场地的安全责任。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（三）在工程施工前向乙方提供本工程施工现场及毗邻区域内地上、地下管线资料；气象和水文地质资料；相邻建（构）筑物资料。并保证资料的真实、准确、完整。</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（四）提供本工程安全作业环境及安全施工措施所需费用，按甲乙双方确认的安全防护、文明施工措施费用付款计划按时、足额向乙方付款。</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（五）按照有关法律法规、招标文件及合同条款等有关规定向乙方支付意外伤害、农民工工伤保险费。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（六）不对乙方、丙方提出不符合建设工程安全生产法律、法规和强制性标准规定的要求，不压缩合同约定的工期。</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（七）不明示或者暗示乙方购买、租赁、使用不符合安全施工要求的安全防护用具、机械设备、施工机具及配件、消防设施和器材。</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w:t>
      </w:r>
      <w:r>
        <w:rPr>
          <w:rFonts w:cs="宋体" w:asciiTheme="minorEastAsia" w:hAnsiTheme="minorEastAsia" w:eastAsiaTheme="minorEastAsia"/>
          <w:bCs/>
          <w:sz w:val="24"/>
        </w:rPr>
        <w:t>有权对乙方安全生产进行监督检查，对存在的问题和隐患，有权制止，责成其改正，</w:t>
      </w:r>
      <w:r>
        <w:rPr>
          <w:rFonts w:hint="eastAsia" w:cs="宋体" w:asciiTheme="minorEastAsia" w:hAnsiTheme="minorEastAsia" w:eastAsiaTheme="minorEastAsia"/>
          <w:bCs/>
          <w:sz w:val="24"/>
        </w:rPr>
        <w:t>并要求乙方承担相应的违约责任</w:t>
      </w:r>
      <w:r>
        <w:rPr>
          <w:rFonts w:cs="宋体" w:asciiTheme="minorEastAsia" w:hAnsiTheme="minorEastAsia" w:eastAsiaTheme="minorEastAsia"/>
          <w:bCs/>
          <w:sz w:val="24"/>
        </w:rPr>
        <w:t>；对不按要求改正者</w:t>
      </w:r>
      <w:r>
        <w:rPr>
          <w:rFonts w:hint="eastAsia" w:cs="宋体" w:asciiTheme="minorEastAsia" w:hAnsiTheme="minorEastAsia" w:eastAsiaTheme="minorEastAsia"/>
          <w:bCs/>
          <w:sz w:val="24"/>
        </w:rPr>
        <w:t>或</w:t>
      </w:r>
      <w:r>
        <w:rPr>
          <w:rFonts w:cs="宋体" w:asciiTheme="minorEastAsia" w:hAnsiTheme="minorEastAsia" w:eastAsiaTheme="minorEastAsia"/>
          <w:bCs/>
          <w:sz w:val="24"/>
        </w:rPr>
        <w:t>对拒不整改的，甲方有权按照合同约定追究乙方的违约责任，并向有关部门报告；凡发生事故的，甲方可按其造成的后果及影响，追究乙方的违约责任</w:t>
      </w:r>
      <w:r>
        <w:rPr>
          <w:rFonts w:hint="eastAsia" w:cs="宋体" w:asciiTheme="minorEastAsia" w:hAnsiTheme="minorEastAsia" w:eastAsiaTheme="minorEastAsia"/>
          <w:bCs/>
          <w:sz w:val="24"/>
        </w:rPr>
        <w:t>。</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w:t>
      </w:r>
      <w:r>
        <w:rPr>
          <w:rFonts w:cs="宋体" w:asciiTheme="minorEastAsia" w:hAnsiTheme="minorEastAsia" w:eastAsiaTheme="minorEastAsia"/>
          <w:bCs/>
          <w:sz w:val="24"/>
        </w:rPr>
        <w:t>按照监理合同的规定有权对丙方实施的监理工作进行检查，并</w:t>
      </w:r>
      <w:r>
        <w:rPr>
          <w:rFonts w:hint="eastAsia" w:cs="宋体" w:asciiTheme="minorEastAsia" w:hAnsiTheme="minorEastAsia" w:eastAsiaTheme="minorEastAsia"/>
          <w:bCs/>
          <w:sz w:val="24"/>
        </w:rPr>
        <w:t>有权要求</w:t>
      </w:r>
      <w:r>
        <w:rPr>
          <w:rFonts w:cs="宋体" w:asciiTheme="minorEastAsia" w:hAnsiTheme="minorEastAsia" w:eastAsiaTheme="minorEastAsia"/>
          <w:bCs/>
          <w:sz w:val="24"/>
        </w:rPr>
        <w:t>丙方</w:t>
      </w:r>
      <w:r>
        <w:rPr>
          <w:rFonts w:hint="eastAsia" w:cs="宋体" w:asciiTheme="minorEastAsia" w:hAnsiTheme="minorEastAsia" w:eastAsiaTheme="minorEastAsia"/>
          <w:bCs/>
          <w:sz w:val="24"/>
        </w:rPr>
        <w:t>对</w:t>
      </w:r>
      <w:r>
        <w:rPr>
          <w:rFonts w:cs="宋体" w:asciiTheme="minorEastAsia" w:hAnsiTheme="minorEastAsia" w:eastAsiaTheme="minorEastAsia"/>
          <w:bCs/>
          <w:sz w:val="24"/>
        </w:rPr>
        <w:t>违反监理合同及本协议的规定、未尽到监理义务的行为</w:t>
      </w:r>
      <w:r>
        <w:rPr>
          <w:rFonts w:hint="eastAsia" w:cs="宋体" w:asciiTheme="minorEastAsia" w:hAnsiTheme="minorEastAsia" w:eastAsiaTheme="minorEastAsia"/>
          <w:bCs/>
          <w:sz w:val="24"/>
        </w:rPr>
        <w:t>立即改正，由此造成的损失由丙方承担。</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（十）行使与乙方签订的施工合同中安全方面条款规定的甲方的权利与义务；行使与丙方签订的监理合同中安全方面条款规定的甲方的权利与义务。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第三条 乙方的权利和义务：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乙方是本工程施工现场安全生产总负责单位，对本工程施工现场安全生产工作全面负责，确保生产安全、工程安全和不因工程施工而危及周边建（构）筑物、各种管线、道路交通等公众环境安全及人身财产安全。</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建立健全并落实本工程项目的安全生产责任制度、各项安全生产规章制度和操作规程，设立安全生产管理机构，确定主管安全的负责人，配备专业齐全且不少于合同约定数量的专职安全生产管理人员。乙方的项目负责人、项目技术负责人、专职安全生产管理人员须有相应的执业资格，经建设行政主管部门考核合格，并取得安全生产考核合格证书。上述人员应报丙方核查、报甲方备案，未经甲方同意不得随意更换，对施工中的特种作业人员乙方必须选取合格的持证人员上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施工合同中明确的安全防护、文明施工措施费用必须用于所承担的工程项目施工安全防护用具及设施的采购和更新、安全施工措施的落实、安全生产条件的改善，不得挪作他用。在财务管理中应单独列出安全防护、文明施工措施项目清单和费用清单。</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工程分包必须符合有关规定和合同约定，乙方应审查分包单位资质和人员资格，与分包单位签订安全生产协议书，明确各自的安全生产方面的权利、义务。对分包工程的安全生产进行管理，并对分包工程的安全生产承担连带责任。</w:t>
      </w:r>
    </w:p>
    <w:p>
      <w:pPr>
        <w:tabs>
          <w:tab w:val="left" w:pos="1365"/>
        </w:tabs>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依据有关规定和合同约定履行施工现场总负责单位的权利、义务，与其他和工程有关的由甲方直接发包的承包商签订安全生产协议书，明确各自的安全生产方面的权利、义务，统一管理施工现场临时用电、防护设施、明火作业和进出洞口等，并承担相应的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建立完整的安全教育培训计划和培训档案，按计划、定期组织安全教育培训，施工作业前必须按有关规定向作业人员进行安全技术交底，不得安排未经安全生产教育培训或考试不合格的施工人员上岗作业；使用新技术、新工艺、新设备、新材料时应对作业人员进行相应的安全生产教育培训。</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七）进行定期、不定期的全面和专项安全检查，及时消除安全事故隐患，对涉及相邻建（构）筑物、地下线管线等周边环境安全的重大风险点和危险性较大的分部分项工程，应派专人监督安全生产，对每个作业班次安全生产情况进行监督检查，关键工序实施现场时时监督检查，检查应留有记录。 </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认真执行国家、行业和河南省、许昌市市关于安全生产的规范、标准，认真执行建设工程安全管理的有关规定，做好施工现场实体防护，并在施工现场的各个危险部位设置符合国家标准的明显的安全警示标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（九）对甲方提供的地质勘查、市政管线、相邻建（构）筑物等相关资料的准确性进行核查，如果发现资料与实际不符，应当立即向甲方和丙方报告，并要求补充相关资料。施工作业前必须对地下管线进行物探。</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根据有关规范、规程、标准及甲方提供的相关资料，制定有针对性的施工组织设计，施工组织设计应有包括保证相邻建（构）筑物、地下线管线及周边公众环境安全在内的安全技术措施和施工现场临时用电方案；对涉及相邻建（构）筑物、地下线管线等周边环境安全的重大风险点和达到一定规模的危险性较大的分部分项工程应编制专项施工方案，组织专家论证，并应符合编制、审批程序。</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一）施工前，须认真审阅经甲方确认并提供的施工图纸，发现设计图纸与规范要求不符或设计图纸标注不明时，应立即与设计单位联系，并及时形成文字记录。对有关安全施工的技术要求向施工作业班组、作业人员作出详细说明，由双方签字确认。</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二）在施工过程中，应严格按照工程建设强制性标准和审查后的施工图纸、施工方案施工，不允许随意改变、简化施工程序、工法、工艺和各项安全防范措施，落实对周边建（构）筑物、地下管线、道路设施等公众环境的保护措施，严格控制地表沉降，如遇有不明情况，应及时与有关部门联系，确定解决方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三）做好工程及周边环境的监控量测工作，施工前应制订监控量测方案，监控量测方案及其布点应符合设计和相关标准要求。监控量测数据要求准确可靠，并及时绘制曲线图表，出现异常情况要及时采取有效措施，并立即报告甲方、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（十四）根据不同施工阶段和周围环境及季节、气候的变化，采取相应的安全施工措施；根据有关规定，落实各项文明施工和环境保护措施；施工现场暂时停止施工的，应当做好现场防护。</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五）施工现场使用的安全防护用具、车辆、机械设备和施工机具及配件应符合国家标准或行业标准，起重机械、大型机械设备必须符合国家标准，应当具有生产制造单位的生产（制造）许可证、产品合格证，相应资质的检测机构出具的在有效的检测期内的检测合格证明，并经进场查验合格后方可使用；使用中应设有专人管理，定期进行检查、维修和保养；不得使用存在安全隐患或国家规定应该报废和淘汰的车辆、设备、机具、设施。</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按有关规定在施工现场安装、拆卸施工起重机械和设施等，必须由具有相应资质的单位承担，应当编制拆装方案、制定安全施工措施，并由专业技术人员现场监督。安装完毕后，安装单位应当自检，出具自检合格证明，并向施工单位进行安全使用说明，办理验收手续并签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六）建立施工现场消防安全责任制度，确定消防安全责任人，制定各项消防安全管理制度和操作规程，按有关法律法规和强制性标准要求设置消防通道、消防水源、配备消防设施和灭火器材，并在施工现场入口处设置明显标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七）结合所承担工程项目的实际情况，制定应对包括自然灾害在内的各种突发事件应急救援预案，建立应急救援组织，配备应急救援人员和必要的应急救援器材、设备，并定期组织演练。发生突发事件立即组织进行紧急处置避免事态扩大，并按有关法律、法规和强制性标准的要求立即上报，并立即通知监理人，同时通知委托人；委托人有权向有关政府部门报告，但不替代承包人的上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（十八）按照规定为施工作业人员和工程管理人员及其他按照国家和河南省、许昌市的规定应当承保的人员承保意外伤害险和工伤保险。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（十九）接受甲方和丙方对安全生产的监督管理，对甲方、丙方及有关方面在安全检查中要求进行整改的安全事故隐患和不安全行为，立即进行改正。参加甲方组织的安全评比活动，并按活动规则接受奖惩。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（二十）行使与甲方签订的施工合同中安全方面条款规定的乙方的权利与义务。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第四条 丙方的权利和义务：</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受甲方委托，依照法律、法规、工程建设强制性标准、建设部《关于落实建设工程安全生产监理责任的若干意见》，对所监理工程的施工安全生产进行监督检查，严格执行安全监理工作程序，做好施工准备阶段和施工阶段的安全监理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（二）建立健全安全监理管理体系、制定各项安全监理规章制度，按有关规定制定教育培训计划，组织安全教育培训，建立培训档案。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建立健全安全监理责任制，明确项目总监理工程师、安全监理人员、专业监理工程师、监理员的安全监理职责。按合同约定配齐专职安全监理人员，总监办至少配备两名专职安全监理人员，每个驻地办至少配备一名专职安全监理人员，安全监理人员应当专业齐全，经过安全监理业务教育培训，考核合格，持证上岗。</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（四）按照有关规定编制包含安全监理方案的项目监理规划和安全监理实施细则。对涉及相邻建（构）筑物、地下线管线等周边环境安全的重大风险点和危险性较大的分部分项工程应编制安全监理实施细则。</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五）按照有关规定对相邻建（构）筑物、地下线管线等的专项保护措施方案，施工组织设计中的安全技术措施，施工现场临时用电施工组织设计，冬季、雨季等季节性施工方案，危险性较大的分部分项工程专项施工方案，监控量测方案，事故应急抢险预案，采用新技术、新工艺、新材料、新设备的专项施工方案，施工总平面布置图，临时设施设置及排水、防火措施等进行审查。审核乙方安全防护、文明施工措施费用使用计划。</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六）根据有关规定和施工合同约定，检查乙方施工现场安全管理目标的设定，安全生产管理机构的设置，安全生产责任制度和各项安全生产规章制度的建立，专职安全生产管理人员的配备等情况；审查各级管理人员合法资格，项目负责人、专职安全生产管理人员安全生产考核合格证书；审核特种作业人员资格证书。</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七）核查乙方及其专业分包、劳务分包单位的资质和安全生产许可证；检查乙方与分包及相关单位的安全协议签订情况；督促乙方检查各分包单位的安全生产规章制度建立情况；在核查开工条件同时核查乙方安全生产准备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八）在施工过程中，根据有关规定以及施工合同约定，检查乙方安全生产管理、作业行为和施工现场实体防护情况，包括施工现场安全生产保证体系的运行，施工安全技术措施和专项施工方案的落实，安全标志设置，执行工程建设强制性标准，安全防护、文明施工措施费使用等情况。督促乙方进行安全自查，并抽查其自查情况。</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九）施工过程中，现场监理人员每日应不少于两次对施工现场的安全生产情况进行巡视检查，驻地的专职安全监理人员每日应不少于一次进行安全检查，总监办对施工现场的安全检查每周应不少于一次，并参加乙方每周组织的安全检查和甲方组织的安全检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对涉及相邻建（构）筑物、地下管线等周边环境安全的重大风险点和危险性较大的分部分项工程，应安排专人负责安全监理，施工过程中，现场监理人员应对每个作业班次安全生产情况进行巡视检查，关键工序实施现场跟班监督检查，专业监理工程师、驻地的专职安全监理人员每日应不少于两次进行安全检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（十一）根据风险源类别等级编制监控管理方案，对风险源和监测单位实施监控管理，发现异常情况及时报告并采取应急措施等。</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二）施工过程中，应对监控量测数据及时进行分析，出现监测对象沉降、变形严重超过控制范围的隐患险情时，应根据实际情况要求乙方暂时停止施工并督促乙方立即采取措施防止险情进一步扩大，同时报告甲方并组织专家和有关单位研究制定防控方案。</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三）检查施工机械、设备、设施的进场验收、保养、年检手续；参加模板支撑体系的验收，对工具式脚手架、落地式脚手架、临时用电、基坑支护等安全设施的验收资料及实物进行检查，并签署意见；检查起重机械拆装单位企业资质、租赁合同、设备定期检测报告、专项拆装方案、作业人员上岗证，并在安装完毕后检查乙方的安装验收手续。</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（十四）在日常巡视和安全检查中发现违规施工和存在安全事故隐患时，应按有关规定立即发出监理指令，要求乙方整改，并检查整改结果，签署复查意见，情况严重的，由总监下达工程暂停施工令并报告甲方。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（十五）按照有关法律法规的要求和规定，对安全事故进行处理和报告。</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（十六）按照有关规定健全安全监理资料，并做好资料管理工作。</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（十七）参加甲方组织的安全评比活动，并按活动规则接受奖惩。</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（十八）行使国家和河南省、许昌市相关规定的以及与甲方签订的监理合同中安全方面条款规定的监理人的权利与义务。 </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第五条 违约责任</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一）发生安全事故，乙方应在抢救受伤人员、减少进一步损失、保护现场的同时，按有关法律、法规和强制性标准的要求立即上报，并立即通知监理人，同时通知委托人，并不得隐瞒事故真相，如有违反，导致事故责任无法确认的，事故责任及事故损失均由乙方承担。委托人有权向有关政府部门报告，但不替代承包人的上报</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二）发生《生产安全事故调查处理条例》（国务院第493号令）中规定的一般等级以上（含一般）事故的，以及发生因地铁施工原因导致对地面建（构）筑物等周边环境或各类市政基础设施的安全运营造成重大隐患，影响其使用功能或损坏，需要组织社会力量紧急抢险的事故，除甲方有权视情况从应支付给乙方的工程款中扣除10000－100000元作为违约金外，乙方还应按有关规定承担因事故造成的经济损失及因乙方责任给甲方造成的连带经济损失</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（三）对在各级各类安全检查中问题较多或情况比较严重或未按要求整改的，甲方有权从应支付给乙方的工程款中扣处1000－10000元作为违约金。</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四）如丙方未尽到监理责任，甲方有权视情况从应支付给丙方的监理费中扣除500－5000元作为违约金；如因此导致施工现场发生事故的，甲方有权视情况从应支付给丙方的监理费中扣除2000－30000元作为违约金，并有权根据丙方过错程度扣除丙方的监理费以弥补损失。</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第六条 本协议条款与国家和河南省、许昌市的有关法规不符时，按国家和河南省、许昌市的有关法律法规执行。</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第七条 本协议作为甲、乙、丙三方分别签订的施工合同及监理合同的附件，与上述合同具有同等法律效力，与上述合同时生效和终止。</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第八条 本协议未尽之事项，依据国家和河南省、许昌市的有关法律、法规处理，法律法规未作明确规定的，可由三方协商处理解决。</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第九条 本协议一式三份，甲、乙、丙三方各执一份。</w:t>
      </w: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甲方：                  乙方：                丙方：</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法定代表人：　　　　　　法定代表人：　　      法定代表人：</w:t>
      </w:r>
    </w:p>
    <w:p>
      <w:pPr>
        <w:spacing w:line="360" w:lineRule="auto"/>
        <w:ind w:firstLine="420"/>
        <w:rPr>
          <w:rFonts w:cs="宋体" w:asciiTheme="minorEastAsia" w:hAnsiTheme="minorEastAsia" w:eastAsiaTheme="minorEastAsia"/>
          <w:bCs/>
          <w:sz w:val="24"/>
        </w:rPr>
      </w:pPr>
      <w:r>
        <w:rPr>
          <w:rFonts w:hint="eastAsia" w:cs="宋体" w:asciiTheme="minorEastAsia" w:hAnsiTheme="minorEastAsia" w:eastAsiaTheme="minorEastAsia"/>
          <w:bCs/>
          <w:sz w:val="24"/>
        </w:rPr>
        <w:t>年　月　日　　　　　　　年　月　日　　　  　  年　月　日</w:t>
      </w:r>
    </w:p>
    <w:p>
      <w:pPr>
        <w:spacing w:line="360" w:lineRule="auto"/>
        <w:ind w:firstLine="420"/>
        <w:rPr>
          <w:rFonts w:cs="宋体" w:asciiTheme="minorEastAsia" w:hAnsiTheme="minorEastAsia" w:eastAsiaTheme="minorEastAsia"/>
          <w:bCs/>
          <w:sz w:val="24"/>
        </w:rPr>
      </w:pPr>
    </w:p>
    <w:p>
      <w:pPr>
        <w:spacing w:line="276" w:lineRule="auto"/>
        <w:ind w:firstLine="420"/>
        <w:rPr>
          <w:rFonts w:cs="宋体" w:asciiTheme="minorEastAsia" w:hAnsiTheme="minorEastAsia" w:eastAsiaTheme="minorEastAsia"/>
          <w:bCs/>
          <w:sz w:val="24"/>
        </w:rPr>
      </w:pPr>
    </w:p>
    <w:p>
      <w:pPr>
        <w:spacing w:line="276" w:lineRule="auto"/>
        <w:ind w:firstLine="420"/>
        <w:rPr>
          <w:rFonts w:cs="宋体" w:asciiTheme="minorEastAsia" w:hAnsiTheme="minorEastAsia" w:eastAsiaTheme="minorEastAsia"/>
          <w:bCs/>
          <w:sz w:val="24"/>
        </w:rPr>
      </w:pPr>
    </w:p>
    <w:p>
      <w:pPr>
        <w:pStyle w:val="2"/>
      </w:pPr>
      <w:bookmarkStart w:id="1376" w:name="_Toc496098805"/>
      <w:bookmarkStart w:id="1377" w:name="_Toc24384"/>
      <w:bookmarkStart w:id="1378" w:name="_Toc405378263"/>
      <w:r>
        <w:rPr>
          <w:rFonts w:hint="eastAsia"/>
        </w:rPr>
        <w:t>附录E</w:t>
      </w:r>
      <w:bookmarkStart w:id="1379" w:name="_Toc465184240"/>
      <w:r>
        <w:rPr>
          <w:rFonts w:hint="eastAsia"/>
        </w:rPr>
        <w:t>履约保函格式</w:t>
      </w:r>
      <w:bookmarkEnd w:id="1376"/>
      <w:bookmarkEnd w:id="1377"/>
      <w:bookmarkEnd w:id="1379"/>
    </w:p>
    <w:p>
      <w:pPr>
        <w:spacing w:beforeLines="100" w:afterLines="100" w:line="360" w:lineRule="auto"/>
        <w:jc w:val="center"/>
        <w:rPr>
          <w:rFonts w:ascii="宋体" w:hAnsi="宋体"/>
          <w:b/>
          <w:szCs w:val="21"/>
        </w:rPr>
      </w:pPr>
      <w:r>
        <w:rPr>
          <w:rFonts w:hint="eastAsia" w:ascii="宋体" w:hAnsi="宋体"/>
          <w:b/>
          <w:szCs w:val="21"/>
        </w:rPr>
        <w:t>履约保函</w:t>
      </w:r>
    </w:p>
    <w:p>
      <w:pPr>
        <w:spacing w:line="360" w:lineRule="auto"/>
        <w:ind w:right="-58"/>
        <w:jc w:val="center"/>
        <w:rPr>
          <w:szCs w:val="21"/>
          <w:u w:val="single"/>
        </w:rPr>
      </w:pPr>
      <w:r>
        <w:rPr>
          <w:rFonts w:hint="eastAsia"/>
          <w:szCs w:val="21"/>
        </w:rPr>
        <w:t>保函编号：</w:t>
      </w:r>
    </w:p>
    <w:p>
      <w:pPr>
        <w:spacing w:line="360" w:lineRule="auto"/>
        <w:ind w:firstLine="420"/>
        <w:rPr>
          <w:rFonts w:ascii="宋体" w:hAnsi="宋体"/>
          <w:sz w:val="24"/>
          <w:u w:val="single"/>
        </w:rPr>
      </w:pPr>
      <w:r>
        <w:rPr>
          <w:rFonts w:hint="eastAsia" w:ascii="宋体" w:hAnsi="宋体"/>
          <w:sz w:val="24"/>
        </w:rPr>
        <w:t>致：</w:t>
      </w:r>
    </w:p>
    <w:p>
      <w:pPr>
        <w:spacing w:line="360" w:lineRule="auto"/>
        <w:ind w:firstLine="420"/>
        <w:rPr>
          <w:rFonts w:ascii="宋体" w:hAnsi="宋体"/>
          <w:sz w:val="24"/>
        </w:rPr>
      </w:pPr>
      <w:r>
        <w:rPr>
          <w:rFonts w:hint="eastAsia" w:ascii="宋体" w:hAnsi="宋体"/>
          <w:sz w:val="24"/>
        </w:rPr>
        <w:t>鉴于（以下简称“***”）接受（以下签称“***”）于 年月 日参加</w:t>
      </w:r>
      <w:r>
        <w:rPr>
          <w:rFonts w:hint="eastAsia" w:ascii="宋体" w:hAnsi="宋体"/>
          <w:sz w:val="24"/>
          <w:u w:val="single"/>
        </w:rPr>
        <w:t xml:space="preserve">   （项目名称）    </w:t>
      </w:r>
      <w:r>
        <w:rPr>
          <w:rFonts w:hint="eastAsia" w:ascii="宋体" w:hAnsi="宋体"/>
          <w:sz w:val="24"/>
        </w:rPr>
        <w:t>的投标。</w:t>
      </w:r>
    </w:p>
    <w:p>
      <w:pPr>
        <w:spacing w:line="360" w:lineRule="auto"/>
        <w:ind w:firstLine="420"/>
        <w:rPr>
          <w:rFonts w:ascii="宋体" w:hAnsi="宋体"/>
          <w:sz w:val="24"/>
        </w:rPr>
      </w:pPr>
      <w:r>
        <w:rPr>
          <w:rFonts w:hint="eastAsia" w:ascii="宋体" w:hAnsi="宋体"/>
          <w:sz w:val="24"/>
        </w:rPr>
        <w:t>我方受***委托，为***履行上述合同规定的义务作出如下不可撤销的保证：</w:t>
      </w:r>
    </w:p>
    <w:p>
      <w:pPr>
        <w:spacing w:line="360" w:lineRule="auto"/>
        <w:ind w:firstLine="420"/>
        <w:rPr>
          <w:rFonts w:ascii="宋体" w:hAnsi="宋体"/>
          <w:sz w:val="24"/>
        </w:rPr>
      </w:pPr>
      <w:r>
        <w:rPr>
          <w:rFonts w:hint="eastAsia" w:ascii="宋体" w:hAnsi="宋体"/>
          <w:sz w:val="24"/>
        </w:rPr>
        <w:t>我方在收到你方的书面索赔通知及相关违约证明后，经核定在七个日历天内承担连带保证责任，向你方支付不超过人民币小写：元（大写：）的任何你方要求金额，并放弃任何向你方提出异议和追索的权利。</w:t>
      </w:r>
    </w:p>
    <w:p>
      <w:pPr>
        <w:spacing w:line="360" w:lineRule="auto"/>
        <w:ind w:firstLine="420"/>
        <w:rPr>
          <w:rFonts w:ascii="宋体" w:hAnsi="宋体"/>
          <w:sz w:val="24"/>
        </w:rPr>
      </w:pPr>
      <w:r>
        <w:rPr>
          <w:rFonts w:hint="eastAsia" w:ascii="宋体" w:hAnsi="宋体"/>
          <w:sz w:val="24"/>
        </w:rPr>
        <w:t>我方特此确认并同意：我方受本保函制约的责任是连续的，合同的任何修改或变更、解除、终止或失效都不能削弱或影响我方受本保函制约的责任。</w:t>
      </w:r>
    </w:p>
    <w:p>
      <w:pPr>
        <w:spacing w:line="360" w:lineRule="auto"/>
        <w:ind w:firstLine="420"/>
        <w:rPr>
          <w:rFonts w:ascii="宋体" w:hAnsi="宋体"/>
          <w:sz w:val="24"/>
        </w:rPr>
      </w:pPr>
      <w:r>
        <w:rPr>
          <w:rFonts w:hint="eastAsia" w:ascii="宋体" w:hAnsi="宋体"/>
          <w:sz w:val="24"/>
        </w:rPr>
        <w:t>本保函项下所有权利和义务均受中华人民共和国法律管辖和制约。</w:t>
      </w:r>
    </w:p>
    <w:p>
      <w:pPr>
        <w:spacing w:line="360" w:lineRule="auto"/>
        <w:ind w:firstLine="420"/>
        <w:rPr>
          <w:rFonts w:ascii="宋体" w:hAnsi="宋体"/>
          <w:sz w:val="24"/>
        </w:rPr>
      </w:pPr>
      <w:r>
        <w:rPr>
          <w:rFonts w:hint="eastAsia" w:ascii="宋体" w:hAnsi="宋体"/>
          <w:sz w:val="24"/>
        </w:rPr>
        <w:t>本保函自之日起生效，至 失效，最晚不超过年月日，除非你方提前终止或解除本保函。保函失效后请将本保函退回我方注销。</w:t>
      </w:r>
    </w:p>
    <w:p>
      <w:pPr>
        <w:spacing w:line="360" w:lineRule="auto"/>
        <w:ind w:firstLine="420"/>
        <w:rPr>
          <w:rFonts w:ascii="宋体" w:hAnsi="宋体"/>
          <w:sz w:val="24"/>
        </w:rPr>
      </w:pPr>
    </w:p>
    <w:p>
      <w:pPr>
        <w:spacing w:before="120" w:after="120" w:line="360" w:lineRule="auto"/>
        <w:ind w:firstLine="420"/>
        <w:rPr>
          <w:rFonts w:ascii="宋体" w:hAnsi="宋体"/>
          <w:sz w:val="24"/>
        </w:rPr>
      </w:pPr>
      <w:r>
        <w:rPr>
          <w:rFonts w:hint="eastAsia" w:ascii="宋体" w:hAnsi="宋体"/>
          <w:sz w:val="24"/>
        </w:rPr>
        <w:t>担保人：（盖单位章）</w:t>
      </w:r>
    </w:p>
    <w:p>
      <w:pPr>
        <w:spacing w:before="120" w:after="120" w:line="360" w:lineRule="auto"/>
        <w:ind w:firstLine="420"/>
        <w:rPr>
          <w:rFonts w:ascii="宋体" w:hAnsi="宋体"/>
          <w:sz w:val="24"/>
        </w:rPr>
      </w:pPr>
      <w:r>
        <w:rPr>
          <w:rFonts w:hint="eastAsia" w:ascii="宋体" w:hAnsi="宋体"/>
          <w:sz w:val="24"/>
        </w:rPr>
        <w:t>法定代表人或有权签字人：（签字）</w:t>
      </w:r>
    </w:p>
    <w:p>
      <w:pPr>
        <w:spacing w:before="120" w:after="120" w:line="360" w:lineRule="auto"/>
        <w:ind w:firstLine="420"/>
        <w:rPr>
          <w:rFonts w:ascii="宋体" w:hAnsi="宋体"/>
          <w:sz w:val="24"/>
        </w:rPr>
      </w:pPr>
      <w:r>
        <w:rPr>
          <w:rFonts w:hint="eastAsia" w:ascii="宋体" w:hAnsi="宋体"/>
          <w:sz w:val="24"/>
        </w:rPr>
        <w:t>地    址：</w:t>
      </w:r>
    </w:p>
    <w:p>
      <w:pPr>
        <w:spacing w:before="120" w:after="120" w:line="360" w:lineRule="auto"/>
        <w:ind w:firstLine="420"/>
        <w:rPr>
          <w:rFonts w:ascii="宋体" w:hAnsi="宋体"/>
          <w:sz w:val="24"/>
        </w:rPr>
      </w:pPr>
      <w:r>
        <w:rPr>
          <w:rFonts w:hint="eastAsia" w:ascii="宋体" w:hAnsi="宋体"/>
          <w:sz w:val="24"/>
        </w:rPr>
        <w:t>邮政编码：</w:t>
      </w:r>
    </w:p>
    <w:p>
      <w:pPr>
        <w:spacing w:before="120" w:after="120" w:line="360" w:lineRule="auto"/>
        <w:ind w:firstLine="420"/>
        <w:rPr>
          <w:rFonts w:ascii="宋体" w:hAnsi="宋体"/>
          <w:sz w:val="24"/>
        </w:rPr>
      </w:pPr>
      <w:r>
        <w:rPr>
          <w:rFonts w:hint="eastAsia" w:ascii="宋体" w:hAnsi="宋体"/>
          <w:sz w:val="24"/>
        </w:rPr>
        <w:t>电    话：</w:t>
      </w:r>
    </w:p>
    <w:p>
      <w:pPr>
        <w:spacing w:before="120" w:after="120" w:line="360" w:lineRule="auto"/>
        <w:ind w:firstLine="420"/>
        <w:rPr>
          <w:rFonts w:ascii="宋体" w:hAnsi="宋体"/>
          <w:sz w:val="24"/>
        </w:rPr>
      </w:pPr>
      <w:r>
        <w:rPr>
          <w:rFonts w:hint="eastAsia" w:ascii="宋体" w:hAnsi="宋体"/>
          <w:sz w:val="24"/>
        </w:rPr>
        <w:t>传    真：</w:t>
      </w:r>
    </w:p>
    <w:p>
      <w:pPr>
        <w:spacing w:line="360" w:lineRule="auto"/>
        <w:ind w:firstLine="360" w:firstLineChars="150"/>
        <w:rPr>
          <w:sz w:val="24"/>
        </w:rPr>
      </w:pPr>
      <w:r>
        <w:rPr>
          <w:rFonts w:hint="eastAsia" w:ascii="宋体" w:hAnsi="宋体"/>
          <w:sz w:val="24"/>
        </w:rPr>
        <w:t xml:space="preserve">日    期：           年      月     日 </w:t>
      </w:r>
    </w:p>
    <w:bookmarkEnd w:id="1378"/>
    <w:p>
      <w:pPr>
        <w:spacing w:line="360" w:lineRule="auto"/>
        <w:ind w:firstLine="420"/>
        <w:rPr>
          <w:rFonts w:ascii="宋体" w:hAnsi="宋体" w:cs="宋体"/>
          <w:bCs/>
          <w:sz w:val="24"/>
        </w:rPr>
      </w:pPr>
    </w:p>
    <w:p>
      <w:pPr>
        <w:ind w:firstLine="420"/>
        <w:rPr>
          <w:rFonts w:ascii="宋体" w:hAnsi="宋体" w:cs="宋体"/>
          <w:bCs/>
          <w:szCs w:val="21"/>
        </w:rPr>
      </w:pPr>
    </w:p>
    <w:p>
      <w:pPr>
        <w:rPr>
          <w:rFonts w:ascii="宋体" w:hAnsi="宋体" w:cs="宋体"/>
          <w:bCs/>
        </w:rPr>
      </w:pPr>
    </w:p>
    <w:p>
      <w:pPr>
        <w:rPr>
          <w:rFonts w:ascii="宋体" w:hAnsi="宋体" w:cs="宋体"/>
          <w:bCs/>
          <w:szCs w:val="21"/>
        </w:rPr>
      </w:pPr>
    </w:p>
    <w:p>
      <w:pPr>
        <w:rPr>
          <w:rFonts w:ascii="宋体" w:hAnsi="宋体" w:cs="宋体"/>
          <w:bCs/>
        </w:rPr>
      </w:pPr>
      <w:r>
        <w:rPr>
          <w:rFonts w:ascii="宋体" w:hAnsi="宋体" w:cs="宋体"/>
          <w:bCs/>
        </w:rPr>
        <w:br w:type="page"/>
      </w:r>
    </w:p>
    <w:p>
      <w:pPr>
        <w:pStyle w:val="3"/>
      </w:pPr>
      <w:bookmarkStart w:id="1380" w:name="_Toc281225318"/>
      <w:bookmarkStart w:id="1381" w:name="_Toc273359023"/>
      <w:bookmarkStart w:id="1382" w:name="_Toc271636160"/>
      <w:bookmarkStart w:id="1383" w:name="_Toc2092"/>
      <w:bookmarkStart w:id="1384" w:name="_Toc15933"/>
      <w:bookmarkStart w:id="1385" w:name="_Toc496098807"/>
      <w:r>
        <w:rPr>
          <w:rFonts w:hint="eastAsia"/>
        </w:rPr>
        <w:t>第五章 监理服务内容、</w:t>
      </w:r>
      <w:bookmarkEnd w:id="1380"/>
      <w:bookmarkEnd w:id="1381"/>
      <w:bookmarkEnd w:id="1382"/>
      <w:bookmarkStart w:id="1386" w:name="_Toc210819281"/>
      <w:bookmarkStart w:id="1387" w:name="_Toc279350879"/>
      <w:r>
        <w:rPr>
          <w:rFonts w:hint="eastAsia"/>
        </w:rPr>
        <w:t>技术标准和要求</w:t>
      </w:r>
      <w:bookmarkEnd w:id="1383"/>
      <w:bookmarkEnd w:id="1384"/>
      <w:bookmarkEnd w:id="1385"/>
    </w:p>
    <w:p>
      <w:pPr>
        <w:spacing w:line="200" w:lineRule="exact"/>
        <w:ind w:firstLine="200"/>
        <w:rPr>
          <w:sz w:val="10"/>
          <w:szCs w:val="10"/>
        </w:rPr>
      </w:pPr>
    </w:p>
    <w:bookmarkEnd w:id="1386"/>
    <w:bookmarkEnd w:id="1387"/>
    <w:p>
      <w:pPr>
        <w:spacing w:line="400" w:lineRule="exact"/>
        <w:jc w:val="center"/>
        <w:rPr>
          <w:rFonts w:ascii="宋体" w:hAnsi="宋体"/>
          <w:b/>
          <w:sz w:val="28"/>
          <w:szCs w:val="28"/>
        </w:rPr>
      </w:pPr>
      <w:r>
        <w:rPr>
          <w:rFonts w:hint="eastAsia" w:ascii="宋体" w:hAnsi="宋体"/>
          <w:b/>
          <w:sz w:val="28"/>
          <w:szCs w:val="28"/>
        </w:rPr>
        <w:t>建设工程监理规范</w:t>
      </w: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center"/>
        <w:rPr>
          <w:rFonts w:ascii="宋体" w:hAnsi="宋体"/>
        </w:rPr>
      </w:pPr>
      <w:r>
        <w:rPr>
          <w:rFonts w:hint="eastAsia" w:ascii="宋体" w:hAnsi="宋体"/>
        </w:rPr>
        <w:t>《建设工程监理规范》</w:t>
      </w:r>
      <w:r>
        <w:t>GB50319-20</w:t>
      </w:r>
      <w:r>
        <w:rPr>
          <w:rFonts w:hint="eastAsia"/>
        </w:rPr>
        <w:t>13</w:t>
      </w:r>
      <w:r>
        <w:rPr>
          <w:rFonts w:hint="eastAsia" w:ascii="宋体" w:hAnsi="宋体"/>
        </w:rPr>
        <w:t>为本工程监理合同的组成部分。</w:t>
      </w:r>
    </w:p>
    <w:p>
      <w:pPr>
        <w:spacing w:line="400" w:lineRule="exact"/>
        <w:jc w:val="left"/>
        <w:rPr>
          <w:rFonts w:ascii="宋体" w:hAnsi="宋体"/>
        </w:rPr>
      </w:pPr>
      <w:r>
        <w:rPr>
          <w:rFonts w:ascii="宋体" w:hAnsi="宋体"/>
        </w:rPr>
        <w:br w:type="page"/>
      </w: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rPr>
          <w:rFonts w:ascii="宋体" w:hAnsi="宋体"/>
        </w:rPr>
      </w:pPr>
    </w:p>
    <w:p>
      <w:pPr>
        <w:pStyle w:val="3"/>
      </w:pPr>
      <w:bookmarkStart w:id="1388" w:name="_Toc144974855"/>
      <w:bookmarkStart w:id="1389" w:name="_Toc496098809"/>
      <w:bookmarkStart w:id="1390" w:name="_Toc152042575"/>
      <w:bookmarkStart w:id="1391" w:name="_Toc273359042"/>
      <w:bookmarkStart w:id="1392" w:name="_Toc152045786"/>
      <w:bookmarkStart w:id="1393" w:name="_Toc269324867"/>
      <w:bookmarkStart w:id="1394" w:name="_Toc281225370"/>
      <w:bookmarkStart w:id="1395" w:name="_Toc31099"/>
      <w:bookmarkStart w:id="1396" w:name="_Toc14708"/>
      <w:r>
        <w:rPr>
          <w:rFonts w:hint="eastAsia"/>
        </w:rPr>
        <w:t>第六章 投标文件格式</w:t>
      </w:r>
      <w:bookmarkEnd w:id="1388"/>
      <w:bookmarkEnd w:id="1389"/>
      <w:bookmarkEnd w:id="1390"/>
      <w:bookmarkEnd w:id="1391"/>
      <w:bookmarkEnd w:id="1392"/>
      <w:bookmarkEnd w:id="1393"/>
      <w:bookmarkEnd w:id="1394"/>
      <w:bookmarkEnd w:id="1395"/>
      <w:bookmarkEnd w:id="1396"/>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r>
        <w:rPr>
          <w:rFonts w:hint="eastAsia" w:eastAsia="黑体"/>
        </w:rPr>
        <w:t>封面及扉页格式</w:t>
      </w:r>
    </w:p>
    <w:p>
      <w:pPr>
        <w:ind w:firstLine="560"/>
        <w:jc w:val="right"/>
        <w:rPr>
          <w:rFonts w:ascii="黑体" w:hAnsi="黑体" w:eastAsia="黑体"/>
          <w:sz w:val="28"/>
          <w:szCs w:val="28"/>
        </w:rPr>
      </w:pPr>
    </w:p>
    <w:p>
      <w:pPr>
        <w:ind w:firstLine="560"/>
        <w:jc w:val="right"/>
        <w:rPr>
          <w:rFonts w:ascii="黑体" w:hAnsi="黑体" w:eastAsia="黑体"/>
          <w:sz w:val="28"/>
          <w:szCs w:val="28"/>
        </w:rPr>
      </w:pPr>
      <w:r>
        <w:rPr>
          <w:rFonts w:hint="eastAsia" w:ascii="黑体" w:hAnsi="黑体" w:eastAsia="黑体"/>
          <w:sz w:val="28"/>
          <w:szCs w:val="28"/>
        </w:rPr>
        <w:t>正本/副本</w:t>
      </w:r>
    </w:p>
    <w:p>
      <w:pPr>
        <w:jc w:val="left"/>
        <w:rPr>
          <w:rFonts w:ascii="宋体" w:hAnsi="宋体"/>
        </w:rPr>
      </w:pPr>
    </w:p>
    <w:p>
      <w:pPr>
        <w:jc w:val="left"/>
        <w:rPr>
          <w:rFonts w:ascii="宋体" w:hAnsi="宋体"/>
        </w:rPr>
      </w:pPr>
    </w:p>
    <w:p>
      <w:pPr>
        <w:ind w:firstLine="1440" w:firstLineChars="450"/>
        <w:rPr>
          <w:rFonts w:ascii="黑体" w:eastAsia="黑体"/>
          <w:sz w:val="32"/>
          <w:szCs w:val="32"/>
          <w:u w:val="single"/>
        </w:rPr>
      </w:pPr>
      <w:r>
        <w:rPr>
          <w:rFonts w:hint="eastAsia" w:ascii="黑体" w:eastAsia="黑体"/>
          <w:sz w:val="32"/>
          <w:szCs w:val="32"/>
          <w:u w:val="single"/>
        </w:rPr>
        <w:t xml:space="preserve">              （项目名称）         </w:t>
      </w:r>
    </w:p>
    <w:p>
      <w:pPr>
        <w:jc w:val="center"/>
        <w:rPr>
          <w:rFonts w:ascii="黑体" w:eastAsia="黑体"/>
          <w:sz w:val="32"/>
          <w:szCs w:val="32"/>
          <w:u w:val="single"/>
        </w:rPr>
      </w:pPr>
    </w:p>
    <w:p>
      <w:pPr>
        <w:ind w:firstLine="400"/>
        <w:rPr>
          <w:rFonts w:eastAsia="黑体"/>
          <w:sz w:val="20"/>
          <w:szCs w:val="20"/>
        </w:rPr>
      </w:pPr>
    </w:p>
    <w:p>
      <w:pPr>
        <w:ind w:firstLine="400"/>
        <w:rPr>
          <w:rFonts w:eastAsia="黑体"/>
          <w:sz w:val="20"/>
          <w:szCs w:val="20"/>
        </w:rPr>
      </w:pPr>
    </w:p>
    <w:p>
      <w:pPr>
        <w:spacing w:beforeLines="100"/>
        <w:jc w:val="center"/>
        <w:rPr>
          <w:rFonts w:ascii="黑体" w:eastAsia="黑体"/>
          <w:sz w:val="72"/>
          <w:szCs w:val="72"/>
        </w:rPr>
      </w:pPr>
      <w:r>
        <w:rPr>
          <w:rFonts w:ascii="黑体" w:eastAsia="黑体"/>
          <w:sz w:val="72"/>
          <w:szCs w:val="72"/>
        </w:rPr>
        <w:t>投  标  文  件</w:t>
      </w:r>
    </w:p>
    <w:p>
      <w:pPr>
        <w:jc w:val="center"/>
        <w:rPr>
          <w:rFonts w:ascii="宋体" w:hAnsi="宋体"/>
          <w:b/>
          <w:bCs/>
          <w:sz w:val="28"/>
          <w:szCs w:val="32"/>
        </w:rPr>
      </w:pPr>
      <w:r>
        <w:rPr>
          <w:rFonts w:hint="eastAsia" w:ascii="宋体" w:hAnsi="宋体"/>
          <w:b/>
          <w:bCs/>
          <w:sz w:val="28"/>
          <w:szCs w:val="32"/>
        </w:rPr>
        <w:t>所投标段：第一（二）标段</w:t>
      </w: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560"/>
        <w:rPr>
          <w:rFonts w:eastAsia="黑体"/>
          <w:sz w:val="28"/>
          <w:szCs w:val="28"/>
        </w:rPr>
      </w:pPr>
    </w:p>
    <w:p>
      <w:pPr>
        <w:ind w:firstLine="1134" w:firstLineChars="405"/>
        <w:rPr>
          <w:rFonts w:asciiTheme="minorEastAsia" w:hAnsiTheme="minorEastAsia" w:eastAsiaTheme="minorEastAsia"/>
          <w:sz w:val="28"/>
          <w:szCs w:val="28"/>
        </w:rPr>
      </w:pPr>
      <w:r>
        <w:rPr>
          <w:rFonts w:asciiTheme="minorEastAsia" w:hAnsiTheme="minorEastAsia" w:eastAsiaTheme="minorEastAsia"/>
          <w:sz w:val="28"/>
          <w:szCs w:val="28"/>
        </w:rPr>
        <w:t>投标人：（盖单位</w:t>
      </w:r>
      <w:r>
        <w:rPr>
          <w:rFonts w:hint="eastAsia" w:asciiTheme="minorEastAsia" w:hAnsiTheme="minorEastAsia" w:eastAsiaTheme="minorEastAsia"/>
          <w:sz w:val="28"/>
          <w:szCs w:val="28"/>
        </w:rPr>
        <w:t>公</w:t>
      </w:r>
      <w:r>
        <w:rPr>
          <w:rFonts w:asciiTheme="minorEastAsia" w:hAnsiTheme="minorEastAsia" w:eastAsiaTheme="minorEastAsia"/>
          <w:sz w:val="28"/>
          <w:szCs w:val="28"/>
        </w:rPr>
        <w:t>章）</w:t>
      </w:r>
    </w:p>
    <w:p/>
    <w:p>
      <w:pPr>
        <w:ind w:firstLine="1134" w:firstLineChars="405"/>
        <w:rPr>
          <w:rFonts w:asciiTheme="minorEastAsia" w:hAnsiTheme="minorEastAsia" w:eastAsiaTheme="minorEastAsia"/>
          <w:sz w:val="28"/>
          <w:szCs w:val="28"/>
        </w:rPr>
      </w:pPr>
      <w:r>
        <w:rPr>
          <w:rFonts w:asciiTheme="minorEastAsia" w:hAnsiTheme="minorEastAsia" w:eastAsiaTheme="minorEastAsia"/>
          <w:sz w:val="28"/>
          <w:szCs w:val="28"/>
        </w:rPr>
        <w:t>法定代表人或其</w:t>
      </w:r>
      <w:r>
        <w:rPr>
          <w:rFonts w:hint="eastAsia" w:asciiTheme="minorEastAsia" w:hAnsiTheme="minorEastAsia" w:eastAsiaTheme="minorEastAsia"/>
          <w:sz w:val="28"/>
          <w:szCs w:val="28"/>
        </w:rPr>
        <w:t>委托代理人</w:t>
      </w:r>
      <w:r>
        <w:rPr>
          <w:rFonts w:asciiTheme="minorEastAsia" w:hAnsiTheme="minorEastAsia" w:eastAsiaTheme="minorEastAsia"/>
          <w:sz w:val="28"/>
          <w:szCs w:val="28"/>
        </w:rPr>
        <w:t>：（签字）</w:t>
      </w:r>
    </w:p>
    <w:p/>
    <w:p>
      <w:pPr>
        <w:ind w:firstLine="1120" w:firstLineChars="400"/>
        <w:rPr>
          <w:rFonts w:asciiTheme="minorEastAsia" w:hAnsiTheme="minorEastAsia" w:eastAsiaTheme="minorEastAsia"/>
        </w:rPr>
      </w:pPr>
      <w:r>
        <w:rPr>
          <w:rFonts w:hint="eastAsia" w:asciiTheme="minorEastAsia" w:hAnsiTheme="minorEastAsia" w:eastAsiaTheme="minorEastAsia"/>
          <w:sz w:val="28"/>
          <w:szCs w:val="28"/>
        </w:rPr>
        <w:t xml:space="preserve">日期：  </w:t>
      </w:r>
      <w:r>
        <w:rPr>
          <w:rFonts w:asciiTheme="minorEastAsia" w:hAnsiTheme="minorEastAsia" w:eastAsiaTheme="minorEastAsia"/>
          <w:sz w:val="28"/>
          <w:szCs w:val="28"/>
        </w:rPr>
        <w:t>年月日</w:t>
      </w:r>
    </w:p>
    <w:p>
      <w:pPr>
        <w:ind w:firstLine="560"/>
        <w:jc w:val="left"/>
        <w:rPr>
          <w:rFonts w:ascii="宋体" w:hAnsi="宋体"/>
          <w:sz w:val="28"/>
          <w:szCs w:val="28"/>
        </w:rPr>
      </w:pPr>
    </w:p>
    <w:p>
      <w:pPr>
        <w:ind w:firstLine="560"/>
        <w:jc w:val="left"/>
        <w:rPr>
          <w:rFonts w:ascii="宋体" w:hAnsi="宋体"/>
          <w:sz w:val="28"/>
          <w:szCs w:val="28"/>
        </w:rPr>
      </w:pPr>
    </w:p>
    <w:p>
      <w:pPr>
        <w:pStyle w:val="2"/>
      </w:pPr>
      <w:bookmarkStart w:id="1397" w:name="_Toc273359045"/>
      <w:bookmarkStart w:id="1398" w:name="_Toc281225373"/>
      <w:bookmarkStart w:id="1399" w:name="_Toc266393418"/>
      <w:bookmarkStart w:id="1400" w:name="_Toc226780939"/>
      <w:bookmarkStart w:id="1401" w:name="_Toc269324870"/>
      <w:bookmarkStart w:id="1402" w:name="_Toc30209"/>
      <w:bookmarkStart w:id="1403" w:name="_Toc496098810"/>
      <w:bookmarkStart w:id="1404" w:name="_Toc1233"/>
      <w:r>
        <w:rPr>
          <w:rFonts w:hint="eastAsia"/>
        </w:rPr>
        <w:t>一、投标函</w:t>
      </w:r>
      <w:bookmarkEnd w:id="1397"/>
      <w:bookmarkEnd w:id="1398"/>
      <w:bookmarkEnd w:id="1399"/>
      <w:bookmarkEnd w:id="1400"/>
      <w:bookmarkEnd w:id="1401"/>
      <w:r>
        <w:rPr>
          <w:rFonts w:hint="eastAsia"/>
        </w:rPr>
        <w:t>及投标函附录</w:t>
      </w:r>
      <w:bookmarkEnd w:id="1402"/>
      <w:bookmarkEnd w:id="1403"/>
      <w:bookmarkEnd w:id="1404"/>
    </w:p>
    <w:p>
      <w:pPr>
        <w:spacing w:beforeLines="100" w:afterLines="100" w:line="400" w:lineRule="exact"/>
        <w:jc w:val="center"/>
        <w:rPr>
          <w:rFonts w:asciiTheme="minorEastAsia" w:hAnsiTheme="minorEastAsia" w:eastAsiaTheme="minorEastAsia"/>
          <w:b/>
          <w:sz w:val="24"/>
        </w:rPr>
      </w:pPr>
      <w:bookmarkStart w:id="1405" w:name="_Toc25207"/>
      <w:bookmarkStart w:id="1406" w:name="_Toc152045789"/>
      <w:bookmarkStart w:id="1407" w:name="_Toc152042578"/>
      <w:bookmarkStart w:id="1408" w:name="_Toc295398985"/>
      <w:bookmarkStart w:id="1409" w:name="_Toc144974858"/>
      <w:r>
        <w:rPr>
          <w:rFonts w:asciiTheme="minorEastAsia" w:hAnsiTheme="minorEastAsia" w:eastAsiaTheme="minorEastAsia"/>
          <w:b/>
          <w:sz w:val="24"/>
        </w:rPr>
        <w:t>（一）投 标 函</w:t>
      </w:r>
      <w:bookmarkEnd w:id="1405"/>
      <w:bookmarkEnd w:id="1406"/>
      <w:bookmarkEnd w:id="1407"/>
      <w:bookmarkEnd w:id="1408"/>
      <w:bookmarkEnd w:id="1409"/>
    </w:p>
    <w:p>
      <w:pPr>
        <w:adjustRightInd w:val="0"/>
        <w:snapToGrid w:val="0"/>
        <w:spacing w:line="400" w:lineRule="exact"/>
        <w:ind w:firstLine="540" w:firstLineChars="225"/>
        <w:rPr>
          <w:rFonts w:asciiTheme="minorEastAsia" w:hAnsiTheme="minorEastAsia" w:eastAsiaTheme="minorEastAsia"/>
          <w:sz w:val="24"/>
        </w:rPr>
      </w:pPr>
      <w:r>
        <w:rPr>
          <w:rFonts w:asciiTheme="minorEastAsia" w:hAnsiTheme="minorEastAsia" w:eastAsiaTheme="minorEastAsia"/>
          <w:sz w:val="24"/>
        </w:rPr>
        <w:t>致：</w:t>
      </w:r>
      <w:r>
        <w:rPr>
          <w:rFonts w:hint="eastAsia" w:asciiTheme="minorEastAsia" w:hAnsiTheme="minorEastAsia" w:eastAsiaTheme="minorEastAsia"/>
          <w:sz w:val="24"/>
          <w:u w:val="single"/>
        </w:rPr>
        <w:t xml:space="preserve">     （招标人全称）             </w:t>
      </w:r>
    </w:p>
    <w:p>
      <w:pPr>
        <w:adjustRightInd w:val="0"/>
        <w:snapToGrid w:val="0"/>
        <w:spacing w:line="400" w:lineRule="exact"/>
        <w:ind w:firstLine="484" w:firstLineChars="202"/>
        <w:jc w:val="left"/>
        <w:rPr>
          <w:rFonts w:asciiTheme="minorEastAsia" w:hAnsiTheme="minorEastAsia" w:eastAsiaTheme="minorEastAsia"/>
          <w:sz w:val="24"/>
        </w:rPr>
      </w:pPr>
      <w:r>
        <w:rPr>
          <w:rFonts w:asciiTheme="minorEastAsia" w:hAnsiTheme="minorEastAsia" w:eastAsiaTheme="minorEastAsia"/>
          <w:sz w:val="24"/>
        </w:rPr>
        <w:t>根据贵方招标文件，我方针对</w:t>
      </w:r>
      <w:r>
        <w:rPr>
          <w:rFonts w:hint="eastAsia" w:asciiTheme="minorEastAsia" w:hAnsiTheme="minorEastAsia" w:eastAsiaTheme="minorEastAsia"/>
          <w:sz w:val="24"/>
          <w:u w:val="single"/>
        </w:rPr>
        <w:t xml:space="preserve">   （项目名称）   第  标段</w:t>
      </w:r>
      <w:r>
        <w:rPr>
          <w:rFonts w:asciiTheme="minorEastAsia" w:hAnsiTheme="minorEastAsia" w:eastAsiaTheme="minorEastAsia"/>
          <w:sz w:val="24"/>
        </w:rPr>
        <w:t>的投标报价</w:t>
      </w:r>
      <w:r>
        <w:rPr>
          <w:rFonts w:hint="eastAsia" w:asciiTheme="minorEastAsia" w:hAnsiTheme="minorEastAsia" w:eastAsiaTheme="minorEastAsia"/>
          <w:sz w:val="24"/>
        </w:rPr>
        <w:t>（即</w:t>
      </w:r>
      <w:r>
        <w:rPr>
          <w:rFonts w:asciiTheme="minorEastAsia" w:hAnsiTheme="minorEastAsia" w:eastAsiaTheme="minorEastAsia"/>
          <w:bCs/>
          <w:kern w:val="0"/>
          <w:sz w:val="24"/>
        </w:rPr>
        <w:t>监理服务费</w:t>
      </w:r>
      <w:r>
        <w:rPr>
          <w:rFonts w:hint="eastAsia" w:asciiTheme="minorEastAsia" w:hAnsiTheme="minorEastAsia" w:eastAsiaTheme="minorEastAsia"/>
          <w:sz w:val="24"/>
        </w:rPr>
        <w:t>率，保留到小数点后两位）</w:t>
      </w:r>
      <w:r>
        <w:rPr>
          <w:rFonts w:asciiTheme="minorEastAsia" w:hAnsiTheme="minorEastAsia" w:eastAsiaTheme="minorEastAsia"/>
          <w:sz w:val="24"/>
        </w:rPr>
        <w:t>为（大写）：（小写）：</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，按合同约定承担本项目的</w:t>
      </w:r>
      <w:r>
        <w:rPr>
          <w:rFonts w:hint="eastAsia" w:asciiTheme="minorEastAsia" w:hAnsiTheme="minorEastAsia" w:eastAsiaTheme="minorEastAsia"/>
          <w:sz w:val="24"/>
        </w:rPr>
        <w:t>监理</w:t>
      </w:r>
      <w:r>
        <w:rPr>
          <w:rFonts w:asciiTheme="minorEastAsia" w:hAnsiTheme="minorEastAsia" w:eastAsiaTheme="minorEastAsia"/>
          <w:sz w:val="24"/>
        </w:rPr>
        <w:t>工作。</w:t>
      </w:r>
    </w:p>
    <w:p>
      <w:pPr>
        <w:adjustRightInd w:val="0"/>
        <w:snapToGrid w:val="0"/>
        <w:spacing w:line="400" w:lineRule="exact"/>
        <w:ind w:firstLine="420"/>
        <w:rPr>
          <w:rFonts w:asciiTheme="minorEastAsia" w:hAnsiTheme="minorEastAsia" w:eastAsiaTheme="minorEastAsia"/>
          <w:sz w:val="24"/>
        </w:rPr>
      </w:pPr>
      <w:r>
        <w:rPr>
          <w:rFonts w:asciiTheme="minorEastAsia" w:hAnsiTheme="minorEastAsia" w:eastAsiaTheme="minorEastAsia"/>
          <w:sz w:val="24"/>
        </w:rPr>
        <w:t>据此函，我方兹宣布同意如下：</w:t>
      </w:r>
    </w:p>
    <w:p>
      <w:pPr>
        <w:adjustRightInd w:val="0"/>
        <w:snapToGrid w:val="0"/>
        <w:spacing w:line="400" w:lineRule="exact"/>
        <w:ind w:firstLine="720" w:firstLineChars="300"/>
        <w:rPr>
          <w:rFonts w:asciiTheme="minorEastAsia" w:hAnsiTheme="minorEastAsia" w:eastAsiaTheme="minorEastAsia"/>
          <w:sz w:val="24"/>
        </w:rPr>
      </w:pPr>
      <w:r>
        <w:rPr>
          <w:rFonts w:asciiTheme="minorEastAsia" w:hAnsiTheme="minorEastAsia" w:eastAsiaTheme="minorEastAsia"/>
          <w:sz w:val="24"/>
        </w:rPr>
        <w:t>1.我方已详细审核并确认全部招标文件，包括</w:t>
      </w:r>
      <w:r>
        <w:rPr>
          <w:rFonts w:hint="eastAsia" w:asciiTheme="minorEastAsia" w:hAnsiTheme="minorEastAsia" w:eastAsiaTheme="minorEastAsia"/>
          <w:sz w:val="24"/>
        </w:rPr>
        <w:t>其补充</w:t>
      </w:r>
      <w:r>
        <w:rPr>
          <w:rFonts w:asciiTheme="minorEastAsia" w:hAnsiTheme="minorEastAsia" w:eastAsiaTheme="minorEastAsia"/>
          <w:sz w:val="24"/>
        </w:rPr>
        <w:t>文件（如有时）及有关附件。</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2.一旦我方中标，我方将按照投标文件中的承诺组建项目</w:t>
      </w:r>
      <w:r>
        <w:rPr>
          <w:rFonts w:hint="eastAsia" w:asciiTheme="minorEastAsia" w:hAnsiTheme="minorEastAsia" w:eastAsiaTheme="minorEastAsia"/>
          <w:spacing w:val="-4"/>
          <w:sz w:val="24"/>
        </w:rPr>
        <w:t>管理机构</w:t>
      </w:r>
      <w:r>
        <w:rPr>
          <w:rFonts w:asciiTheme="minorEastAsia" w:hAnsiTheme="minorEastAsia" w:eastAsiaTheme="minorEastAsia"/>
          <w:spacing w:val="-4"/>
          <w:sz w:val="24"/>
        </w:rPr>
        <w:t>，由投标文件所承诺的</w:t>
      </w:r>
      <w:r>
        <w:rPr>
          <w:rFonts w:hint="eastAsia" w:asciiTheme="minorEastAsia" w:hAnsiTheme="minorEastAsia" w:eastAsiaTheme="minorEastAsia"/>
          <w:sz w:val="24"/>
        </w:rPr>
        <w:t>监理</w:t>
      </w:r>
      <w:r>
        <w:rPr>
          <w:rFonts w:asciiTheme="minorEastAsia" w:hAnsiTheme="minorEastAsia" w:eastAsiaTheme="minorEastAsia"/>
          <w:spacing w:val="-4"/>
          <w:sz w:val="24"/>
        </w:rPr>
        <w:t>人员完成本项目的全部</w:t>
      </w:r>
      <w:r>
        <w:rPr>
          <w:rFonts w:hint="eastAsia" w:asciiTheme="minorEastAsia" w:hAnsiTheme="minorEastAsia" w:eastAsiaTheme="minorEastAsia"/>
          <w:sz w:val="24"/>
        </w:rPr>
        <w:t>监理</w:t>
      </w:r>
      <w:r>
        <w:rPr>
          <w:rFonts w:asciiTheme="minorEastAsia" w:hAnsiTheme="minorEastAsia" w:eastAsiaTheme="minorEastAsia"/>
          <w:spacing w:val="-4"/>
          <w:sz w:val="24"/>
        </w:rPr>
        <w:t>工作</w:t>
      </w:r>
      <w:r>
        <w:rPr>
          <w:rFonts w:hint="eastAsia" w:asciiTheme="minorEastAsia" w:hAnsiTheme="minorEastAsia" w:eastAsiaTheme="minorEastAsia"/>
          <w:spacing w:val="-4"/>
          <w:sz w:val="24"/>
        </w:rPr>
        <w:t>。</w:t>
      </w:r>
      <w:r>
        <w:rPr>
          <w:rFonts w:asciiTheme="minorEastAsia" w:hAnsiTheme="minorEastAsia" w:eastAsiaTheme="minorEastAsia"/>
          <w:spacing w:val="-4"/>
          <w:sz w:val="24"/>
        </w:rPr>
        <w:t>在该</w:t>
      </w:r>
      <w:r>
        <w:rPr>
          <w:rFonts w:hint="eastAsia" w:asciiTheme="minorEastAsia" w:hAnsiTheme="minorEastAsia" w:eastAsiaTheme="minorEastAsia"/>
          <w:spacing w:val="-4"/>
          <w:sz w:val="24"/>
        </w:rPr>
        <w:t>项目</w:t>
      </w:r>
      <w:r>
        <w:rPr>
          <w:rFonts w:asciiTheme="minorEastAsia" w:hAnsiTheme="minorEastAsia" w:eastAsiaTheme="minorEastAsia"/>
          <w:spacing w:val="-4"/>
          <w:sz w:val="24"/>
        </w:rPr>
        <w:t>的实施过程中，全面履行招标文件中规定的</w:t>
      </w:r>
      <w:r>
        <w:rPr>
          <w:rFonts w:hint="eastAsia" w:asciiTheme="minorEastAsia" w:hAnsiTheme="minorEastAsia" w:eastAsiaTheme="minorEastAsia"/>
          <w:spacing w:val="-4"/>
          <w:sz w:val="24"/>
        </w:rPr>
        <w:t>监理人</w:t>
      </w:r>
      <w:r>
        <w:rPr>
          <w:rFonts w:asciiTheme="minorEastAsia" w:hAnsiTheme="minorEastAsia" w:eastAsiaTheme="minorEastAsia"/>
          <w:spacing w:val="-4"/>
          <w:sz w:val="24"/>
        </w:rPr>
        <w:t>的职责和义务，保证实现</w:t>
      </w:r>
      <w:r>
        <w:rPr>
          <w:rFonts w:hint="eastAsia" w:asciiTheme="minorEastAsia" w:hAnsiTheme="minorEastAsia" w:eastAsiaTheme="minorEastAsia"/>
          <w:spacing w:val="-4"/>
          <w:sz w:val="24"/>
        </w:rPr>
        <w:t>投标函附录中承诺的服务周期</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服务</w:t>
      </w:r>
      <w:r>
        <w:rPr>
          <w:rFonts w:asciiTheme="minorEastAsia" w:hAnsiTheme="minorEastAsia" w:eastAsiaTheme="minorEastAsia"/>
          <w:spacing w:val="-4"/>
          <w:sz w:val="24"/>
        </w:rPr>
        <w:t>质量目标要求。如违反以上承诺，我方接受合同</w:t>
      </w:r>
      <w:r>
        <w:rPr>
          <w:rFonts w:hint="eastAsia" w:asciiTheme="minorEastAsia" w:hAnsiTheme="minorEastAsia" w:eastAsiaTheme="minorEastAsia"/>
          <w:spacing w:val="-4"/>
          <w:sz w:val="24"/>
        </w:rPr>
        <w:t>条款</w:t>
      </w:r>
      <w:r>
        <w:rPr>
          <w:rFonts w:asciiTheme="minorEastAsia" w:hAnsiTheme="minorEastAsia" w:eastAsiaTheme="minorEastAsia"/>
          <w:spacing w:val="-4"/>
          <w:sz w:val="24"/>
        </w:rPr>
        <w:t>中关于</w:t>
      </w:r>
      <w:r>
        <w:rPr>
          <w:rFonts w:hint="eastAsia" w:asciiTheme="minorEastAsia" w:hAnsiTheme="minorEastAsia" w:eastAsiaTheme="minorEastAsia"/>
          <w:sz w:val="24"/>
        </w:rPr>
        <w:t>监理</w:t>
      </w:r>
      <w:r>
        <w:rPr>
          <w:rFonts w:asciiTheme="minorEastAsia" w:hAnsiTheme="minorEastAsia" w:eastAsiaTheme="minorEastAsia"/>
          <w:spacing w:val="-4"/>
          <w:sz w:val="24"/>
        </w:rPr>
        <w:t>人员管理的相关规定进行处理。</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3</w:t>
      </w:r>
      <w:r>
        <w:rPr>
          <w:rFonts w:asciiTheme="minorEastAsia" w:hAnsiTheme="minorEastAsia" w:eastAsiaTheme="minorEastAsia"/>
          <w:spacing w:val="-4"/>
          <w:sz w:val="24"/>
        </w:rPr>
        <w:t>.我方了解：无论</w:t>
      </w:r>
      <w:r>
        <w:rPr>
          <w:rFonts w:hint="eastAsia" w:asciiTheme="minorEastAsia" w:hAnsiTheme="minorEastAsia" w:eastAsiaTheme="minorEastAsia"/>
          <w:spacing w:val="-4"/>
          <w:sz w:val="24"/>
        </w:rPr>
        <w:t>是否中标，</w:t>
      </w:r>
      <w:r>
        <w:rPr>
          <w:rFonts w:asciiTheme="minorEastAsia" w:hAnsiTheme="minorEastAsia" w:eastAsiaTheme="minorEastAsia"/>
          <w:spacing w:val="-4"/>
          <w:sz w:val="24"/>
        </w:rPr>
        <w:t>我方将自行承担</w:t>
      </w:r>
      <w:r>
        <w:rPr>
          <w:rFonts w:hint="eastAsia" w:asciiTheme="minorEastAsia" w:hAnsiTheme="minorEastAsia" w:eastAsiaTheme="minorEastAsia"/>
          <w:spacing w:val="-4"/>
          <w:sz w:val="24"/>
        </w:rPr>
        <w:t>投标</w:t>
      </w:r>
      <w:r>
        <w:rPr>
          <w:rFonts w:asciiTheme="minorEastAsia" w:hAnsiTheme="minorEastAsia" w:eastAsiaTheme="minorEastAsia"/>
          <w:spacing w:val="-4"/>
          <w:sz w:val="24"/>
        </w:rPr>
        <w:t>活动所需的一切费用。</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w:t>
      </w:r>
      <w:r>
        <w:rPr>
          <w:rFonts w:asciiTheme="minorEastAsia" w:hAnsiTheme="minorEastAsia" w:eastAsiaTheme="minorEastAsia"/>
          <w:spacing w:val="-4"/>
          <w:sz w:val="24"/>
        </w:rPr>
        <w:t>.一旦我方中标，我方保证按投标函附录中写明的金额提交履约担保</w:t>
      </w:r>
      <w:r>
        <w:rPr>
          <w:rFonts w:hint="eastAsia"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5</w:t>
      </w:r>
      <w:r>
        <w:rPr>
          <w:rFonts w:asciiTheme="minorEastAsia" w:hAnsiTheme="minorEastAsia" w:eastAsiaTheme="minorEastAsia"/>
          <w:spacing w:val="-4"/>
          <w:sz w:val="24"/>
        </w:rPr>
        <w:t xml:space="preserve">. </w:t>
      </w:r>
      <w:r>
        <w:rPr>
          <w:rFonts w:asciiTheme="minorEastAsia" w:hAnsiTheme="minorEastAsia" w:eastAsiaTheme="minorEastAsia"/>
          <w:sz w:val="24"/>
        </w:rPr>
        <w:t>我方同意所提交的投标文件在招标文件的投标人须知中第</w:t>
      </w:r>
      <w:r>
        <w:rPr>
          <w:rFonts w:asciiTheme="minorEastAsia" w:hAnsiTheme="minorEastAsia" w:eastAsiaTheme="minorEastAsia"/>
          <w:sz w:val="24"/>
          <w:u w:val="single"/>
        </w:rPr>
        <w:t>3.3</w:t>
      </w:r>
      <w:r>
        <w:rPr>
          <w:rFonts w:hint="eastAsia" w:asciiTheme="minorEastAsia" w:hAnsiTheme="minorEastAsia" w:eastAsiaTheme="minorEastAsia"/>
          <w:sz w:val="24"/>
        </w:rPr>
        <w:t>款</w:t>
      </w:r>
      <w:r>
        <w:rPr>
          <w:rFonts w:asciiTheme="minorEastAsia" w:hAnsiTheme="minorEastAsia" w:eastAsiaTheme="minorEastAsia"/>
          <w:sz w:val="24"/>
        </w:rPr>
        <w:t>规定的投标有效期限内有效，在此期间内如果中标，我方将受此约束。</w:t>
      </w:r>
    </w:p>
    <w:p>
      <w:pPr>
        <w:adjustRightInd w:val="0"/>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 随同本投标函提交投标保证金一份</w:t>
      </w:r>
      <w:r>
        <w:rPr>
          <w:rFonts w:hint="eastAsia" w:asciiTheme="minorEastAsia" w:hAnsiTheme="minorEastAsia" w:eastAsiaTheme="minorEastAsia"/>
          <w:sz w:val="24"/>
        </w:rPr>
        <w:t>，我方承诺以我公司银行基本账户递交和接收退还本项目的投标保证金。此银行基本账户为我公司此次投标指定的唯一合法账户。</w:t>
      </w:r>
    </w:p>
    <w:p>
      <w:pPr>
        <w:adjustRightInd w:val="0"/>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7. </w:t>
      </w:r>
      <w:r>
        <w:rPr>
          <w:rFonts w:asciiTheme="minorEastAsia" w:hAnsiTheme="minorEastAsia" w:eastAsiaTheme="minorEastAsia"/>
          <w:sz w:val="24"/>
        </w:rPr>
        <w:t>除非另外达成协议并生效，贵方的中标通知书和本投标文件将成为约束双方的合同文件的组成部分。</w:t>
      </w:r>
    </w:p>
    <w:p>
      <w:pPr>
        <w:adjustRightInd w:val="0"/>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.我方在此声明，所递交的投标文件及有关资料内容完整、真实和准确，且不存在第二章</w:t>
      </w:r>
      <w:r>
        <w:rPr>
          <w:rFonts w:hint="eastAsia" w:asciiTheme="minorEastAsia" w:hAnsiTheme="minorEastAsia" w:eastAsiaTheme="minorEastAsia"/>
          <w:sz w:val="24"/>
        </w:rPr>
        <w:t>“</w:t>
      </w:r>
      <w:r>
        <w:rPr>
          <w:rFonts w:asciiTheme="minorEastAsia" w:hAnsiTheme="minorEastAsia" w:eastAsiaTheme="minorEastAsia"/>
          <w:sz w:val="24"/>
        </w:rPr>
        <w:t>投标人须知</w:t>
      </w:r>
      <w:r>
        <w:rPr>
          <w:rFonts w:hint="eastAsia" w:asciiTheme="minorEastAsia" w:hAnsiTheme="minorEastAsia" w:eastAsiaTheme="minorEastAsia"/>
          <w:sz w:val="24"/>
        </w:rPr>
        <w:t>”</w:t>
      </w:r>
      <w:r>
        <w:rPr>
          <w:rFonts w:asciiTheme="minorEastAsia" w:hAnsiTheme="minorEastAsia" w:eastAsiaTheme="minorEastAsia"/>
          <w:sz w:val="24"/>
        </w:rPr>
        <w:t>第1.4.3项规定的任何一种情形。</w:t>
      </w:r>
    </w:p>
    <w:p>
      <w:pPr>
        <w:adjustRightInd w:val="0"/>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9. 如果我方同时在所投的多个标段评审中综合评分均排名第一时，我方自愿遵守招标人“本招标项目一至三标段中，投标人可报名任意标段，但最多允许中标1个标段”的规定，并按照下述顺序仅选择一个标段作为该标段的第一中标候选人，自愿放弃其他标段的中标候选人资格，我方选择顺序依次为：标段、标段、标段。</w:t>
      </w: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rPr>
          <w:sz w:val="24"/>
          <w:szCs w:val="21"/>
        </w:rPr>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276" w:lineRule="auto"/>
        <w:jc w:val="center"/>
        <w:rPr>
          <w:rFonts w:hAnsi="宋体"/>
          <w:b/>
          <w:sz w:val="24"/>
        </w:rPr>
      </w:pPr>
      <w:bookmarkStart w:id="1410" w:name="_Toc11950"/>
      <w:bookmarkStart w:id="1411" w:name="_Toc144974859"/>
      <w:bookmarkStart w:id="1412" w:name="_Toc295398986"/>
      <w:bookmarkStart w:id="1413" w:name="_Toc152042579"/>
      <w:bookmarkStart w:id="1414" w:name="_Toc152045790"/>
      <w:r>
        <w:rPr>
          <w:rFonts w:hint="eastAsia" w:hAnsi="宋体"/>
          <w:b/>
          <w:sz w:val="24"/>
        </w:rPr>
        <w:t>（二）</w:t>
      </w:r>
      <w:r>
        <w:rPr>
          <w:rFonts w:hAnsi="宋体"/>
          <w:b/>
          <w:sz w:val="24"/>
        </w:rPr>
        <w:t>投标函附录</w:t>
      </w:r>
      <w:bookmarkEnd w:id="1410"/>
      <w:bookmarkEnd w:id="1411"/>
      <w:bookmarkEnd w:id="1412"/>
      <w:bookmarkEnd w:id="1413"/>
      <w:bookmarkEnd w:id="1414"/>
    </w:p>
    <w:tbl>
      <w:tblPr>
        <w:tblStyle w:val="28"/>
        <w:tblW w:w="83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85"/>
        <w:gridCol w:w="850"/>
        <w:gridCol w:w="1804"/>
        <w:gridCol w:w="1276"/>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szCs w:val="21"/>
              </w:rPr>
            </w:pPr>
            <w:r>
              <w:rPr>
                <w:rFonts w:hAnsi="宋体"/>
                <w:szCs w:val="21"/>
              </w:rPr>
              <w:t>项目名称</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rFonts w:hAnsi="宋体"/>
                <w:szCs w:val="21"/>
              </w:rPr>
            </w:pPr>
            <w:r>
              <w:rPr>
                <w:rFonts w:hint="eastAsia" w:hAnsi="宋体"/>
                <w:szCs w:val="21"/>
              </w:rPr>
              <w:t>所投标段</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94" w:type="dxa"/>
            <w:gridSpan w:val="2"/>
            <w:vAlign w:val="center"/>
          </w:tcPr>
          <w:p>
            <w:pPr>
              <w:jc w:val="center"/>
              <w:rPr>
                <w:szCs w:val="21"/>
              </w:rPr>
            </w:pPr>
            <w:r>
              <w:rPr>
                <w:rFonts w:hAnsi="宋体"/>
                <w:szCs w:val="21"/>
              </w:rPr>
              <w:t>投标范围</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szCs w:val="21"/>
              </w:rPr>
              <w:t>序号</w:t>
            </w:r>
          </w:p>
        </w:tc>
        <w:tc>
          <w:tcPr>
            <w:tcW w:w="1985" w:type="dxa"/>
            <w:vAlign w:val="center"/>
          </w:tcPr>
          <w:p>
            <w:pPr>
              <w:jc w:val="center"/>
              <w:rPr>
                <w:szCs w:val="21"/>
              </w:rPr>
            </w:pPr>
            <w:r>
              <w:rPr>
                <w:szCs w:val="21"/>
              </w:rPr>
              <w:t>条款内容</w:t>
            </w:r>
          </w:p>
        </w:tc>
        <w:tc>
          <w:tcPr>
            <w:tcW w:w="5676" w:type="dxa"/>
            <w:gridSpan w:val="4"/>
            <w:vAlign w:val="center"/>
          </w:tcPr>
          <w:p>
            <w:pPr>
              <w:jc w:val="center"/>
              <w:rPr>
                <w:szCs w:val="21"/>
              </w:rPr>
            </w:pPr>
            <w:r>
              <w:rPr>
                <w:szCs w:val="21"/>
              </w:rPr>
              <w:t>承诺或约定内容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1</w:t>
            </w:r>
          </w:p>
        </w:tc>
        <w:tc>
          <w:tcPr>
            <w:tcW w:w="1985" w:type="dxa"/>
            <w:vAlign w:val="center"/>
          </w:tcPr>
          <w:p>
            <w:pPr>
              <w:jc w:val="center"/>
              <w:rPr>
                <w:szCs w:val="21"/>
              </w:rPr>
            </w:pPr>
            <w:r>
              <w:rPr>
                <w:rFonts w:hint="eastAsia"/>
                <w:szCs w:val="21"/>
              </w:rPr>
              <w:t>投标费率</w:t>
            </w:r>
          </w:p>
        </w:tc>
        <w:tc>
          <w:tcPr>
            <w:tcW w:w="5676" w:type="dxa"/>
            <w:gridSpan w:val="4"/>
            <w:vAlign w:val="center"/>
          </w:tcPr>
          <w:p>
            <w:pPr>
              <w:rPr>
                <w:szCs w:val="21"/>
                <w:u w:val="single"/>
              </w:rPr>
            </w:pPr>
            <w:r>
              <w:rPr>
                <w:rFonts w:hint="eastAsia"/>
                <w:szCs w:val="21"/>
              </w:rPr>
              <w:t>（大写）：</w:t>
            </w:r>
          </w:p>
          <w:p>
            <w:pPr>
              <w:rPr>
                <w:szCs w:val="21"/>
              </w:rPr>
            </w:pPr>
            <w:r>
              <w:rPr>
                <w:rFonts w:hint="eastAsia"/>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2</w:t>
            </w:r>
          </w:p>
        </w:tc>
        <w:tc>
          <w:tcPr>
            <w:tcW w:w="1985" w:type="dxa"/>
            <w:vAlign w:val="center"/>
          </w:tcPr>
          <w:p>
            <w:pPr>
              <w:jc w:val="center"/>
              <w:rPr>
                <w:szCs w:val="21"/>
              </w:rPr>
            </w:pPr>
            <w:r>
              <w:rPr>
                <w:rFonts w:hint="eastAsia" w:hAnsi="宋体"/>
                <w:szCs w:val="21"/>
              </w:rPr>
              <w:t>总监理工程师</w:t>
            </w:r>
          </w:p>
        </w:tc>
        <w:tc>
          <w:tcPr>
            <w:tcW w:w="850" w:type="dxa"/>
            <w:vAlign w:val="center"/>
          </w:tcPr>
          <w:p>
            <w:pPr>
              <w:jc w:val="center"/>
              <w:rPr>
                <w:szCs w:val="21"/>
              </w:rPr>
            </w:pPr>
            <w:r>
              <w:rPr>
                <w:rFonts w:hAnsi="宋体"/>
                <w:szCs w:val="21"/>
              </w:rPr>
              <w:t>姓名</w:t>
            </w:r>
          </w:p>
        </w:tc>
        <w:tc>
          <w:tcPr>
            <w:tcW w:w="1804" w:type="dxa"/>
            <w:vAlign w:val="center"/>
          </w:tcPr>
          <w:p>
            <w:pPr>
              <w:jc w:val="center"/>
              <w:rPr>
                <w:szCs w:val="21"/>
              </w:rPr>
            </w:pPr>
          </w:p>
        </w:tc>
        <w:tc>
          <w:tcPr>
            <w:tcW w:w="1276" w:type="dxa"/>
            <w:vAlign w:val="center"/>
          </w:tcPr>
          <w:p>
            <w:pPr>
              <w:jc w:val="center"/>
              <w:rPr>
                <w:szCs w:val="21"/>
              </w:rPr>
            </w:pPr>
            <w:r>
              <w:rPr>
                <w:rFonts w:hAnsi="宋体"/>
                <w:szCs w:val="21"/>
              </w:rPr>
              <w:t>执业资格及证书编号</w:t>
            </w:r>
          </w:p>
        </w:tc>
        <w:tc>
          <w:tcPr>
            <w:tcW w:w="1746"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709" w:type="dxa"/>
            <w:vAlign w:val="center"/>
          </w:tcPr>
          <w:p>
            <w:pPr>
              <w:jc w:val="center"/>
              <w:rPr>
                <w:szCs w:val="21"/>
              </w:rPr>
            </w:pPr>
            <w:r>
              <w:rPr>
                <w:rFonts w:hint="eastAsia"/>
                <w:szCs w:val="21"/>
              </w:rPr>
              <w:t>3</w:t>
            </w:r>
          </w:p>
        </w:tc>
        <w:tc>
          <w:tcPr>
            <w:tcW w:w="1985" w:type="dxa"/>
            <w:vAlign w:val="center"/>
          </w:tcPr>
          <w:p>
            <w:pPr>
              <w:jc w:val="center"/>
              <w:rPr>
                <w:szCs w:val="21"/>
              </w:rPr>
            </w:pPr>
            <w:r>
              <w:rPr>
                <w:szCs w:val="21"/>
              </w:rPr>
              <w:t>监理</w:t>
            </w:r>
            <w:r>
              <w:rPr>
                <w:rFonts w:hint="eastAsia"/>
                <w:szCs w:val="21"/>
              </w:rPr>
              <w:t>服务期限</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709" w:type="dxa"/>
            <w:vAlign w:val="center"/>
          </w:tcPr>
          <w:p>
            <w:pPr>
              <w:jc w:val="center"/>
              <w:rPr>
                <w:szCs w:val="21"/>
              </w:rPr>
            </w:pPr>
            <w:r>
              <w:rPr>
                <w:rFonts w:hint="eastAsia"/>
                <w:szCs w:val="21"/>
              </w:rPr>
              <w:t>4</w:t>
            </w:r>
          </w:p>
        </w:tc>
        <w:tc>
          <w:tcPr>
            <w:tcW w:w="1985" w:type="dxa"/>
            <w:vAlign w:val="center"/>
          </w:tcPr>
          <w:p>
            <w:pPr>
              <w:jc w:val="center"/>
              <w:rPr>
                <w:szCs w:val="21"/>
              </w:rPr>
            </w:pPr>
            <w:r>
              <w:rPr>
                <w:szCs w:val="21"/>
              </w:rPr>
              <w:t>监理</w:t>
            </w:r>
            <w:r>
              <w:rPr>
                <w:rFonts w:hAnsi="宋体"/>
                <w:szCs w:val="21"/>
              </w:rPr>
              <w:t>质量目标</w:t>
            </w:r>
          </w:p>
        </w:tc>
        <w:tc>
          <w:tcPr>
            <w:tcW w:w="5676"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5</w:t>
            </w:r>
          </w:p>
        </w:tc>
        <w:tc>
          <w:tcPr>
            <w:tcW w:w="1985" w:type="dxa"/>
            <w:vAlign w:val="center"/>
          </w:tcPr>
          <w:p>
            <w:pPr>
              <w:jc w:val="center"/>
              <w:rPr>
                <w:szCs w:val="21"/>
              </w:rPr>
            </w:pPr>
            <w:r>
              <w:rPr>
                <w:szCs w:val="21"/>
              </w:rPr>
              <w:t>履约担保额度</w:t>
            </w:r>
          </w:p>
        </w:tc>
        <w:tc>
          <w:tcPr>
            <w:tcW w:w="5676" w:type="dxa"/>
            <w:gridSpan w:val="4"/>
            <w:vAlign w:val="center"/>
          </w:tcPr>
          <w:p>
            <w:pPr>
              <w:jc w:val="center"/>
              <w:rPr>
                <w:szCs w:val="21"/>
              </w:rPr>
            </w:pPr>
            <w:r>
              <w:rPr>
                <w:rFonts w:hint="eastAsia"/>
                <w:szCs w:val="21"/>
              </w:rPr>
              <w:t>合同价的5%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6</w:t>
            </w:r>
          </w:p>
        </w:tc>
        <w:tc>
          <w:tcPr>
            <w:tcW w:w="1985" w:type="dxa"/>
            <w:vAlign w:val="center"/>
          </w:tcPr>
          <w:p>
            <w:pPr>
              <w:jc w:val="center"/>
              <w:rPr>
                <w:szCs w:val="21"/>
              </w:rPr>
            </w:pPr>
            <w:r>
              <w:rPr>
                <w:szCs w:val="21"/>
              </w:rPr>
              <w:t>权利义务</w:t>
            </w:r>
          </w:p>
        </w:tc>
        <w:tc>
          <w:tcPr>
            <w:tcW w:w="5676" w:type="dxa"/>
            <w:gridSpan w:val="4"/>
            <w:vAlign w:val="center"/>
          </w:tcPr>
          <w:p>
            <w:pPr>
              <w:rPr>
                <w:bCs/>
                <w:szCs w:val="21"/>
              </w:rPr>
            </w:pPr>
            <w:r>
              <w:rPr>
                <w:rFonts w:hint="eastAsia"/>
                <w:bCs/>
                <w:szCs w:val="21"/>
              </w:rPr>
              <w:t>完全响应招标文件第四章“合同条款及格式”的相关规定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jc w:val="center"/>
              <w:rPr>
                <w:szCs w:val="21"/>
              </w:rPr>
            </w:pPr>
            <w:r>
              <w:rPr>
                <w:rFonts w:hint="eastAsia"/>
                <w:szCs w:val="21"/>
              </w:rPr>
              <w:t>7</w:t>
            </w:r>
          </w:p>
        </w:tc>
        <w:tc>
          <w:tcPr>
            <w:tcW w:w="1985" w:type="dxa"/>
            <w:vAlign w:val="center"/>
          </w:tcPr>
          <w:p>
            <w:pPr>
              <w:jc w:val="center"/>
              <w:rPr>
                <w:szCs w:val="21"/>
              </w:rPr>
            </w:pPr>
            <w:r>
              <w:rPr>
                <w:szCs w:val="21"/>
              </w:rPr>
              <w:t>技术标准与要求</w:t>
            </w:r>
          </w:p>
        </w:tc>
        <w:tc>
          <w:tcPr>
            <w:tcW w:w="5676" w:type="dxa"/>
            <w:gridSpan w:val="4"/>
          </w:tcPr>
          <w:p>
            <w:pPr>
              <w:jc w:val="left"/>
              <w:rPr>
                <w:bCs/>
                <w:szCs w:val="21"/>
              </w:rPr>
            </w:pPr>
            <w:r>
              <w:rPr>
                <w:rFonts w:hint="eastAsia"/>
                <w:bCs/>
                <w:szCs w:val="21"/>
              </w:rPr>
              <w:t>完全响应招标文件第五章“监理服务内容、技术标准与要求”的规定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rPr>
                <w:szCs w:val="21"/>
              </w:rPr>
            </w:pPr>
            <w:r>
              <w:rPr>
                <w:szCs w:val="21"/>
              </w:rPr>
              <w:t>……</w:t>
            </w:r>
          </w:p>
        </w:tc>
        <w:tc>
          <w:tcPr>
            <w:tcW w:w="1985" w:type="dxa"/>
            <w:vAlign w:val="center"/>
          </w:tcPr>
          <w:p>
            <w:pPr>
              <w:rPr>
                <w:szCs w:val="21"/>
              </w:rPr>
            </w:pPr>
            <w:r>
              <w:rPr>
                <w:szCs w:val="21"/>
              </w:rPr>
              <w:t>……</w:t>
            </w:r>
          </w:p>
        </w:tc>
        <w:tc>
          <w:tcPr>
            <w:tcW w:w="5676" w:type="dxa"/>
            <w:gridSpan w:val="4"/>
            <w:vAlign w:val="center"/>
          </w:tcPr>
          <w:p>
            <w:pPr>
              <w:rPr>
                <w:szCs w:val="21"/>
              </w:rPr>
            </w:pPr>
            <w:r>
              <w:rPr>
                <w:szCs w:val="21"/>
              </w:rPr>
              <w:t>……</w:t>
            </w:r>
          </w:p>
        </w:tc>
      </w:tr>
    </w:tbl>
    <w:p>
      <w:pPr>
        <w:spacing w:line="400" w:lineRule="exact"/>
        <w:ind w:firstLine="210" w:firstLineChars="100"/>
        <w:jc w:val="left"/>
        <w:rPr>
          <w:rFonts w:ascii="宋体" w:hAnsi="宋体"/>
          <w:bCs/>
          <w:szCs w:val="21"/>
        </w:rPr>
      </w:pPr>
      <w:r>
        <w:rPr>
          <w:rFonts w:hint="eastAsia" w:ascii="宋体" w:hAnsi="宋体"/>
          <w:bCs/>
          <w:szCs w:val="21"/>
        </w:rPr>
        <w:t>备注：投标人在响应招标文件中规定的实质性要求和条件的基础上，可做出其他有利于招标人的承诺。此类承诺可在本表中予以补充填写。</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Pr>
        <w:spacing w:line="276" w:lineRule="auto"/>
        <w:ind w:right="420" w:firstLine="420"/>
        <w:jc w:val="center"/>
      </w:pPr>
    </w:p>
    <w:p/>
    <w:p>
      <w:pPr>
        <w:pStyle w:val="2"/>
      </w:pPr>
      <w:bookmarkStart w:id="1415" w:name="_Toc496098811"/>
      <w:bookmarkStart w:id="1416" w:name="_Toc6802"/>
      <w:bookmarkStart w:id="1417" w:name="_Toc32351"/>
      <w:bookmarkStart w:id="1418" w:name="_Toc152045791"/>
      <w:bookmarkStart w:id="1419" w:name="_Toc295398987"/>
      <w:bookmarkStart w:id="1420" w:name="_Toc144974860"/>
      <w:bookmarkStart w:id="1421" w:name="_Toc152042580"/>
      <w:r>
        <w:rPr>
          <w:rFonts w:hint="eastAsia"/>
        </w:rPr>
        <w:t>二、法定代表人身份证明及授权委托书</w:t>
      </w:r>
      <w:bookmarkEnd w:id="1415"/>
      <w:bookmarkEnd w:id="1416"/>
      <w:bookmarkEnd w:id="1417"/>
    </w:p>
    <w:p>
      <w:pPr>
        <w:spacing w:beforeLines="100" w:afterLines="100" w:line="360" w:lineRule="auto"/>
        <w:ind w:firstLine="482" w:firstLineChars="200"/>
        <w:jc w:val="center"/>
        <w:rPr>
          <w:sz w:val="20"/>
          <w:szCs w:val="20"/>
        </w:rPr>
      </w:pPr>
      <w:bookmarkStart w:id="1422" w:name="_Toc32154"/>
      <w:r>
        <w:rPr>
          <w:rFonts w:hint="eastAsia" w:hAnsi="宋体"/>
          <w:b/>
          <w:sz w:val="24"/>
        </w:rPr>
        <w:t>（一）法定代表人身份证明</w:t>
      </w:r>
    </w:p>
    <w:p>
      <w:pPr>
        <w:spacing w:line="360" w:lineRule="auto"/>
        <w:ind w:firstLine="420" w:firstLineChars="200"/>
        <w:rPr>
          <w:szCs w:val="21"/>
        </w:rPr>
      </w:pPr>
      <w:r>
        <w:rPr>
          <w:szCs w:val="21"/>
        </w:rPr>
        <w:t>投标人名称：</w:t>
      </w:r>
    </w:p>
    <w:p>
      <w:pPr>
        <w:spacing w:line="360" w:lineRule="auto"/>
        <w:ind w:firstLine="420" w:firstLineChars="200"/>
        <w:rPr>
          <w:szCs w:val="21"/>
          <w:u w:val="single"/>
        </w:rPr>
      </w:pPr>
      <w:r>
        <w:rPr>
          <w:szCs w:val="21"/>
        </w:rPr>
        <w:t>单位性质：</w:t>
      </w:r>
    </w:p>
    <w:p>
      <w:pPr>
        <w:spacing w:line="360" w:lineRule="auto"/>
        <w:ind w:firstLine="420" w:firstLineChars="200"/>
        <w:rPr>
          <w:szCs w:val="21"/>
          <w:u w:val="single"/>
        </w:rPr>
      </w:pPr>
      <w:r>
        <w:rPr>
          <w:szCs w:val="21"/>
        </w:rPr>
        <w:t>地址：</w:t>
      </w:r>
    </w:p>
    <w:p>
      <w:pPr>
        <w:spacing w:line="360" w:lineRule="auto"/>
        <w:ind w:firstLine="420" w:firstLineChars="200"/>
        <w:rPr>
          <w:szCs w:val="21"/>
        </w:rPr>
      </w:pPr>
      <w:r>
        <w:rPr>
          <w:szCs w:val="21"/>
        </w:rPr>
        <w:t>成立时间：年月日</w:t>
      </w:r>
    </w:p>
    <w:p>
      <w:pPr>
        <w:spacing w:line="360" w:lineRule="auto"/>
        <w:ind w:firstLine="420" w:firstLineChars="200"/>
        <w:rPr>
          <w:szCs w:val="21"/>
        </w:rPr>
      </w:pPr>
      <w:r>
        <w:rPr>
          <w:szCs w:val="21"/>
        </w:rPr>
        <w:t>经营期限：</w:t>
      </w:r>
    </w:p>
    <w:p>
      <w:pPr>
        <w:spacing w:line="360" w:lineRule="auto"/>
        <w:ind w:firstLine="420" w:firstLineChars="200"/>
        <w:rPr>
          <w:szCs w:val="21"/>
          <w:u w:val="single"/>
        </w:rPr>
      </w:pPr>
      <w:r>
        <w:rPr>
          <w:szCs w:val="21"/>
        </w:rPr>
        <w:t>姓名：性别：年龄：职务：</w:t>
      </w:r>
    </w:p>
    <w:p>
      <w:pPr>
        <w:spacing w:line="360" w:lineRule="auto"/>
        <w:ind w:firstLine="420" w:firstLineChars="200"/>
        <w:rPr>
          <w:szCs w:val="21"/>
        </w:rPr>
      </w:pPr>
      <w:r>
        <w:rPr>
          <w:szCs w:val="21"/>
        </w:rPr>
        <w:t>系</w:t>
      </w:r>
      <w:r>
        <w:rPr>
          <w:rFonts w:hint="eastAsia"/>
          <w:szCs w:val="21"/>
          <w:u w:val="single"/>
        </w:rPr>
        <w:t xml:space="preserve">     （</w:t>
      </w:r>
      <w:r>
        <w:rPr>
          <w:szCs w:val="21"/>
          <w:u w:val="single"/>
        </w:rPr>
        <w:t>投标人名称</w:t>
      </w:r>
      <w:r>
        <w:rPr>
          <w:rFonts w:hint="eastAsia"/>
          <w:szCs w:val="21"/>
          <w:u w:val="single"/>
        </w:rPr>
        <w:t xml:space="preserve">）      </w:t>
      </w:r>
      <w:r>
        <w:rPr>
          <w:szCs w:val="21"/>
        </w:rPr>
        <w:t>的法定代表人。</w:t>
      </w:r>
    </w:p>
    <w:p>
      <w:pPr>
        <w:spacing w:line="360" w:lineRule="auto"/>
        <w:ind w:firstLine="420" w:firstLineChars="2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jc w:val="right"/>
        <w:rPr>
          <w:szCs w:val="21"/>
        </w:rPr>
      </w:pPr>
      <w:r>
        <w:rPr>
          <w:szCs w:val="21"/>
        </w:rPr>
        <w:t>投标人（盖单位公章）</w:t>
      </w:r>
    </w:p>
    <w:p>
      <w:pPr>
        <w:spacing w:line="360" w:lineRule="auto"/>
        <w:ind w:firstLine="420" w:firstLineChars="200"/>
        <w:jc w:val="right"/>
        <w:rPr>
          <w:szCs w:val="21"/>
        </w:rPr>
      </w:pPr>
      <w:r>
        <w:rPr>
          <w:rFonts w:hint="eastAsia"/>
          <w:szCs w:val="21"/>
        </w:rPr>
        <w:t xml:space="preserve">日期：  </w:t>
      </w:r>
      <w:r>
        <w:rPr>
          <w:szCs w:val="21"/>
        </w:rPr>
        <w:t>年月日</w:t>
      </w:r>
    </w:p>
    <w:bookmarkEnd w:id="1418"/>
    <w:bookmarkEnd w:id="1419"/>
    <w:bookmarkEnd w:id="1420"/>
    <w:bookmarkEnd w:id="1421"/>
    <w:bookmarkEnd w:id="1422"/>
    <w:p>
      <w:pPr>
        <w:spacing w:line="276" w:lineRule="auto"/>
        <w:ind w:firstLine="420"/>
        <w:rPr>
          <w:sz w:val="24"/>
          <w:szCs w:val="21"/>
        </w:rPr>
      </w:pPr>
    </w:p>
    <w:tbl>
      <w:tblPr>
        <w:tblStyle w:val="28"/>
        <w:tblW w:w="8528"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9" w:hRule="atLeast"/>
        </w:trPr>
        <w:tc>
          <w:tcPr>
            <w:tcW w:w="8528" w:type="dxa"/>
            <w:vAlign w:val="center"/>
          </w:tcPr>
          <w:p>
            <w:pPr>
              <w:ind w:firstLine="422"/>
              <w:jc w:val="center"/>
              <w:rPr>
                <w:rFonts w:ascii="宋体" w:hAnsi="宋体"/>
                <w:b/>
                <w:szCs w:val="21"/>
              </w:rPr>
            </w:pPr>
            <w:r>
              <w:rPr>
                <w:rFonts w:hint="eastAsia" w:ascii="宋体" w:hAnsi="宋体"/>
                <w:b/>
                <w:szCs w:val="21"/>
              </w:rPr>
              <w:t>法定代表人身份证扫描件</w:t>
            </w:r>
          </w:p>
          <w:p>
            <w:pPr>
              <w:ind w:firstLine="420"/>
              <w:jc w:val="center"/>
              <w:rPr>
                <w:szCs w:val="21"/>
              </w:rPr>
            </w:pPr>
            <w:r>
              <w:rPr>
                <w:rFonts w:hint="eastAsia" w:ascii="宋体" w:hAnsi="宋体"/>
                <w:szCs w:val="21"/>
              </w:rPr>
              <w:t>（本处应为直接打印的证件扫描件（正、反面），不允许另行粘贴）</w:t>
            </w:r>
          </w:p>
        </w:tc>
      </w:tr>
    </w:tbl>
    <w:p>
      <w:pPr>
        <w:spacing w:line="440" w:lineRule="exact"/>
        <w:rPr>
          <w:szCs w:val="21"/>
        </w:rPr>
      </w:pPr>
    </w:p>
    <w:p>
      <w:pPr>
        <w:spacing w:line="440" w:lineRule="exact"/>
        <w:rPr>
          <w:szCs w:val="21"/>
        </w:rPr>
      </w:pPr>
    </w:p>
    <w:p/>
    <w:p/>
    <w:p/>
    <w:p>
      <w:pPr>
        <w:spacing w:beforeLines="100" w:afterLines="100" w:line="276" w:lineRule="auto"/>
        <w:jc w:val="center"/>
        <w:rPr>
          <w:rFonts w:hAnsi="宋体"/>
          <w:b/>
          <w:sz w:val="24"/>
        </w:rPr>
      </w:pPr>
      <w:bookmarkStart w:id="1423" w:name="_Toc152045792"/>
      <w:bookmarkStart w:id="1424" w:name="_Toc295398988"/>
      <w:bookmarkStart w:id="1425" w:name="_Toc152042581"/>
      <w:bookmarkStart w:id="1426" w:name="_Toc23768"/>
      <w:bookmarkStart w:id="1427" w:name="_Toc144974861"/>
      <w:r>
        <w:rPr>
          <w:rFonts w:hint="eastAsia" w:hAnsi="宋体"/>
          <w:b/>
          <w:sz w:val="24"/>
        </w:rPr>
        <w:t>（二）授权委托书</w:t>
      </w:r>
      <w:bookmarkEnd w:id="1423"/>
      <w:bookmarkEnd w:id="1424"/>
      <w:bookmarkEnd w:id="1425"/>
      <w:bookmarkEnd w:id="1426"/>
      <w:bookmarkEnd w:id="1427"/>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为我方代理人。代理人根据授权，以我方名义签署、澄清、说明、补正、递交、撤回、修改</w:t>
      </w:r>
      <w:r>
        <w:rPr>
          <w:rFonts w:ascii="宋体" w:hAnsi="宋体"/>
          <w:szCs w:val="21"/>
          <w:u w:val="single"/>
        </w:rPr>
        <w:t>（项目名称）</w:t>
      </w:r>
      <w:r>
        <w:rPr>
          <w:rFonts w:hint="eastAsia" w:ascii="宋体" w:hAnsi="宋体"/>
          <w:szCs w:val="21"/>
        </w:rPr>
        <w:t>标段</w:t>
      </w:r>
      <w:r>
        <w:rPr>
          <w:rFonts w:ascii="宋体" w:hAnsi="宋体"/>
          <w:szCs w:val="21"/>
        </w:rPr>
        <w:t>投标文件、签订合同和处理有关事宜，其法律后果由我方承担。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ascii="宋体" w:hAnsi="宋体"/>
          <w:szCs w:val="21"/>
        </w:rPr>
        <w:t>附：法定代表人身份证明</w:t>
      </w:r>
    </w:p>
    <w:p>
      <w:pPr>
        <w:spacing w:line="360" w:lineRule="auto"/>
        <w:ind w:firstLine="420" w:firstLineChars="200"/>
        <w:rPr>
          <w:rFonts w:ascii="宋体" w:hAnsi="宋体"/>
          <w:szCs w:val="21"/>
        </w:rPr>
      </w:pPr>
    </w:p>
    <w:p>
      <w:pPr>
        <w:spacing w:line="360" w:lineRule="auto"/>
        <w:ind w:firstLine="2975" w:firstLineChars="1417"/>
        <w:jc w:val="left"/>
        <w:rPr>
          <w:rFonts w:ascii="宋体" w:hAnsi="宋体"/>
          <w:szCs w:val="21"/>
        </w:rPr>
      </w:pPr>
      <w:r>
        <w:rPr>
          <w:rFonts w:ascii="宋体" w:hAnsi="宋体"/>
          <w:szCs w:val="21"/>
        </w:rPr>
        <w:t>投标人：（盖单位公章）</w:t>
      </w:r>
    </w:p>
    <w:p>
      <w:pPr>
        <w:spacing w:line="360" w:lineRule="auto"/>
        <w:ind w:firstLine="2975" w:firstLineChars="1417"/>
        <w:jc w:val="left"/>
        <w:rPr>
          <w:rFonts w:ascii="宋体" w:hAnsi="宋体"/>
          <w:szCs w:val="21"/>
        </w:rPr>
      </w:pPr>
      <w:r>
        <w:rPr>
          <w:rFonts w:ascii="宋体" w:hAnsi="宋体"/>
          <w:szCs w:val="21"/>
        </w:rPr>
        <w:t>法定代表人：（签字</w:t>
      </w:r>
      <w:r>
        <w:rPr>
          <w:rFonts w:hint="eastAsia" w:ascii="宋体" w:hAnsi="宋体"/>
          <w:szCs w:val="21"/>
        </w:rPr>
        <w:t>或盖章</w:t>
      </w:r>
      <w:r>
        <w:rPr>
          <w:rFonts w:ascii="宋体" w:hAnsi="宋体"/>
          <w:szCs w:val="21"/>
        </w:rPr>
        <w:t>）</w:t>
      </w:r>
    </w:p>
    <w:p>
      <w:pPr>
        <w:spacing w:line="360" w:lineRule="auto"/>
        <w:ind w:firstLine="2975" w:firstLineChars="1417"/>
        <w:jc w:val="left"/>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ascii="宋体" w:hAnsi="宋体"/>
          <w:szCs w:val="21"/>
        </w:rPr>
        <w:t>委托代理人：（签字</w:t>
      </w:r>
      <w:r>
        <w:rPr>
          <w:rFonts w:hint="eastAsia" w:ascii="宋体" w:hAnsi="宋体"/>
          <w:szCs w:val="21"/>
        </w:rPr>
        <w:t>或盖章</w:t>
      </w:r>
      <w:r>
        <w:rPr>
          <w:rFonts w:ascii="宋体" w:hAnsi="宋体"/>
          <w:szCs w:val="21"/>
        </w:rPr>
        <w:t>）</w:t>
      </w:r>
    </w:p>
    <w:p>
      <w:pPr>
        <w:spacing w:line="360" w:lineRule="auto"/>
        <w:ind w:firstLine="2975" w:firstLineChars="1417"/>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hint="eastAsia" w:ascii="宋体" w:hAnsi="宋体"/>
          <w:szCs w:val="21"/>
        </w:rPr>
        <w:t xml:space="preserve">日期：  </w:t>
      </w:r>
      <w:r>
        <w:rPr>
          <w:rFonts w:ascii="宋体" w:hAnsi="宋体"/>
          <w:szCs w:val="21"/>
        </w:rPr>
        <w:t>年月日</w:t>
      </w:r>
    </w:p>
    <w:p>
      <w:pPr>
        <w:ind w:firstLine="420"/>
        <w:rPr>
          <w:rFonts w:ascii="宋体" w:hAnsi="宋体"/>
          <w:szCs w:val="21"/>
        </w:rPr>
      </w:pPr>
    </w:p>
    <w:p/>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8364" w:type="dxa"/>
            <w:vAlign w:val="center"/>
          </w:tcPr>
          <w:p>
            <w:pPr>
              <w:ind w:firstLine="420"/>
              <w:jc w:val="center"/>
              <w:rPr>
                <w:rFonts w:ascii="宋体" w:hAnsi="宋体"/>
                <w:szCs w:val="21"/>
              </w:rPr>
            </w:pPr>
            <w:r>
              <w:rPr>
                <w:rFonts w:ascii="宋体" w:hAnsi="宋体"/>
                <w:szCs w:val="21"/>
              </w:rPr>
              <w:t>委托代理人身份证扫描件</w:t>
            </w:r>
          </w:p>
          <w:p>
            <w:pPr>
              <w:ind w:firstLine="420"/>
              <w:jc w:val="center"/>
              <w:rPr>
                <w:rFonts w:ascii="宋体" w:hAnsi="宋体"/>
                <w:szCs w:val="21"/>
              </w:rPr>
            </w:pPr>
            <w:r>
              <w:rPr>
                <w:rFonts w:ascii="宋体" w:hAnsi="宋体"/>
                <w:szCs w:val="21"/>
              </w:rPr>
              <w:t>（本证件需直接扫描（正、反面），不允许粘贴）</w:t>
            </w:r>
          </w:p>
          <w:p>
            <w:pPr>
              <w:pStyle w:val="2"/>
            </w:pPr>
          </w:p>
          <w:p/>
          <w:p>
            <w:pPr>
              <w:pStyle w:val="2"/>
            </w:pPr>
          </w:p>
          <w:p/>
          <w:p>
            <w:pPr>
              <w:pStyle w:val="2"/>
            </w:pPr>
          </w:p>
          <w:p/>
          <w:p>
            <w:pPr>
              <w:pStyle w:val="2"/>
            </w:pPr>
          </w:p>
          <w:p>
            <w:pPr>
              <w:pStyle w:val="2"/>
            </w:pPr>
          </w:p>
          <w:p>
            <w:pPr>
              <w:pStyle w:val="2"/>
            </w:pPr>
          </w:p>
        </w:tc>
      </w:tr>
    </w:tbl>
    <w:p>
      <w:pPr>
        <w:spacing w:line="440" w:lineRule="exact"/>
        <w:rPr>
          <w:szCs w:val="21"/>
        </w:rPr>
      </w:pPr>
    </w:p>
    <w:p/>
    <w:p/>
    <w:p/>
    <w:p/>
    <w:p>
      <w:pPr>
        <w:pStyle w:val="2"/>
      </w:pPr>
      <w:bookmarkStart w:id="1428" w:name="_Toc496098812"/>
      <w:bookmarkStart w:id="1429" w:name="_Toc3967"/>
      <w:bookmarkStart w:id="1430" w:name="_Toc9526"/>
      <w:r>
        <w:rPr>
          <w:rFonts w:hint="eastAsia"/>
        </w:rPr>
        <w:t>三、投标保证金</w:t>
      </w:r>
      <w:bookmarkEnd w:id="1428"/>
      <w:bookmarkEnd w:id="1429"/>
      <w:bookmarkEnd w:id="1430"/>
    </w:p>
    <w:p>
      <w:pPr>
        <w:numPr>
          <w:ilvl w:val="0"/>
          <w:numId w:val="2"/>
        </w:numPr>
        <w:spacing w:before="120" w:after="120"/>
        <w:ind w:firstLine="420"/>
        <w:rPr>
          <w:sz w:val="24"/>
          <w:szCs w:val="21"/>
        </w:rPr>
      </w:pPr>
      <w:r>
        <w:rPr>
          <w:rFonts w:hint="eastAsia"/>
          <w:sz w:val="24"/>
          <w:szCs w:val="21"/>
        </w:rPr>
        <w:t>投标保证金转账凭证</w:t>
      </w: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ind w:firstLine="420"/>
        <w:rPr>
          <w:sz w:val="24"/>
          <w:szCs w:val="21"/>
        </w:rPr>
      </w:pPr>
    </w:p>
    <w:p>
      <w:pPr>
        <w:numPr>
          <w:ilvl w:val="0"/>
          <w:numId w:val="2"/>
        </w:numPr>
        <w:spacing w:before="120" w:after="120"/>
        <w:ind w:firstLine="420"/>
        <w:rPr>
          <w:sz w:val="24"/>
          <w:szCs w:val="21"/>
        </w:rPr>
      </w:pPr>
      <w:r>
        <w:rPr>
          <w:rFonts w:hint="eastAsia"/>
          <w:sz w:val="24"/>
          <w:szCs w:val="21"/>
        </w:rPr>
        <w:t>投标人基本账户银行开户许可证扫描件</w:t>
      </w:r>
    </w:p>
    <w:p>
      <w:pPr>
        <w:spacing w:line="440" w:lineRule="exact"/>
        <w:ind w:firstLine="420"/>
        <w:jc w:val="left"/>
        <w:rPr>
          <w:rFonts w:ascii="宋体" w:hAnsi="宋体"/>
          <w:sz w:val="24"/>
          <w:szCs w:val="21"/>
        </w:rPr>
      </w:pPr>
      <w:r>
        <w:rPr>
          <w:rFonts w:hint="eastAsia" w:ascii="宋体" w:hAnsi="宋体"/>
          <w:sz w:val="24"/>
          <w:szCs w:val="21"/>
        </w:rPr>
        <w:t>基本账户账号：</w:t>
      </w:r>
    </w:p>
    <w:p>
      <w:pPr>
        <w:spacing w:line="440" w:lineRule="exact"/>
        <w:ind w:firstLine="420"/>
        <w:jc w:val="left"/>
        <w:rPr>
          <w:rFonts w:ascii="宋体" w:hAnsi="宋体"/>
          <w:sz w:val="24"/>
          <w:szCs w:val="21"/>
        </w:rPr>
      </w:pPr>
      <w:r>
        <w:rPr>
          <w:rFonts w:hint="eastAsia" w:ascii="宋体" w:hAnsi="宋体"/>
          <w:sz w:val="24"/>
          <w:szCs w:val="21"/>
        </w:rPr>
        <w:t>开户银行：</w:t>
      </w:r>
      <w:bookmarkStart w:id="1431" w:name="_Toc3413"/>
      <w:bookmarkStart w:id="1432" w:name="_Toc496098813"/>
      <w:bookmarkStart w:id="1433" w:name="_Toc269324880"/>
      <w:bookmarkStart w:id="1434" w:name="_Toc266393424"/>
      <w:bookmarkStart w:id="1435" w:name="_Toc281225380"/>
      <w:bookmarkStart w:id="1436" w:name="_Toc226780950"/>
      <w:bookmarkStart w:id="1437" w:name="_Toc273359052"/>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pStyle w:val="2"/>
      </w:pPr>
      <w:bookmarkStart w:id="1438" w:name="_Toc2051"/>
      <w:r>
        <w:rPr>
          <w:rFonts w:hint="eastAsia"/>
          <w:sz w:val="21"/>
          <w:szCs w:val="21"/>
        </w:rPr>
        <w:t>四</w:t>
      </w:r>
      <w:r>
        <w:rPr>
          <w:rFonts w:hint="eastAsia"/>
        </w:rPr>
        <w:t>、项目管理机构</w:t>
      </w:r>
      <w:bookmarkEnd w:id="1431"/>
      <w:bookmarkEnd w:id="1432"/>
      <w:bookmarkEnd w:id="1438"/>
    </w:p>
    <w:p>
      <w:pPr>
        <w:pStyle w:val="4"/>
        <w:rPr>
          <w:rFonts w:hAnsi="Times New Roman"/>
        </w:rPr>
      </w:pPr>
      <w:bookmarkStart w:id="1439" w:name="_Toc19866"/>
      <w:bookmarkStart w:id="1440" w:name="_Toc499205031"/>
      <w:bookmarkStart w:id="1441" w:name="_Toc496098814"/>
      <w:bookmarkStart w:id="1442" w:name="_Toc17381"/>
      <w:bookmarkStart w:id="1443" w:name="_Toc290475713"/>
      <w:bookmarkStart w:id="1444" w:name="_Toc152042593"/>
      <w:bookmarkStart w:id="1445" w:name="_Toc152045804"/>
      <w:bookmarkStart w:id="1446" w:name="_Toc297800229"/>
      <w:bookmarkStart w:id="1447" w:name="_Toc144974872"/>
      <w:bookmarkStart w:id="1448" w:name="_Toc2831"/>
      <w:bookmarkStart w:id="1449" w:name="_Toc25626"/>
      <w:r>
        <w:rPr>
          <w:rFonts w:hint="eastAsia" w:hAnsi="Times New Roman"/>
        </w:rPr>
        <w:t>4</w:t>
      </w:r>
      <w:r>
        <w:rPr>
          <w:rFonts w:hAnsi="Times New Roman"/>
        </w:rPr>
        <w:t xml:space="preserve">.1 </w:t>
      </w:r>
      <w:r>
        <w:t>项目管理机构组成表</w:t>
      </w:r>
      <w:bookmarkEnd w:id="1439"/>
      <w:bookmarkEnd w:id="1440"/>
      <w:bookmarkEnd w:id="1441"/>
      <w:bookmarkEnd w:id="1442"/>
      <w:bookmarkEnd w:id="1443"/>
      <w:bookmarkEnd w:id="1444"/>
      <w:bookmarkEnd w:id="1445"/>
      <w:bookmarkEnd w:id="1446"/>
      <w:bookmarkEnd w:id="1447"/>
      <w:bookmarkEnd w:id="1448"/>
      <w:bookmarkEnd w:id="1449"/>
    </w:p>
    <w:p>
      <w:pPr>
        <w:jc w:val="center"/>
        <w:rPr>
          <w:b/>
          <w:sz w:val="24"/>
        </w:rPr>
      </w:pPr>
      <w:r>
        <w:rPr>
          <w:rFonts w:ascii="宋体" w:hAnsi="宋体"/>
          <w:b/>
          <w:sz w:val="24"/>
        </w:rPr>
        <w:t>项目管理机构组成表</w:t>
      </w:r>
    </w:p>
    <w:tbl>
      <w:tblPr>
        <w:tblStyle w:val="2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276"/>
        <w:gridCol w:w="709"/>
        <w:gridCol w:w="1134"/>
        <w:gridCol w:w="709"/>
        <w:gridCol w:w="850"/>
        <w:gridCol w:w="709"/>
        <w:gridCol w:w="850"/>
        <w:gridCol w:w="1134"/>
        <w:gridCol w:w="709"/>
      </w:tblGrid>
      <w:tr>
        <w:tblPrEx>
          <w:tblLayout w:type="fixed"/>
          <w:tblCellMar>
            <w:top w:w="0" w:type="dxa"/>
            <w:left w:w="108" w:type="dxa"/>
            <w:bottom w:w="0" w:type="dxa"/>
            <w:right w:w="108" w:type="dxa"/>
          </w:tblCellMar>
        </w:tblPrEx>
        <w:trPr>
          <w:jc w:val="center"/>
        </w:trPr>
        <w:tc>
          <w:tcPr>
            <w:tcW w:w="738"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276"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拟在本项目承担的职务</w:t>
            </w:r>
          </w:p>
        </w:tc>
        <w:tc>
          <w:tcPr>
            <w:tcW w:w="709"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职称</w:t>
            </w:r>
          </w:p>
        </w:tc>
        <w:tc>
          <w:tcPr>
            <w:tcW w:w="3402" w:type="dxa"/>
            <w:gridSpan w:val="4"/>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执业或职业资格证明</w:t>
            </w:r>
          </w:p>
        </w:tc>
        <w:tc>
          <w:tcPr>
            <w:tcW w:w="850"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服务</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阶段</w:t>
            </w:r>
          </w:p>
        </w:tc>
        <w:tc>
          <w:tcPr>
            <w:tcW w:w="1134"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服务阶段</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是否常驻</w:t>
            </w:r>
          </w:p>
        </w:tc>
        <w:tc>
          <w:tcPr>
            <w:tcW w:w="709"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738" w:type="dxa"/>
            <w:vMerge w:val="continue"/>
            <w:vAlign w:val="center"/>
          </w:tcPr>
          <w:p>
            <w:pPr>
              <w:rPr>
                <w:rFonts w:asciiTheme="minorEastAsia" w:hAnsiTheme="minorEastAsia" w:eastAsiaTheme="minorEastAsia"/>
                <w:szCs w:val="21"/>
              </w:rPr>
            </w:pPr>
          </w:p>
        </w:tc>
        <w:tc>
          <w:tcPr>
            <w:tcW w:w="1276" w:type="dxa"/>
            <w:vMerge w:val="continue"/>
            <w:vAlign w:val="center"/>
          </w:tcPr>
          <w:p>
            <w:pPr>
              <w:rPr>
                <w:rFonts w:asciiTheme="minorEastAsia" w:hAnsiTheme="minorEastAsia" w:eastAsiaTheme="minorEastAsia"/>
                <w:szCs w:val="21"/>
              </w:rPr>
            </w:pPr>
          </w:p>
        </w:tc>
        <w:tc>
          <w:tcPr>
            <w:tcW w:w="709" w:type="dxa"/>
            <w:vMerge w:val="continue"/>
            <w:vAlign w:val="center"/>
          </w:tcPr>
          <w:p>
            <w:pPr>
              <w:rPr>
                <w:rFonts w:asciiTheme="minorEastAsia" w:hAnsiTheme="minorEastAsia" w:eastAsiaTheme="minorEastAsia"/>
                <w:szCs w:val="21"/>
              </w:rPr>
            </w:pPr>
          </w:p>
        </w:tc>
        <w:tc>
          <w:tcPr>
            <w:tcW w:w="113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证书名称</w:t>
            </w:r>
          </w:p>
        </w:tc>
        <w:tc>
          <w:tcPr>
            <w:tcW w:w="70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级别</w:t>
            </w:r>
          </w:p>
        </w:tc>
        <w:tc>
          <w:tcPr>
            <w:tcW w:w="85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证号</w:t>
            </w:r>
          </w:p>
        </w:tc>
        <w:tc>
          <w:tcPr>
            <w:tcW w:w="70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专业</w:t>
            </w:r>
          </w:p>
        </w:tc>
        <w:tc>
          <w:tcPr>
            <w:tcW w:w="850" w:type="dxa"/>
            <w:vMerge w:val="continue"/>
            <w:vAlign w:val="center"/>
          </w:tcPr>
          <w:p>
            <w:pPr>
              <w:rPr>
                <w:rFonts w:asciiTheme="minorEastAsia" w:hAnsiTheme="minorEastAsia" w:eastAsiaTheme="minorEastAsia"/>
                <w:szCs w:val="21"/>
              </w:rPr>
            </w:pPr>
          </w:p>
        </w:tc>
        <w:tc>
          <w:tcPr>
            <w:tcW w:w="1134" w:type="dxa"/>
            <w:vMerge w:val="continue"/>
          </w:tcPr>
          <w:p>
            <w:pPr>
              <w:rPr>
                <w:rFonts w:asciiTheme="minorEastAsia" w:hAnsiTheme="minorEastAsia" w:eastAsiaTheme="minorEastAsia"/>
                <w:szCs w:val="21"/>
              </w:rPr>
            </w:pPr>
          </w:p>
        </w:tc>
        <w:tc>
          <w:tcPr>
            <w:tcW w:w="709" w:type="dxa"/>
            <w:vMerge w:val="continue"/>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738" w:type="dxa"/>
            <w:vAlign w:val="center"/>
          </w:tcPr>
          <w:p>
            <w:pPr>
              <w:rPr>
                <w:rFonts w:asciiTheme="minorEastAsia" w:hAnsiTheme="minorEastAsia" w:eastAsiaTheme="minorEastAsia"/>
                <w:szCs w:val="21"/>
              </w:rPr>
            </w:pPr>
          </w:p>
        </w:tc>
        <w:tc>
          <w:tcPr>
            <w:tcW w:w="1276"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1134"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709" w:type="dxa"/>
            <w:vAlign w:val="center"/>
          </w:tcPr>
          <w:p>
            <w:pPr>
              <w:rPr>
                <w:rFonts w:asciiTheme="minorEastAsia" w:hAnsiTheme="minorEastAsia" w:eastAsiaTheme="minorEastAsia"/>
                <w:szCs w:val="21"/>
              </w:rPr>
            </w:pPr>
          </w:p>
        </w:tc>
        <w:tc>
          <w:tcPr>
            <w:tcW w:w="850" w:type="dxa"/>
            <w:vAlign w:val="center"/>
          </w:tcPr>
          <w:p>
            <w:pPr>
              <w:rPr>
                <w:rFonts w:asciiTheme="minorEastAsia" w:hAnsiTheme="minorEastAsia" w:eastAsiaTheme="minorEastAsia"/>
                <w:szCs w:val="21"/>
              </w:rPr>
            </w:pPr>
          </w:p>
        </w:tc>
        <w:tc>
          <w:tcPr>
            <w:tcW w:w="1134" w:type="dxa"/>
          </w:tcPr>
          <w:p>
            <w:pPr>
              <w:rPr>
                <w:rFonts w:asciiTheme="minorEastAsia" w:hAnsiTheme="minorEastAsia" w:eastAsiaTheme="minorEastAsia"/>
                <w:szCs w:val="21"/>
              </w:rPr>
            </w:pPr>
          </w:p>
        </w:tc>
        <w:tc>
          <w:tcPr>
            <w:tcW w:w="709" w:type="dxa"/>
          </w:tcPr>
          <w:p>
            <w:pPr>
              <w:rPr>
                <w:rFonts w:asciiTheme="minorEastAsia" w:hAnsiTheme="minorEastAsia" w:eastAsiaTheme="minorEastAsia"/>
                <w:szCs w:val="21"/>
              </w:rPr>
            </w:pPr>
          </w:p>
        </w:tc>
      </w:tr>
    </w:tbl>
    <w:p>
      <w:pPr>
        <w:spacing w:line="400" w:lineRule="exact"/>
        <w:rPr>
          <w:szCs w:val="21"/>
        </w:rPr>
      </w:pPr>
      <w:r>
        <w:rPr>
          <w:rFonts w:hint="eastAsia"/>
          <w:szCs w:val="21"/>
        </w:rPr>
        <w:t>注：</w:t>
      </w:r>
      <w:r>
        <w:rPr>
          <w:szCs w:val="21"/>
        </w:rPr>
        <w:t>1</w:t>
      </w:r>
      <w:r>
        <w:rPr>
          <w:rFonts w:hint="eastAsia"/>
          <w:szCs w:val="21"/>
        </w:rPr>
        <w:t>.投标人根据本招标文件第三章评标办法附表2《拟投入监理人员配置一览表》中要求</w:t>
      </w:r>
      <w:r>
        <w:rPr>
          <w:szCs w:val="21"/>
        </w:rPr>
        <w:t>填写拟投入的</w:t>
      </w:r>
      <w:r>
        <w:rPr>
          <w:rFonts w:hint="eastAsia"/>
          <w:szCs w:val="21"/>
        </w:rPr>
        <w:t>总监理工程师、总监理工程师代表、安全总监、合约计量工程师、试验检测工程师、测量工程师、土建专业监理工程师、轨道专业监理工程师、机电专业监理工程师等。</w:t>
      </w:r>
    </w:p>
    <w:p>
      <w:pPr>
        <w:spacing w:line="400" w:lineRule="exact"/>
        <w:ind w:firstLine="210" w:firstLineChars="100"/>
        <w:rPr>
          <w:szCs w:val="21"/>
        </w:rPr>
      </w:pPr>
      <w:r>
        <w:rPr>
          <w:szCs w:val="21"/>
        </w:rPr>
        <w:t>2</w:t>
      </w:r>
      <w:r>
        <w:rPr>
          <w:rFonts w:hint="eastAsia"/>
          <w:szCs w:val="21"/>
        </w:rPr>
        <w:t>.</w:t>
      </w:r>
      <w:r>
        <w:rPr>
          <w:szCs w:val="21"/>
        </w:rPr>
        <w:t>本页不够请续表</w:t>
      </w:r>
      <w:r>
        <w:rPr>
          <w:rFonts w:hint="eastAsia"/>
          <w:szCs w:val="21"/>
        </w:rPr>
        <w:t>。</w:t>
      </w:r>
    </w:p>
    <w:p>
      <w:pPr>
        <w:jc w:val="left"/>
        <w:rPr>
          <w:szCs w:val="21"/>
        </w:rPr>
      </w:pPr>
    </w:p>
    <w:p>
      <w:pPr>
        <w:jc w:val="left"/>
        <w:rPr>
          <w:szCs w:val="21"/>
        </w:rPr>
      </w:pPr>
    </w:p>
    <w:p>
      <w:pPr>
        <w:spacing w:line="400" w:lineRule="exact"/>
        <w:ind w:firstLine="3684" w:firstLineChars="1535"/>
        <w:rPr>
          <w:sz w:val="24"/>
          <w:szCs w:val="21"/>
        </w:rPr>
      </w:pPr>
      <w:bookmarkStart w:id="1450" w:name="_Toc496098815"/>
      <w:bookmarkStart w:id="1451" w:name="_Toc297800230"/>
      <w:bookmarkStart w:id="1452" w:name="_Toc16636"/>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Pr>
        <w:ind w:right="68" w:firstLine="3968" w:firstLineChars="1890"/>
        <w:jc w:val="left"/>
        <w:rPr>
          <w:szCs w:val="21"/>
        </w:rPr>
      </w:pPr>
    </w:p>
    <w:p>
      <w:pPr>
        <w:ind w:right="68" w:firstLine="3968" w:firstLineChars="1890"/>
        <w:jc w:val="left"/>
        <w:rPr>
          <w:szCs w:val="21"/>
        </w:rPr>
      </w:pPr>
    </w:p>
    <w:p>
      <w:pPr>
        <w:pStyle w:val="4"/>
      </w:pPr>
      <w:bookmarkStart w:id="1453" w:name="_Toc23630"/>
      <w:bookmarkStart w:id="1454" w:name="_Toc3509"/>
      <w:bookmarkStart w:id="1455" w:name="_Toc499205032"/>
      <w:bookmarkStart w:id="1456" w:name="_Toc32016"/>
      <w:r>
        <w:rPr>
          <w:rFonts w:hint="eastAsia"/>
        </w:rPr>
        <w:t>4.2 拟投入人员简历表</w:t>
      </w:r>
      <w:bookmarkEnd w:id="1450"/>
      <w:bookmarkEnd w:id="1451"/>
      <w:bookmarkEnd w:id="1452"/>
      <w:bookmarkEnd w:id="1453"/>
      <w:bookmarkEnd w:id="1454"/>
      <w:bookmarkEnd w:id="1455"/>
      <w:bookmarkEnd w:id="1456"/>
    </w:p>
    <w:p>
      <w:pPr>
        <w:jc w:val="center"/>
        <w:rPr>
          <w:b/>
          <w:sz w:val="24"/>
        </w:rPr>
      </w:pPr>
      <w:r>
        <w:rPr>
          <w:rFonts w:hint="eastAsia" w:ascii="宋体" w:hAnsi="宋体"/>
          <w:b/>
          <w:sz w:val="24"/>
        </w:rPr>
        <w:t>拟投入人员简历表</w:t>
      </w:r>
    </w:p>
    <w:p>
      <w:pPr>
        <w:adjustRightInd w:val="0"/>
        <w:snapToGrid w:val="0"/>
        <w:ind w:firstLine="201"/>
        <w:jc w:val="center"/>
        <w:rPr>
          <w:rFonts w:ascii="宋体" w:hAnsi="宋体"/>
          <w:b/>
          <w:sz w:val="10"/>
          <w:szCs w:val="10"/>
        </w:rPr>
      </w:pPr>
    </w:p>
    <w:tbl>
      <w:tblPr>
        <w:tblStyle w:val="28"/>
        <w:tblW w:w="83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3"/>
        <w:gridCol w:w="1146"/>
        <w:gridCol w:w="1037"/>
        <w:gridCol w:w="827"/>
        <w:gridCol w:w="667"/>
        <w:gridCol w:w="966"/>
        <w:gridCol w:w="1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姓名</w:t>
            </w:r>
          </w:p>
        </w:tc>
        <w:tc>
          <w:tcPr>
            <w:tcW w:w="1146" w:type="dxa"/>
            <w:vAlign w:val="center"/>
          </w:tcPr>
          <w:p>
            <w:pPr>
              <w:rPr>
                <w:szCs w:val="21"/>
              </w:rPr>
            </w:pPr>
          </w:p>
        </w:tc>
        <w:tc>
          <w:tcPr>
            <w:tcW w:w="1037" w:type="dxa"/>
            <w:vAlign w:val="center"/>
          </w:tcPr>
          <w:p>
            <w:pPr>
              <w:rPr>
                <w:szCs w:val="21"/>
              </w:rPr>
            </w:pPr>
            <w:r>
              <w:rPr>
                <w:rFonts w:hint="eastAsia"/>
                <w:szCs w:val="21"/>
              </w:rPr>
              <w:t>性别</w:t>
            </w:r>
          </w:p>
        </w:tc>
        <w:tc>
          <w:tcPr>
            <w:tcW w:w="827" w:type="dxa"/>
            <w:vAlign w:val="center"/>
          </w:tcPr>
          <w:p>
            <w:pPr>
              <w:rPr>
                <w:szCs w:val="21"/>
              </w:rPr>
            </w:pPr>
          </w:p>
        </w:tc>
        <w:tc>
          <w:tcPr>
            <w:tcW w:w="1633" w:type="dxa"/>
            <w:gridSpan w:val="2"/>
            <w:vAlign w:val="center"/>
          </w:tcPr>
          <w:p>
            <w:pPr>
              <w:rPr>
                <w:szCs w:val="21"/>
              </w:rPr>
            </w:pPr>
            <w:r>
              <w:rPr>
                <w:rFonts w:hint="eastAsia"/>
                <w:szCs w:val="21"/>
              </w:rPr>
              <w:t>出生日期</w:t>
            </w:r>
          </w:p>
        </w:tc>
        <w:tc>
          <w:tcPr>
            <w:tcW w:w="1811" w:type="dxa"/>
            <w:vAlign w:val="center"/>
          </w:tcPr>
          <w:p>
            <w:pPr>
              <w:rPr>
                <w:szCs w:val="21"/>
              </w:rPr>
            </w:pPr>
            <w:r>
              <w:rPr>
                <w:rFonts w:hint="eastAsia"/>
                <w:szCs w:val="21"/>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毕业院校专业</w:t>
            </w:r>
          </w:p>
        </w:tc>
        <w:tc>
          <w:tcPr>
            <w:tcW w:w="3010" w:type="dxa"/>
            <w:gridSpan w:val="3"/>
            <w:vAlign w:val="center"/>
          </w:tcPr>
          <w:p>
            <w:pPr>
              <w:rPr>
                <w:szCs w:val="21"/>
              </w:rPr>
            </w:pPr>
          </w:p>
        </w:tc>
        <w:tc>
          <w:tcPr>
            <w:tcW w:w="1633" w:type="dxa"/>
            <w:gridSpan w:val="2"/>
            <w:vAlign w:val="center"/>
          </w:tcPr>
          <w:p>
            <w:pPr>
              <w:rPr>
                <w:szCs w:val="21"/>
              </w:rPr>
            </w:pPr>
            <w:r>
              <w:rPr>
                <w:rFonts w:hint="eastAsia"/>
                <w:szCs w:val="21"/>
              </w:rPr>
              <w:t>毕业时间</w:t>
            </w:r>
          </w:p>
        </w:tc>
        <w:tc>
          <w:tcPr>
            <w:tcW w:w="1811" w:type="dxa"/>
            <w:vAlign w:val="center"/>
          </w:tcPr>
          <w:p>
            <w:pPr>
              <w:rPr>
                <w:szCs w:val="21"/>
              </w:rPr>
            </w:pPr>
            <w:r>
              <w:rPr>
                <w:rFonts w:hint="eastAsia"/>
                <w:szCs w:val="21"/>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参加工作时间</w:t>
            </w:r>
          </w:p>
        </w:tc>
        <w:tc>
          <w:tcPr>
            <w:tcW w:w="2183" w:type="dxa"/>
            <w:gridSpan w:val="2"/>
            <w:vAlign w:val="center"/>
          </w:tcPr>
          <w:p>
            <w:pPr>
              <w:rPr>
                <w:szCs w:val="21"/>
              </w:rPr>
            </w:pPr>
          </w:p>
        </w:tc>
        <w:tc>
          <w:tcPr>
            <w:tcW w:w="2460" w:type="dxa"/>
            <w:gridSpan w:val="3"/>
            <w:vAlign w:val="center"/>
          </w:tcPr>
          <w:p>
            <w:pPr>
              <w:rPr>
                <w:szCs w:val="21"/>
              </w:rPr>
            </w:pPr>
            <w:r>
              <w:rPr>
                <w:rFonts w:hint="eastAsia"/>
                <w:szCs w:val="21"/>
              </w:rPr>
              <w:t>从事本专业年限</w:t>
            </w:r>
          </w:p>
        </w:tc>
        <w:tc>
          <w:tcPr>
            <w:tcW w:w="1811"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注册执业资格证</w:t>
            </w:r>
          </w:p>
          <w:p>
            <w:pPr>
              <w:rPr>
                <w:szCs w:val="21"/>
              </w:rPr>
            </w:pPr>
            <w:r>
              <w:rPr>
                <w:rFonts w:hint="eastAsia"/>
                <w:szCs w:val="21"/>
              </w:rPr>
              <w:t>证书编号</w:t>
            </w:r>
          </w:p>
        </w:tc>
        <w:tc>
          <w:tcPr>
            <w:tcW w:w="2183" w:type="dxa"/>
            <w:gridSpan w:val="2"/>
            <w:vAlign w:val="center"/>
          </w:tcPr>
          <w:p>
            <w:pPr>
              <w:rPr>
                <w:szCs w:val="21"/>
              </w:rPr>
            </w:pPr>
          </w:p>
        </w:tc>
        <w:tc>
          <w:tcPr>
            <w:tcW w:w="2460" w:type="dxa"/>
            <w:gridSpan w:val="3"/>
            <w:vAlign w:val="center"/>
          </w:tcPr>
          <w:p>
            <w:pPr>
              <w:rPr>
                <w:szCs w:val="21"/>
              </w:rPr>
            </w:pPr>
            <w:r>
              <w:rPr>
                <w:rFonts w:hint="eastAsia"/>
                <w:szCs w:val="21"/>
              </w:rPr>
              <w:t>职称</w:t>
            </w:r>
          </w:p>
        </w:tc>
        <w:tc>
          <w:tcPr>
            <w:tcW w:w="1811"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4056" w:type="dxa"/>
            <w:gridSpan w:val="3"/>
            <w:vAlign w:val="center"/>
          </w:tcPr>
          <w:p>
            <w:pPr>
              <w:rPr>
                <w:szCs w:val="21"/>
              </w:rPr>
            </w:pPr>
            <w:r>
              <w:rPr>
                <w:rFonts w:hint="eastAsia"/>
                <w:szCs w:val="21"/>
              </w:rPr>
              <w:t>拟在本项目任职</w:t>
            </w:r>
          </w:p>
        </w:tc>
        <w:tc>
          <w:tcPr>
            <w:tcW w:w="4271" w:type="dxa"/>
            <w:gridSpan w:val="4"/>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8327" w:type="dxa"/>
            <w:gridSpan w:val="7"/>
            <w:vAlign w:val="center"/>
          </w:tcPr>
          <w:p>
            <w:pPr>
              <w:rPr>
                <w:szCs w:val="21"/>
              </w:rPr>
            </w:pPr>
            <w:r>
              <w:rPr>
                <w:rFonts w:hint="eastAsia"/>
                <w:szCs w:val="21"/>
              </w:rPr>
              <w:t>主要经历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时间</w:t>
            </w:r>
          </w:p>
        </w:tc>
        <w:tc>
          <w:tcPr>
            <w:tcW w:w="3677" w:type="dxa"/>
            <w:gridSpan w:val="4"/>
            <w:vAlign w:val="center"/>
          </w:tcPr>
          <w:p>
            <w:pPr>
              <w:rPr>
                <w:szCs w:val="21"/>
              </w:rPr>
            </w:pPr>
            <w:r>
              <w:rPr>
                <w:rFonts w:hint="eastAsia"/>
                <w:szCs w:val="21"/>
              </w:rPr>
              <w:t>参加过的类似项目业绩名称及规模</w:t>
            </w:r>
          </w:p>
        </w:tc>
        <w:tc>
          <w:tcPr>
            <w:tcW w:w="2777" w:type="dxa"/>
            <w:gridSpan w:val="2"/>
            <w:vAlign w:val="center"/>
          </w:tcPr>
          <w:p>
            <w:pPr>
              <w:rPr>
                <w:szCs w:val="21"/>
              </w:rPr>
            </w:pPr>
            <w:r>
              <w:rPr>
                <w:rFonts w:hint="eastAsia"/>
                <w:szCs w:val="21"/>
              </w:rPr>
              <w:t>该项目中任职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p>
        </w:tc>
        <w:tc>
          <w:tcPr>
            <w:tcW w:w="3677" w:type="dxa"/>
            <w:gridSpan w:val="4"/>
            <w:vAlign w:val="center"/>
          </w:tcPr>
          <w:p>
            <w:pPr>
              <w:rPr>
                <w:szCs w:val="21"/>
              </w:rPr>
            </w:pPr>
          </w:p>
        </w:tc>
        <w:tc>
          <w:tcPr>
            <w:tcW w:w="2777" w:type="dxa"/>
            <w:gridSpan w:val="2"/>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873" w:type="dxa"/>
            <w:vAlign w:val="center"/>
          </w:tcPr>
          <w:p>
            <w:pPr>
              <w:rPr>
                <w:szCs w:val="21"/>
              </w:rPr>
            </w:pPr>
            <w:r>
              <w:rPr>
                <w:rFonts w:hint="eastAsia"/>
                <w:szCs w:val="21"/>
              </w:rPr>
              <w:t>……</w:t>
            </w:r>
          </w:p>
        </w:tc>
        <w:tc>
          <w:tcPr>
            <w:tcW w:w="3677" w:type="dxa"/>
            <w:gridSpan w:val="4"/>
            <w:vAlign w:val="center"/>
          </w:tcPr>
          <w:p>
            <w:pPr>
              <w:rPr>
                <w:szCs w:val="21"/>
              </w:rPr>
            </w:pPr>
          </w:p>
        </w:tc>
        <w:tc>
          <w:tcPr>
            <w:tcW w:w="2777" w:type="dxa"/>
            <w:gridSpan w:val="2"/>
            <w:vAlign w:val="center"/>
          </w:tcPr>
          <w:p>
            <w:pPr>
              <w:rPr>
                <w:szCs w:val="21"/>
              </w:rPr>
            </w:pPr>
          </w:p>
        </w:tc>
      </w:tr>
    </w:tbl>
    <w:p>
      <w:pPr>
        <w:rPr>
          <w:szCs w:val="21"/>
        </w:rPr>
      </w:pPr>
      <w:r>
        <w:rPr>
          <w:rFonts w:hint="eastAsia"/>
          <w:szCs w:val="21"/>
        </w:rPr>
        <w:t>注：</w:t>
      </w:r>
    </w:p>
    <w:p>
      <w:pPr>
        <w:rPr>
          <w:szCs w:val="21"/>
        </w:rPr>
      </w:pPr>
      <w:r>
        <w:rPr>
          <w:szCs w:val="21"/>
        </w:rPr>
        <w:t>1.本表按照</w:t>
      </w:r>
      <w:r>
        <w:rPr>
          <w:rFonts w:hint="eastAsia"/>
          <w:szCs w:val="21"/>
        </w:rPr>
        <w:t>表4</w:t>
      </w:r>
      <w:r>
        <w:rPr>
          <w:szCs w:val="21"/>
        </w:rPr>
        <w:t>.1</w:t>
      </w:r>
      <w:r>
        <w:rPr>
          <w:rFonts w:hint="eastAsia"/>
          <w:szCs w:val="21"/>
        </w:rPr>
        <w:t>填写的</w:t>
      </w:r>
      <w:r>
        <w:rPr>
          <w:szCs w:val="21"/>
        </w:rPr>
        <w:t>顺序</w:t>
      </w:r>
      <w:r>
        <w:rPr>
          <w:rFonts w:hint="eastAsia"/>
          <w:szCs w:val="21"/>
        </w:rPr>
        <w:t>及人员进行</w:t>
      </w:r>
      <w:r>
        <w:rPr>
          <w:szCs w:val="21"/>
        </w:rPr>
        <w:t>填写</w:t>
      </w:r>
      <w:r>
        <w:rPr>
          <w:rFonts w:hint="eastAsia"/>
          <w:szCs w:val="21"/>
        </w:rPr>
        <w:t>；</w:t>
      </w:r>
    </w:p>
    <w:p>
      <w:pPr>
        <w:rPr>
          <w:szCs w:val="21"/>
        </w:rPr>
      </w:pPr>
      <w:r>
        <w:rPr>
          <w:szCs w:val="21"/>
        </w:rPr>
        <w:t>2.</w:t>
      </w:r>
      <w:r>
        <w:rPr>
          <w:rFonts w:hint="eastAsia"/>
          <w:szCs w:val="21"/>
        </w:rPr>
        <w:t>应附其执业资格证书、注册证书、身份证、毕业证、职称证的扫描件并加盖公章；</w:t>
      </w:r>
    </w:p>
    <w:p>
      <w:pPr>
        <w:rPr>
          <w:szCs w:val="21"/>
        </w:rPr>
      </w:pPr>
      <w:r>
        <w:rPr>
          <w:szCs w:val="21"/>
        </w:rPr>
        <w:t>3.</w:t>
      </w:r>
      <w:r>
        <w:rPr>
          <w:rFonts w:hint="eastAsia"/>
          <w:szCs w:val="21"/>
        </w:rPr>
        <w:t>总监理工程师需提供其劳动合同、养老保险证明的扫描件并加盖公章及</w:t>
      </w:r>
      <w:r>
        <w:rPr>
          <w:rFonts w:hint="eastAsia"/>
          <w:b/>
          <w:szCs w:val="21"/>
        </w:rPr>
        <w:t>未</w:t>
      </w:r>
      <w:r>
        <w:rPr>
          <w:b/>
          <w:szCs w:val="21"/>
        </w:rPr>
        <w:t>担任其他</w:t>
      </w:r>
      <w:r>
        <w:rPr>
          <w:rFonts w:hint="eastAsia"/>
          <w:b/>
          <w:szCs w:val="21"/>
        </w:rPr>
        <w:t>在建</w:t>
      </w:r>
      <w:r>
        <w:rPr>
          <w:b/>
          <w:szCs w:val="21"/>
        </w:rPr>
        <w:t>建设工程项目总监理工程师</w:t>
      </w:r>
      <w:r>
        <w:rPr>
          <w:rFonts w:hint="eastAsia"/>
          <w:b/>
          <w:szCs w:val="21"/>
        </w:rPr>
        <w:t>的承诺书（详见附件）</w:t>
      </w:r>
      <w:r>
        <w:rPr>
          <w:rFonts w:hint="eastAsia"/>
          <w:szCs w:val="21"/>
        </w:rPr>
        <w:t>；</w:t>
      </w:r>
    </w:p>
    <w:p>
      <w:pPr>
        <w:rPr>
          <w:szCs w:val="21"/>
        </w:rPr>
      </w:pPr>
      <w:r>
        <w:rPr>
          <w:rFonts w:hint="eastAsia"/>
          <w:szCs w:val="21"/>
        </w:rPr>
        <w:t>4.总监理工程师需提供能反映其担任过的总监理工程师职务的业绩证明材料（中标通知书、合同协议书和工程接收证书（或工程竣工验收证书或业主开具的证明文件））</w:t>
      </w:r>
      <w:r>
        <w:rPr>
          <w:szCs w:val="21"/>
        </w:rPr>
        <w:t>的</w:t>
      </w:r>
      <w:r>
        <w:rPr>
          <w:rFonts w:hint="eastAsia"/>
          <w:szCs w:val="21"/>
        </w:rPr>
        <w:t>扫描</w:t>
      </w:r>
      <w:r>
        <w:rPr>
          <w:szCs w:val="21"/>
        </w:rPr>
        <w:t>件</w:t>
      </w:r>
      <w:r>
        <w:rPr>
          <w:rFonts w:hint="eastAsia"/>
          <w:szCs w:val="21"/>
        </w:rPr>
        <w:t>并加盖公章；</w:t>
      </w:r>
    </w:p>
    <w:p>
      <w:pPr>
        <w:rPr>
          <w:szCs w:val="21"/>
        </w:rPr>
      </w:pPr>
      <w:r>
        <w:rPr>
          <w:rFonts w:hint="eastAsia"/>
          <w:szCs w:val="21"/>
        </w:rPr>
        <w:t>5.总监理工程师代表需提供能反映其担任过的已完类似项目业绩的总监理工程师代表或总监理工程师职务的业绩证明材料（中标通知书、合同协议书和工程接收证书（或工程竣工验收证书或业主开具的证明文件））</w:t>
      </w:r>
      <w:r>
        <w:rPr>
          <w:szCs w:val="21"/>
        </w:rPr>
        <w:t>的</w:t>
      </w:r>
      <w:r>
        <w:rPr>
          <w:rFonts w:hint="eastAsia"/>
          <w:szCs w:val="21"/>
        </w:rPr>
        <w:t>扫描</w:t>
      </w:r>
      <w:r>
        <w:rPr>
          <w:szCs w:val="21"/>
        </w:rPr>
        <w:t>件</w:t>
      </w:r>
      <w:r>
        <w:rPr>
          <w:rFonts w:hint="eastAsia"/>
          <w:szCs w:val="21"/>
        </w:rPr>
        <w:t>并加盖公章；</w:t>
      </w:r>
    </w:p>
    <w:p>
      <w:pPr>
        <w:rPr>
          <w:szCs w:val="21"/>
        </w:rPr>
      </w:pPr>
      <w:r>
        <w:rPr>
          <w:rFonts w:hint="eastAsia"/>
          <w:szCs w:val="21"/>
        </w:rPr>
        <w:t>6.所提供的总监理工程师及总监理工程师代表业绩证明材料，缺少其中任何一项证明材料的，均视为无效业绩，且须至少有一项能体现其姓名</w:t>
      </w:r>
      <w:r>
        <w:rPr>
          <w:szCs w:val="21"/>
        </w:rPr>
        <w:t>及所担任的职务等信息</w:t>
      </w:r>
      <w:r>
        <w:rPr>
          <w:rFonts w:hint="eastAsia"/>
          <w:szCs w:val="21"/>
        </w:rPr>
        <w:t>（</w:t>
      </w:r>
      <w:r>
        <w:rPr>
          <w:rFonts w:hint="eastAsia"/>
          <w:b/>
          <w:szCs w:val="21"/>
        </w:rPr>
        <w:t>若以上多项证明材料体现的姓名及所担任的职务等信息不一致的，还须出具业主或行政监管部门开具的证明材料）</w:t>
      </w:r>
      <w:r>
        <w:rPr>
          <w:szCs w:val="21"/>
        </w:rPr>
        <w:t>。</w:t>
      </w:r>
    </w:p>
    <w:p>
      <w:pPr>
        <w:rPr>
          <w:szCs w:val="21"/>
        </w:rPr>
      </w:pPr>
      <w:r>
        <w:rPr>
          <w:rFonts w:hint="eastAsia" w:ascii="宋体" w:hAnsi="宋体"/>
          <w:szCs w:val="21"/>
        </w:rPr>
        <w:t>7.安全总监的业绩证明材料（业主开具的证明文件或业绩执行过程中的其他证明文件）的扫描件并加盖公章,</w:t>
      </w:r>
      <w:r>
        <w:rPr>
          <w:rFonts w:hint="eastAsia"/>
          <w:szCs w:val="21"/>
        </w:rPr>
        <w:t>且须能体现其姓名</w:t>
      </w:r>
      <w:r>
        <w:rPr>
          <w:szCs w:val="21"/>
        </w:rPr>
        <w:t>及所担任的职务等信息</w:t>
      </w:r>
      <w:r>
        <w:rPr>
          <w:rFonts w:hint="eastAsia" w:ascii="宋体" w:hAnsi="宋体"/>
          <w:szCs w:val="21"/>
        </w:rPr>
        <w:t>。</w:t>
      </w:r>
    </w:p>
    <w:p>
      <w:pPr>
        <w:spacing w:line="276" w:lineRule="auto"/>
        <w:rPr>
          <w:szCs w:val="21"/>
        </w:rPr>
      </w:pPr>
    </w:p>
    <w:p>
      <w:pPr>
        <w:spacing w:line="276" w:lineRule="auto"/>
        <w:rPr>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
      <w:pPr>
        <w:ind w:firstLine="420"/>
        <w:rPr>
          <w:b/>
          <w:szCs w:val="21"/>
        </w:rPr>
      </w:pPr>
    </w:p>
    <w:p>
      <w:pPr>
        <w:ind w:firstLine="420"/>
        <w:rPr>
          <w:b/>
          <w:szCs w:val="21"/>
        </w:rPr>
      </w:pPr>
      <w:r>
        <w:rPr>
          <w:rFonts w:hint="eastAsia"/>
          <w:b/>
          <w:szCs w:val="21"/>
        </w:rPr>
        <w:t>附件</w:t>
      </w:r>
    </w:p>
    <w:p>
      <w:pPr>
        <w:spacing w:line="276" w:lineRule="auto"/>
        <w:jc w:val="center"/>
        <w:rPr>
          <w:sz w:val="24"/>
          <w:szCs w:val="21"/>
        </w:rPr>
      </w:pPr>
      <w:r>
        <w:rPr>
          <w:rFonts w:hint="eastAsia"/>
          <w:sz w:val="24"/>
          <w:szCs w:val="21"/>
        </w:rPr>
        <w:t>总监理工程师承诺函</w:t>
      </w:r>
    </w:p>
    <w:p>
      <w:pPr>
        <w:spacing w:line="276" w:lineRule="auto"/>
        <w:ind w:firstLine="420"/>
        <w:rPr>
          <w:color w:val="000000"/>
          <w:sz w:val="24"/>
          <w:szCs w:val="21"/>
        </w:rPr>
      </w:pPr>
    </w:p>
    <w:p>
      <w:pPr>
        <w:spacing w:line="276" w:lineRule="auto"/>
        <w:ind w:firstLine="480" w:firstLineChars="200"/>
        <w:rPr>
          <w:sz w:val="24"/>
          <w:szCs w:val="21"/>
        </w:rPr>
      </w:pPr>
      <w:r>
        <w:rPr>
          <w:rFonts w:hint="eastAsia"/>
          <w:sz w:val="24"/>
          <w:szCs w:val="21"/>
        </w:rPr>
        <w:t>我方在此声明，我方拟派往</w:t>
      </w:r>
      <w:r>
        <w:rPr>
          <w:rFonts w:hint="eastAsia"/>
          <w:sz w:val="24"/>
          <w:szCs w:val="21"/>
          <w:u w:val="single"/>
        </w:rPr>
        <w:t xml:space="preserve">    （项目名称）  </w:t>
      </w:r>
      <w:r>
        <w:rPr>
          <w:rFonts w:hint="eastAsia"/>
          <w:sz w:val="24"/>
          <w:szCs w:val="21"/>
        </w:rPr>
        <w:t xml:space="preserve"> 第标段（以下简称“本工程”）的总监理工程师</w:t>
      </w:r>
      <w:r>
        <w:rPr>
          <w:rFonts w:hint="eastAsia"/>
          <w:sz w:val="24"/>
          <w:szCs w:val="21"/>
          <w:u w:val="single"/>
        </w:rPr>
        <w:t xml:space="preserve">   （总监理工程师姓名）    </w:t>
      </w:r>
      <w:r>
        <w:rPr>
          <w:rFonts w:hint="eastAsia"/>
          <w:sz w:val="24"/>
          <w:szCs w:val="21"/>
        </w:rPr>
        <w:t>现阶段没有担任任何在施建设工程项目的总监理工程师。</w:t>
      </w:r>
    </w:p>
    <w:p>
      <w:pPr>
        <w:spacing w:line="276" w:lineRule="auto"/>
        <w:ind w:firstLine="480" w:firstLineChars="200"/>
        <w:rPr>
          <w:color w:val="000000"/>
          <w:sz w:val="24"/>
          <w:szCs w:val="21"/>
        </w:rPr>
      </w:pPr>
      <w:r>
        <w:rPr>
          <w:rFonts w:hint="eastAsia"/>
          <w:sz w:val="24"/>
          <w:szCs w:val="21"/>
        </w:rPr>
        <w:t>我方保证上述信息的真实和准确，并愿意承担因我方就此弄虚作假所引起的一切法律后果。</w:t>
      </w:r>
    </w:p>
    <w:p>
      <w:pPr>
        <w:spacing w:line="276" w:lineRule="auto"/>
        <w:ind w:firstLine="420"/>
        <w:rPr>
          <w:color w:val="000000"/>
          <w:sz w:val="24"/>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Pr>
        <w:spacing w:line="276" w:lineRule="auto"/>
        <w:ind w:right="960" w:firstLine="3570" w:firstLineChars="1700"/>
        <w:rPr>
          <w:szCs w:val="21"/>
        </w:rPr>
      </w:pPr>
      <w:r>
        <w:rPr>
          <w:szCs w:val="21"/>
        </w:rPr>
        <w:br w:type="page"/>
      </w:r>
    </w:p>
    <w:p>
      <w:pPr>
        <w:pStyle w:val="4"/>
      </w:pPr>
      <w:bookmarkStart w:id="1457" w:name="_Toc496098816"/>
      <w:bookmarkStart w:id="1458" w:name="_Toc499205033"/>
      <w:bookmarkStart w:id="1459" w:name="_Toc12362"/>
      <w:bookmarkStart w:id="1460" w:name="_Toc1372"/>
      <w:bookmarkStart w:id="1461" w:name="_Toc16509"/>
      <w:r>
        <w:rPr>
          <w:rFonts w:hint="eastAsia"/>
        </w:rPr>
        <w:t>4.3其他专业监理工程师及人员配置表</w:t>
      </w:r>
      <w:bookmarkEnd w:id="1457"/>
      <w:bookmarkEnd w:id="1458"/>
      <w:bookmarkEnd w:id="1459"/>
      <w:bookmarkEnd w:id="1460"/>
      <w:bookmarkEnd w:id="1461"/>
    </w:p>
    <w:p>
      <w:pPr>
        <w:jc w:val="left"/>
        <w:rPr>
          <w:rFonts w:ascii="宋体" w:hAnsi="宋体" w:cs="宋体"/>
          <w:szCs w:val="21"/>
        </w:rPr>
      </w:pPr>
      <w:r>
        <w:rPr>
          <w:rFonts w:hint="eastAsia" w:ascii="宋体" w:hAnsi="宋体" w:cs="宋体"/>
          <w:szCs w:val="21"/>
        </w:rPr>
        <w:t>若我方中标，在合同签订前，我方根据招标文件《拟投入监理人员配置一览表》“四、其他专业监理工程师及人员”配置监理岗位如下表：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2597"/>
        <w:gridCol w:w="2131"/>
      </w:tblGrid>
      <w:tr>
        <w:tblPrEx>
          <w:tblLayout w:type="fixed"/>
          <w:tblCellMar>
            <w:top w:w="0" w:type="dxa"/>
            <w:left w:w="108" w:type="dxa"/>
            <w:bottom w:w="0" w:type="dxa"/>
            <w:right w:w="108" w:type="dxa"/>
          </w:tblCellMar>
        </w:tblPrEx>
        <w:trPr>
          <w:trHeight w:val="468" w:hRule="atLeast"/>
        </w:trPr>
        <w:tc>
          <w:tcPr>
            <w:tcW w:w="959" w:type="dxa"/>
            <w:vAlign w:val="center"/>
          </w:tcPr>
          <w:p>
            <w:pPr>
              <w:jc w:val="center"/>
              <w:rPr>
                <w:rFonts w:ascii="宋体" w:hAnsi="宋体" w:cs="宋体"/>
                <w:b/>
                <w:szCs w:val="21"/>
              </w:rPr>
            </w:pPr>
            <w:r>
              <w:rPr>
                <w:rFonts w:hint="eastAsia" w:ascii="宋体" w:hAnsi="宋体" w:cs="宋体"/>
                <w:b/>
                <w:szCs w:val="21"/>
              </w:rPr>
              <w:t>序号</w:t>
            </w:r>
          </w:p>
        </w:tc>
        <w:tc>
          <w:tcPr>
            <w:tcW w:w="2835" w:type="dxa"/>
            <w:vAlign w:val="center"/>
          </w:tcPr>
          <w:p>
            <w:pPr>
              <w:ind w:firstLine="422"/>
              <w:jc w:val="center"/>
              <w:rPr>
                <w:rFonts w:ascii="宋体" w:hAnsi="宋体" w:cs="宋体"/>
                <w:b/>
                <w:szCs w:val="21"/>
              </w:rPr>
            </w:pPr>
            <w:r>
              <w:rPr>
                <w:rFonts w:hint="eastAsia" w:ascii="宋体" w:hAnsi="宋体" w:cs="宋体"/>
                <w:b/>
                <w:szCs w:val="21"/>
              </w:rPr>
              <w:t>监理岗位</w:t>
            </w:r>
          </w:p>
        </w:tc>
        <w:tc>
          <w:tcPr>
            <w:tcW w:w="2597" w:type="dxa"/>
            <w:vAlign w:val="center"/>
          </w:tcPr>
          <w:p>
            <w:pPr>
              <w:ind w:firstLine="422"/>
              <w:jc w:val="center"/>
              <w:rPr>
                <w:rFonts w:ascii="宋体" w:hAnsi="宋体" w:cs="宋体"/>
                <w:b/>
                <w:szCs w:val="21"/>
              </w:rPr>
            </w:pPr>
            <w:r>
              <w:rPr>
                <w:rFonts w:hint="eastAsia" w:ascii="宋体" w:hAnsi="宋体" w:cs="宋体"/>
                <w:b/>
                <w:szCs w:val="21"/>
              </w:rPr>
              <w:t>职称</w:t>
            </w:r>
          </w:p>
        </w:tc>
        <w:tc>
          <w:tcPr>
            <w:tcW w:w="2131" w:type="dxa"/>
            <w:vAlign w:val="center"/>
          </w:tcPr>
          <w:p>
            <w:pPr>
              <w:ind w:firstLine="422"/>
              <w:jc w:val="center"/>
              <w:rPr>
                <w:rFonts w:ascii="宋体" w:hAnsi="宋体" w:cs="宋体"/>
                <w:b/>
                <w:szCs w:val="21"/>
              </w:rPr>
            </w:pPr>
            <w:r>
              <w:rPr>
                <w:rFonts w:hint="eastAsia" w:ascii="宋体" w:hAnsi="宋体" w:cs="宋体"/>
                <w:b/>
                <w:szCs w:val="21"/>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9"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c>
          <w:tcPr>
            <w:tcW w:w="2597" w:type="dxa"/>
            <w:vAlign w:val="center"/>
          </w:tcPr>
          <w:p>
            <w:pPr>
              <w:jc w:val="center"/>
              <w:rPr>
                <w:rFonts w:ascii="宋体" w:hAnsi="宋体" w:cs="宋体"/>
                <w:szCs w:val="21"/>
              </w:rPr>
            </w:pPr>
          </w:p>
        </w:tc>
        <w:tc>
          <w:tcPr>
            <w:tcW w:w="2131" w:type="dxa"/>
            <w:vAlign w:val="center"/>
          </w:tcPr>
          <w:p>
            <w:pPr>
              <w:jc w:val="center"/>
              <w:rPr>
                <w:rFonts w:ascii="宋体" w:hAnsi="宋体" w:cs="宋体"/>
                <w:szCs w:val="21"/>
              </w:rPr>
            </w:pPr>
          </w:p>
        </w:tc>
      </w:tr>
    </w:tbl>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Pr>
        <w:spacing w:line="400" w:lineRule="exact"/>
        <w:jc w:val="left"/>
        <w:rPr>
          <w:rFonts w:ascii="黑体" w:eastAsia="黑体"/>
          <w:sz w:val="28"/>
          <w:szCs w:val="28"/>
        </w:rPr>
      </w:pPr>
      <w:r>
        <w:rPr>
          <w:szCs w:val="21"/>
        </w:rPr>
        <w:br w:type="page"/>
      </w:r>
    </w:p>
    <w:p>
      <w:pPr>
        <w:pStyle w:val="2"/>
      </w:pPr>
      <w:bookmarkStart w:id="1462" w:name="_Toc496098817"/>
      <w:bookmarkStart w:id="1463" w:name="_Toc19161"/>
      <w:bookmarkStart w:id="1464" w:name="_Toc5885"/>
      <w:r>
        <w:rPr>
          <w:rFonts w:hint="eastAsia"/>
        </w:rPr>
        <w:t>五、资格审查资料</w:t>
      </w:r>
      <w:bookmarkEnd w:id="1462"/>
      <w:bookmarkEnd w:id="1463"/>
      <w:bookmarkEnd w:id="1464"/>
    </w:p>
    <w:p>
      <w:pPr>
        <w:pStyle w:val="4"/>
      </w:pPr>
      <w:bookmarkStart w:id="1465" w:name="_Toc16262"/>
      <w:bookmarkStart w:id="1466" w:name="_Toc24045"/>
      <w:bookmarkStart w:id="1467" w:name="_Toc297800232"/>
      <w:bookmarkStart w:id="1468" w:name="_Toc152045808"/>
      <w:bookmarkStart w:id="1469" w:name="_Toc295399000"/>
      <w:bookmarkStart w:id="1470" w:name="_Toc499205035"/>
      <w:bookmarkStart w:id="1471" w:name="_Toc496098818"/>
      <w:bookmarkStart w:id="1472" w:name="_Toc16506"/>
      <w:bookmarkStart w:id="1473" w:name="_Toc3590"/>
      <w:bookmarkStart w:id="1474" w:name="_Toc144974876"/>
      <w:bookmarkStart w:id="1475" w:name="_Toc152042597"/>
      <w:r>
        <w:rPr>
          <w:rFonts w:hint="eastAsia"/>
        </w:rPr>
        <w:t>5.1 投标人基本情况表</w:t>
      </w:r>
      <w:bookmarkEnd w:id="1465"/>
      <w:bookmarkEnd w:id="1466"/>
      <w:bookmarkEnd w:id="1467"/>
      <w:bookmarkEnd w:id="1468"/>
      <w:bookmarkEnd w:id="1469"/>
      <w:bookmarkEnd w:id="1470"/>
      <w:bookmarkEnd w:id="1471"/>
      <w:bookmarkEnd w:id="1472"/>
      <w:bookmarkEnd w:id="1473"/>
      <w:bookmarkEnd w:id="1474"/>
      <w:bookmarkEnd w:id="1475"/>
    </w:p>
    <w:p>
      <w:pPr>
        <w:jc w:val="center"/>
        <w:rPr>
          <w:rFonts w:ascii="宋体" w:hAnsi="宋体"/>
          <w:b/>
        </w:rPr>
      </w:pPr>
      <w:r>
        <w:rPr>
          <w:rFonts w:hint="eastAsia" w:ascii="宋体" w:hAnsi="宋体"/>
          <w:b/>
        </w:rPr>
        <w:t>投标人基本情况表</w:t>
      </w:r>
    </w:p>
    <w:tbl>
      <w:tblPr>
        <w:tblStyle w:val="28"/>
        <w:tblW w:w="85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76"/>
        <w:gridCol w:w="2711"/>
        <w:gridCol w:w="1093"/>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投标人</w:t>
            </w:r>
          </w:p>
        </w:tc>
        <w:tc>
          <w:tcPr>
            <w:tcW w:w="2711" w:type="dxa"/>
            <w:vAlign w:val="center"/>
          </w:tcPr>
          <w:p>
            <w:pPr>
              <w:spacing w:line="276" w:lineRule="auto"/>
              <w:rPr>
                <w:szCs w:val="21"/>
              </w:rPr>
            </w:pPr>
          </w:p>
        </w:tc>
        <w:tc>
          <w:tcPr>
            <w:tcW w:w="1093" w:type="dxa"/>
            <w:vAlign w:val="center"/>
          </w:tcPr>
          <w:p>
            <w:pPr>
              <w:spacing w:line="276" w:lineRule="auto"/>
              <w:rPr>
                <w:szCs w:val="21"/>
              </w:rPr>
            </w:pP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主要业务范围</w:t>
            </w:r>
          </w:p>
        </w:tc>
        <w:tc>
          <w:tcPr>
            <w:tcW w:w="2711" w:type="dxa"/>
            <w:vAlign w:val="center"/>
          </w:tcPr>
          <w:p>
            <w:pPr>
              <w:spacing w:line="276" w:lineRule="auto"/>
              <w:rPr>
                <w:szCs w:val="21"/>
              </w:rPr>
            </w:pPr>
          </w:p>
        </w:tc>
        <w:tc>
          <w:tcPr>
            <w:tcW w:w="1093" w:type="dxa"/>
            <w:vAlign w:val="center"/>
          </w:tcPr>
          <w:p>
            <w:pPr>
              <w:spacing w:line="276" w:lineRule="auto"/>
              <w:rPr>
                <w:szCs w:val="21"/>
              </w:rPr>
            </w:pP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法定代表人</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职务</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投标人地址</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邮政编码</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176" w:type="dxa"/>
            <w:vAlign w:val="center"/>
          </w:tcPr>
          <w:p>
            <w:pPr>
              <w:spacing w:line="276" w:lineRule="auto"/>
              <w:rPr>
                <w:szCs w:val="21"/>
              </w:rPr>
            </w:pPr>
            <w:r>
              <w:rPr>
                <w:rFonts w:hint="eastAsia"/>
                <w:szCs w:val="21"/>
              </w:rPr>
              <w:t>电话</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传真</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176" w:type="dxa"/>
            <w:vAlign w:val="center"/>
          </w:tcPr>
          <w:p>
            <w:pPr>
              <w:spacing w:line="276" w:lineRule="auto"/>
              <w:rPr>
                <w:szCs w:val="21"/>
              </w:rPr>
            </w:pPr>
            <w:r>
              <w:rPr>
                <w:rFonts w:hint="eastAsia"/>
                <w:szCs w:val="21"/>
              </w:rPr>
              <w:t>成立日期</w:t>
            </w:r>
          </w:p>
        </w:tc>
        <w:tc>
          <w:tcPr>
            <w:tcW w:w="2711" w:type="dxa"/>
            <w:vAlign w:val="center"/>
          </w:tcPr>
          <w:p>
            <w:pPr>
              <w:spacing w:line="276" w:lineRule="auto"/>
              <w:rPr>
                <w:szCs w:val="21"/>
              </w:rPr>
            </w:pPr>
          </w:p>
        </w:tc>
        <w:tc>
          <w:tcPr>
            <w:tcW w:w="1093" w:type="dxa"/>
            <w:vAlign w:val="center"/>
          </w:tcPr>
          <w:p>
            <w:pPr>
              <w:spacing w:line="276" w:lineRule="auto"/>
              <w:rPr>
                <w:szCs w:val="21"/>
              </w:rPr>
            </w:pPr>
            <w:r>
              <w:rPr>
                <w:rFonts w:hint="eastAsia"/>
                <w:szCs w:val="21"/>
              </w:rPr>
              <w:t>现有职</w:t>
            </w:r>
          </w:p>
          <w:p>
            <w:pPr>
              <w:spacing w:line="276" w:lineRule="auto"/>
              <w:rPr>
                <w:szCs w:val="21"/>
              </w:rPr>
            </w:pPr>
            <w:r>
              <w:rPr>
                <w:rFonts w:hint="eastAsia"/>
                <w:szCs w:val="21"/>
              </w:rPr>
              <w:t>工人数</w:t>
            </w:r>
          </w:p>
        </w:tc>
        <w:tc>
          <w:tcPr>
            <w:tcW w:w="1530"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jc w:val="center"/>
        </w:trPr>
        <w:tc>
          <w:tcPr>
            <w:tcW w:w="3176" w:type="dxa"/>
            <w:vAlign w:val="center"/>
          </w:tcPr>
          <w:p>
            <w:pPr>
              <w:spacing w:line="276" w:lineRule="auto"/>
              <w:rPr>
                <w:szCs w:val="21"/>
              </w:rPr>
            </w:pPr>
            <w:r>
              <w:rPr>
                <w:rFonts w:hint="eastAsia"/>
                <w:szCs w:val="21"/>
              </w:rPr>
              <w:t>资质证书</w:t>
            </w:r>
          </w:p>
        </w:tc>
        <w:tc>
          <w:tcPr>
            <w:tcW w:w="5334" w:type="dxa"/>
            <w:gridSpan w:val="3"/>
            <w:vAlign w:val="center"/>
          </w:tcPr>
          <w:p>
            <w:pPr>
              <w:spacing w:line="276" w:lineRule="auto"/>
              <w:rPr>
                <w:szCs w:val="21"/>
              </w:rPr>
            </w:pPr>
            <w:r>
              <w:rPr>
                <w:rFonts w:hint="eastAsia"/>
                <w:szCs w:val="21"/>
              </w:rPr>
              <w:t>等级：证书号：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9" w:hRule="atLeast"/>
          <w:jc w:val="center"/>
        </w:trPr>
        <w:tc>
          <w:tcPr>
            <w:tcW w:w="8510" w:type="dxa"/>
            <w:gridSpan w:val="4"/>
          </w:tcPr>
          <w:p>
            <w:pPr>
              <w:spacing w:line="276" w:lineRule="auto"/>
              <w:rPr>
                <w:szCs w:val="21"/>
              </w:rPr>
            </w:pPr>
            <w:r>
              <w:rPr>
                <w:rFonts w:hint="eastAsia"/>
                <w:szCs w:val="21"/>
              </w:rPr>
              <w:t>组织机构简介：（部室划分、各部室人数、中高级职称、执业注册等人数）</w:t>
            </w:r>
          </w:p>
          <w:p>
            <w:pPr>
              <w:spacing w:line="276" w:lineRule="auto"/>
              <w:rPr>
                <w:szCs w:val="21"/>
              </w:rPr>
            </w:pPr>
            <w:r>
              <w:rPr>
                <w:rFonts w:hint="eastAsia"/>
                <w:szCs w:val="21"/>
              </w:rPr>
              <w:t>企业组织机构框图附后</w:t>
            </w:r>
          </w:p>
          <w:p>
            <w:pPr>
              <w:spacing w:line="276" w:lineRule="auto"/>
              <w:rPr>
                <w:szCs w:val="21"/>
              </w:rPr>
            </w:pPr>
            <w:r>
              <w:rPr>
                <w:rFonts w:hint="eastAsia"/>
                <w:szCs w:val="21"/>
              </w:rPr>
              <w:t>技术人员总数： 人</w:t>
            </w:r>
          </w:p>
          <w:p>
            <w:pPr>
              <w:spacing w:line="276" w:lineRule="auto"/>
              <w:rPr>
                <w:szCs w:val="21"/>
              </w:rPr>
            </w:pPr>
            <w:r>
              <w:rPr>
                <w:rFonts w:hint="eastAsia"/>
                <w:szCs w:val="21"/>
              </w:rPr>
              <w:t>职业注册类别： 人</w:t>
            </w:r>
          </w:p>
        </w:tc>
      </w:tr>
    </w:tbl>
    <w:p>
      <w:pPr>
        <w:spacing w:line="400" w:lineRule="exact"/>
        <w:rPr>
          <w:szCs w:val="21"/>
        </w:rPr>
      </w:pPr>
      <w:r>
        <w:rPr>
          <w:rFonts w:hAnsi="宋体"/>
          <w:szCs w:val="21"/>
        </w:rPr>
        <w:t>备注：本表后应附企业法人营业执照</w:t>
      </w:r>
      <w:r>
        <w:rPr>
          <w:rFonts w:hint="eastAsia" w:hAnsi="宋体"/>
          <w:szCs w:val="21"/>
        </w:rPr>
        <w:t>副本</w:t>
      </w:r>
      <w:r>
        <w:rPr>
          <w:rFonts w:hAnsi="宋体"/>
          <w:szCs w:val="21"/>
        </w:rPr>
        <w:t>、企业资质证书副本等材料</w:t>
      </w:r>
      <w:r>
        <w:rPr>
          <w:rFonts w:hint="eastAsia" w:hAnsi="宋体"/>
          <w:szCs w:val="21"/>
        </w:rPr>
        <w:t>的</w:t>
      </w:r>
      <w:r>
        <w:rPr>
          <w:szCs w:val="21"/>
        </w:rPr>
        <w:t>扫描件</w:t>
      </w:r>
      <w:r>
        <w:rPr>
          <w:rFonts w:hint="eastAsia"/>
          <w:szCs w:val="21"/>
        </w:rPr>
        <w:t>并</w:t>
      </w:r>
      <w:r>
        <w:rPr>
          <w:szCs w:val="21"/>
        </w:rPr>
        <w:t>加盖公章</w:t>
      </w:r>
      <w:r>
        <w:rPr>
          <w:rFonts w:hint="eastAsia"/>
          <w:szCs w:val="21"/>
        </w:rPr>
        <w:t>。</w:t>
      </w:r>
    </w:p>
    <w:p>
      <w:pPr>
        <w:spacing w:line="276" w:lineRule="auto"/>
        <w:ind w:firstLine="3684" w:firstLineChars="1535"/>
        <w:rPr>
          <w:sz w:val="24"/>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Pr>
        <w:ind w:firstLine="3584" w:firstLineChars="1700"/>
        <w:rPr>
          <w:rFonts w:hAnsi="宋体"/>
          <w:szCs w:val="21"/>
        </w:rPr>
      </w:pPr>
      <w:r>
        <w:rPr>
          <w:rFonts w:hAnsi="宋体"/>
          <w:b/>
          <w:szCs w:val="21"/>
        </w:rPr>
        <w:br w:type="page"/>
      </w:r>
      <w:bookmarkEnd w:id="1433"/>
      <w:bookmarkEnd w:id="1434"/>
      <w:bookmarkEnd w:id="1435"/>
      <w:bookmarkEnd w:id="1436"/>
      <w:bookmarkEnd w:id="1437"/>
      <w:bookmarkStart w:id="1476" w:name="_Toc144974877"/>
      <w:bookmarkStart w:id="1477" w:name="_Toc297800233"/>
      <w:bookmarkStart w:id="1478" w:name="_Toc290475720"/>
      <w:bookmarkStart w:id="1479" w:name="_Toc152045809"/>
      <w:bookmarkStart w:id="1480" w:name="_Toc11041"/>
      <w:bookmarkStart w:id="1481" w:name="_Toc152042598"/>
      <w:bookmarkStart w:id="1482" w:name="_Toc226780951"/>
    </w:p>
    <w:p>
      <w:pPr>
        <w:pStyle w:val="4"/>
      </w:pPr>
      <w:bookmarkStart w:id="1483" w:name="_Toc28224"/>
      <w:bookmarkStart w:id="1484" w:name="_Toc499205036"/>
      <w:bookmarkStart w:id="1485" w:name="_Toc29566"/>
      <w:bookmarkStart w:id="1486" w:name="_Toc30293"/>
      <w:bookmarkStart w:id="1487" w:name="_Toc496098819"/>
      <w:r>
        <w:rPr>
          <w:rFonts w:hint="eastAsia"/>
        </w:rPr>
        <w:t>5.2 近年财务状况表</w:t>
      </w:r>
      <w:bookmarkEnd w:id="1476"/>
      <w:bookmarkEnd w:id="1477"/>
      <w:bookmarkEnd w:id="1478"/>
      <w:bookmarkEnd w:id="1479"/>
      <w:bookmarkEnd w:id="1480"/>
      <w:bookmarkEnd w:id="1481"/>
      <w:bookmarkEnd w:id="1483"/>
      <w:bookmarkEnd w:id="1484"/>
      <w:bookmarkEnd w:id="1485"/>
      <w:bookmarkEnd w:id="1486"/>
      <w:bookmarkEnd w:id="1487"/>
    </w:p>
    <w:p>
      <w:pPr>
        <w:topLinePunct/>
        <w:spacing w:line="440" w:lineRule="exact"/>
        <w:rPr>
          <w:rFonts w:ascii="宋体" w:hAnsi="宋体" w:cs="宋体"/>
          <w:szCs w:val="21"/>
        </w:rPr>
      </w:pPr>
      <w:r>
        <w:rPr>
          <w:rFonts w:hint="eastAsia" w:ascii="宋体" w:hAnsi="宋体" w:cs="宋体"/>
          <w:szCs w:val="21"/>
        </w:rPr>
        <w:t>备注：近年财务状况表指经过会计师事务所或者审计机构的审计的审计报告，包括资产负债表、利润表、现金流量表和财务情况说明书的完整扫描件，具体年份要求见第二章“投标人须知前附表”第</w:t>
      </w:r>
      <w:r>
        <w:rPr>
          <w:szCs w:val="21"/>
        </w:rPr>
        <w:t>3.5.2</w:t>
      </w:r>
      <w:r>
        <w:rPr>
          <w:rFonts w:hint="eastAsia" w:ascii="宋体" w:hAnsi="宋体" w:cs="宋体"/>
          <w:szCs w:val="21"/>
        </w:rPr>
        <w:t>项的规定。</w:t>
      </w:r>
    </w:p>
    <w:p/>
    <w:p/>
    <w:p/>
    <w:p/>
    <w:p/>
    <w:p/>
    <w:p/>
    <w:p/>
    <w:p/>
    <w:p/>
    <w:p/>
    <w:p/>
    <w:p/>
    <w:p/>
    <w:p/>
    <w:p/>
    <w:p/>
    <w:p/>
    <w:p/>
    <w:p/>
    <w:p/>
    <w:p/>
    <w:p/>
    <w:p/>
    <w:p/>
    <w:p/>
    <w:p/>
    <w:p/>
    <w:p/>
    <w:p/>
    <w:p/>
    <w:p/>
    <w:p/>
    <w:p/>
    <w:p/>
    <w:p/>
    <w:p/>
    <w:p>
      <w:pPr>
        <w:pStyle w:val="4"/>
      </w:pPr>
      <w:bookmarkStart w:id="1488" w:name="_Toc18975"/>
      <w:bookmarkStart w:id="1489" w:name="_Toc7307"/>
      <w:bookmarkStart w:id="1490" w:name="_Toc499205037"/>
      <w:bookmarkStart w:id="1491" w:name="_Toc7870"/>
      <w:bookmarkStart w:id="1492" w:name="_Toc6688"/>
      <w:bookmarkStart w:id="1493" w:name="_Toc496098820"/>
      <w:r>
        <w:rPr>
          <w:rFonts w:hint="eastAsia"/>
        </w:rPr>
        <w:t>5.3 近五年安全、质量情况说明表</w:t>
      </w:r>
      <w:bookmarkEnd w:id="1488"/>
      <w:bookmarkEnd w:id="1489"/>
      <w:bookmarkEnd w:id="1490"/>
      <w:bookmarkEnd w:id="1491"/>
      <w:bookmarkEnd w:id="1492"/>
      <w:bookmarkEnd w:id="1493"/>
    </w:p>
    <w:p>
      <w:pPr>
        <w:jc w:val="center"/>
        <w:rPr>
          <w:rFonts w:ascii="宋体" w:hAnsi="宋体"/>
          <w:b/>
          <w:sz w:val="24"/>
        </w:rPr>
      </w:pPr>
      <w:r>
        <w:rPr>
          <w:rFonts w:hint="eastAsia" w:ascii="宋体" w:hAnsi="宋体"/>
          <w:b/>
          <w:sz w:val="24"/>
        </w:rPr>
        <w:t>近五年安全、质量情况说明表</w:t>
      </w:r>
    </w:p>
    <w:tbl>
      <w:tblPr>
        <w:tblStyle w:val="28"/>
        <w:tblW w:w="853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50"/>
        <w:gridCol w:w="6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2170" w:type="dxa"/>
            <w:gridSpan w:val="2"/>
            <w:vAlign w:val="center"/>
          </w:tcPr>
          <w:p>
            <w:pPr>
              <w:ind w:firstLine="365" w:firstLineChars="174"/>
              <w:jc w:val="left"/>
              <w:rPr>
                <w:szCs w:val="21"/>
              </w:rPr>
            </w:pPr>
            <w:r>
              <w:rPr>
                <w:rFonts w:hint="eastAsia"/>
                <w:szCs w:val="21"/>
              </w:rPr>
              <w:t>时间</w:t>
            </w:r>
          </w:p>
        </w:tc>
        <w:tc>
          <w:tcPr>
            <w:tcW w:w="6364" w:type="dxa"/>
            <w:vAlign w:val="center"/>
          </w:tcPr>
          <w:p>
            <w:pPr>
              <w:ind w:firstLine="420"/>
              <w:jc w:val="center"/>
              <w:rPr>
                <w:szCs w:val="21"/>
              </w:rPr>
            </w:pPr>
            <w:r>
              <w:rPr>
                <w:szCs w:val="21"/>
              </w:rPr>
              <w:t>投标人近</w:t>
            </w:r>
            <w:r>
              <w:rPr>
                <w:rFonts w:hint="eastAsia"/>
                <w:szCs w:val="21"/>
              </w:rPr>
              <w:t>五</w:t>
            </w:r>
            <w:r>
              <w:rPr>
                <w:szCs w:val="21"/>
              </w:rPr>
              <w:t>年安全、质量情况说明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2170" w:type="dxa"/>
            <w:gridSpan w:val="2"/>
            <w:vAlign w:val="center"/>
          </w:tcPr>
          <w:p>
            <w:pPr>
              <w:rPr>
                <w:szCs w:val="21"/>
              </w:rPr>
            </w:pPr>
            <w:r>
              <w:rPr>
                <w:szCs w:val="21"/>
              </w:rPr>
              <w:t>20</w:t>
            </w:r>
            <w:r>
              <w:rPr>
                <w:rFonts w:hint="eastAsia"/>
                <w:szCs w:val="21"/>
              </w:rPr>
              <w:t>12</w:t>
            </w:r>
            <w:r>
              <w:rPr>
                <w:szCs w:val="21"/>
              </w:rPr>
              <w:t>.</w:t>
            </w:r>
            <w:r>
              <w:rPr>
                <w:rFonts w:hint="eastAsia"/>
                <w:szCs w:val="21"/>
              </w:rPr>
              <w:t>01</w:t>
            </w:r>
            <w:r>
              <w:rPr>
                <w:szCs w:val="21"/>
              </w:rPr>
              <w:t>至20</w:t>
            </w:r>
            <w:r>
              <w:rPr>
                <w:rFonts w:hint="eastAsia"/>
                <w:szCs w:val="21"/>
              </w:rPr>
              <w:t>12</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2170" w:type="dxa"/>
            <w:gridSpan w:val="2"/>
            <w:vAlign w:val="center"/>
          </w:tcPr>
          <w:p>
            <w:pPr>
              <w:rPr>
                <w:szCs w:val="21"/>
              </w:rPr>
            </w:pPr>
            <w:r>
              <w:rPr>
                <w:szCs w:val="21"/>
              </w:rPr>
              <w:t>20</w:t>
            </w:r>
            <w:r>
              <w:rPr>
                <w:rFonts w:hint="eastAsia"/>
                <w:szCs w:val="21"/>
              </w:rPr>
              <w:t>13</w:t>
            </w:r>
            <w:r>
              <w:rPr>
                <w:szCs w:val="21"/>
              </w:rPr>
              <w:t>.</w:t>
            </w:r>
            <w:r>
              <w:rPr>
                <w:rFonts w:hint="eastAsia"/>
                <w:szCs w:val="21"/>
              </w:rPr>
              <w:t>01</w:t>
            </w:r>
            <w:r>
              <w:rPr>
                <w:szCs w:val="21"/>
              </w:rPr>
              <w:t>至20</w:t>
            </w:r>
            <w:r>
              <w:rPr>
                <w:rFonts w:hint="eastAsia"/>
                <w:szCs w:val="21"/>
              </w:rPr>
              <w:t>13</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14</w:t>
            </w:r>
            <w:r>
              <w:rPr>
                <w:szCs w:val="21"/>
              </w:rPr>
              <w:t>.</w:t>
            </w:r>
            <w:r>
              <w:rPr>
                <w:rFonts w:hint="eastAsia"/>
                <w:szCs w:val="21"/>
              </w:rPr>
              <w:t>01</w:t>
            </w:r>
            <w:r>
              <w:rPr>
                <w:szCs w:val="21"/>
              </w:rPr>
              <w:t>至20</w:t>
            </w:r>
            <w:r>
              <w:rPr>
                <w:rFonts w:hint="eastAsia"/>
                <w:szCs w:val="21"/>
              </w:rPr>
              <w:t>14</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15</w:t>
            </w:r>
            <w:r>
              <w:rPr>
                <w:szCs w:val="21"/>
              </w:rPr>
              <w:t>.</w:t>
            </w:r>
            <w:r>
              <w:rPr>
                <w:rFonts w:hint="eastAsia"/>
                <w:szCs w:val="21"/>
              </w:rPr>
              <w:t>01</w:t>
            </w:r>
            <w:r>
              <w:rPr>
                <w:szCs w:val="21"/>
              </w:rPr>
              <w:t>至20</w:t>
            </w:r>
            <w:r>
              <w:rPr>
                <w:rFonts w:hint="eastAsia"/>
                <w:szCs w:val="21"/>
              </w:rPr>
              <w:t>15</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szCs w:val="21"/>
              </w:rPr>
              <w:t>20</w:t>
            </w:r>
            <w:r>
              <w:rPr>
                <w:rFonts w:hint="eastAsia"/>
                <w:szCs w:val="21"/>
              </w:rPr>
              <w:t>16</w:t>
            </w:r>
            <w:r>
              <w:rPr>
                <w:szCs w:val="21"/>
              </w:rPr>
              <w:t>.</w:t>
            </w:r>
            <w:r>
              <w:rPr>
                <w:rFonts w:hint="eastAsia"/>
                <w:szCs w:val="21"/>
              </w:rPr>
              <w:t>01</w:t>
            </w:r>
            <w:r>
              <w:rPr>
                <w:szCs w:val="21"/>
              </w:rPr>
              <w:t>至20</w:t>
            </w:r>
            <w:r>
              <w:rPr>
                <w:rFonts w:hint="eastAsia"/>
                <w:szCs w:val="21"/>
              </w:rPr>
              <w:t>16</w:t>
            </w:r>
            <w:r>
              <w:rPr>
                <w:szCs w:val="21"/>
              </w:rPr>
              <w:t>.</w:t>
            </w:r>
            <w:r>
              <w:rPr>
                <w:rFonts w:hint="eastAsia"/>
                <w:szCs w:val="21"/>
              </w:rPr>
              <w:t>12</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170" w:type="dxa"/>
            <w:gridSpan w:val="2"/>
            <w:vAlign w:val="center"/>
          </w:tcPr>
          <w:p>
            <w:pPr>
              <w:rPr>
                <w:szCs w:val="21"/>
              </w:rPr>
            </w:pPr>
            <w:r>
              <w:rPr>
                <w:rFonts w:hint="eastAsia"/>
                <w:szCs w:val="21"/>
              </w:rPr>
              <w:t>2017.01至今</w:t>
            </w: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restart"/>
            <w:vAlign w:val="center"/>
          </w:tcPr>
          <w:p>
            <w:pPr>
              <w:rPr>
                <w:szCs w:val="21"/>
              </w:rPr>
            </w:pPr>
            <w:r>
              <w:rPr>
                <w:szCs w:val="21"/>
              </w:rPr>
              <w:t>安全</w:t>
            </w:r>
          </w:p>
          <w:p>
            <w:pPr>
              <w:rPr>
                <w:szCs w:val="21"/>
              </w:rPr>
            </w:pPr>
            <w:r>
              <w:rPr>
                <w:szCs w:val="21"/>
              </w:rPr>
              <w:t>质量事故</w:t>
            </w:r>
          </w:p>
        </w:tc>
        <w:tc>
          <w:tcPr>
            <w:tcW w:w="1650" w:type="dxa"/>
            <w:vAlign w:val="center"/>
          </w:tcPr>
          <w:p>
            <w:pPr>
              <w:rPr>
                <w:szCs w:val="21"/>
              </w:rPr>
            </w:pPr>
            <w:r>
              <w:rPr>
                <w:rFonts w:hint="eastAsia"/>
                <w:szCs w:val="21"/>
              </w:rPr>
              <w:t>项目</w:t>
            </w:r>
            <w:r>
              <w:rPr>
                <w:szCs w:val="21"/>
              </w:rPr>
              <w:t>名称</w:t>
            </w:r>
          </w:p>
        </w:tc>
        <w:tc>
          <w:tcPr>
            <w:tcW w:w="6364" w:type="dxa"/>
            <w:vAlign w:val="center"/>
          </w:tcPr>
          <w:p>
            <w:pPr>
              <w:ind w:firstLine="420"/>
              <w:jc w:val="center"/>
              <w:rPr>
                <w:szCs w:val="21"/>
              </w:rPr>
            </w:pPr>
            <w:r>
              <w:rPr>
                <w:szCs w:val="21"/>
              </w:rPr>
              <w:t>事故发生原因及责任简要说明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520" w:type="dxa"/>
            <w:vMerge w:val="continue"/>
            <w:vAlign w:val="center"/>
          </w:tcPr>
          <w:p>
            <w:pPr>
              <w:ind w:firstLine="420"/>
              <w:jc w:val="center"/>
              <w:rPr>
                <w:szCs w:val="21"/>
              </w:rPr>
            </w:pPr>
          </w:p>
        </w:tc>
        <w:tc>
          <w:tcPr>
            <w:tcW w:w="1650" w:type="dxa"/>
            <w:vAlign w:val="center"/>
          </w:tcPr>
          <w:p>
            <w:pPr>
              <w:ind w:firstLine="420"/>
              <w:jc w:val="center"/>
              <w:rPr>
                <w:szCs w:val="21"/>
              </w:rPr>
            </w:pPr>
          </w:p>
        </w:tc>
        <w:tc>
          <w:tcPr>
            <w:tcW w:w="6364" w:type="dxa"/>
            <w:vAlign w:val="center"/>
          </w:tcPr>
          <w:p>
            <w:pPr>
              <w:ind w:firstLine="420"/>
              <w:jc w:val="center"/>
              <w:rPr>
                <w:szCs w:val="21"/>
              </w:rPr>
            </w:pPr>
          </w:p>
        </w:tc>
      </w:tr>
    </w:tbl>
    <w:p>
      <w:pPr>
        <w:spacing w:line="400" w:lineRule="exact"/>
        <w:rPr>
          <w:szCs w:val="21"/>
        </w:rPr>
      </w:pPr>
      <w:r>
        <w:rPr>
          <w:rFonts w:hint="eastAsia"/>
          <w:szCs w:val="21"/>
        </w:rPr>
        <w:t>备注：1.投标人承担的服务项目未发生过安全、质量事故，请在投标人近五年安全、质量情况说明栏中填写“无”。</w:t>
      </w:r>
    </w:p>
    <w:p>
      <w:pPr>
        <w:spacing w:line="400" w:lineRule="exact"/>
        <w:ind w:firstLine="420"/>
        <w:rPr>
          <w:szCs w:val="21"/>
        </w:rPr>
      </w:pPr>
      <w:r>
        <w:rPr>
          <w:rFonts w:hint="eastAsia"/>
          <w:szCs w:val="21"/>
        </w:rPr>
        <w:t>2.本页不够请附页。</w:t>
      </w:r>
    </w:p>
    <w:p>
      <w:pPr>
        <w:spacing w:line="400" w:lineRule="exact"/>
        <w:ind w:firstLine="3684" w:firstLineChars="1535"/>
        <w:rPr>
          <w:sz w:val="24"/>
          <w:szCs w:val="21"/>
        </w:rPr>
      </w:pPr>
      <w:bookmarkStart w:id="1494" w:name="_Toc496098821"/>
      <w:bookmarkStart w:id="1495" w:name="_Toc297800234"/>
      <w:bookmarkStart w:id="1496" w:name="_Toc19364"/>
      <w:bookmarkStart w:id="1497" w:name="_Toc290475721"/>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rPr>
          <w:sz w:val="24"/>
          <w:szCs w:val="21"/>
        </w:rPr>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
      <w:pPr>
        <w:pStyle w:val="4"/>
      </w:pPr>
      <w:bookmarkStart w:id="1498" w:name="_Toc25834"/>
      <w:bookmarkStart w:id="1499" w:name="_Toc30256"/>
      <w:bookmarkStart w:id="1500" w:name="_Toc23945"/>
      <w:bookmarkStart w:id="1501" w:name="_Toc499205038"/>
      <w:r>
        <w:rPr>
          <w:rFonts w:hint="eastAsia"/>
        </w:rPr>
        <w:t>5.4 近年承担类似项目业绩情况一览表</w:t>
      </w:r>
      <w:bookmarkEnd w:id="1494"/>
      <w:bookmarkEnd w:id="1495"/>
      <w:bookmarkEnd w:id="1496"/>
      <w:bookmarkEnd w:id="1497"/>
      <w:bookmarkEnd w:id="1498"/>
      <w:bookmarkEnd w:id="1499"/>
      <w:bookmarkEnd w:id="1500"/>
      <w:bookmarkEnd w:id="1501"/>
    </w:p>
    <w:p>
      <w:pPr>
        <w:jc w:val="center"/>
        <w:rPr>
          <w:rFonts w:ascii="宋体" w:hAnsi="宋体"/>
          <w:b/>
          <w:sz w:val="24"/>
        </w:rPr>
      </w:pPr>
      <w:r>
        <w:rPr>
          <w:rFonts w:hint="eastAsia" w:ascii="宋体" w:hAnsi="宋体"/>
          <w:b/>
          <w:sz w:val="24"/>
        </w:rPr>
        <w:t>近年承担类似项目业绩情况一览表</w:t>
      </w:r>
    </w:p>
    <w:tbl>
      <w:tblPr>
        <w:tblStyle w:val="28"/>
        <w:tblW w:w="866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1121"/>
        <w:gridCol w:w="865"/>
        <w:gridCol w:w="709"/>
        <w:gridCol w:w="709"/>
        <w:gridCol w:w="1134"/>
        <w:gridCol w:w="1275"/>
        <w:gridCol w:w="1418"/>
        <w:gridCol w:w="7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74" w:type="dxa"/>
            <w:vAlign w:val="center"/>
          </w:tcPr>
          <w:p>
            <w:pPr>
              <w:spacing w:line="276" w:lineRule="auto"/>
              <w:rPr>
                <w:szCs w:val="21"/>
              </w:rPr>
            </w:pPr>
            <w:r>
              <w:rPr>
                <w:rFonts w:hint="eastAsia"/>
                <w:szCs w:val="21"/>
              </w:rPr>
              <w:t>序号</w:t>
            </w:r>
          </w:p>
        </w:tc>
        <w:tc>
          <w:tcPr>
            <w:tcW w:w="1121" w:type="dxa"/>
            <w:vAlign w:val="center"/>
          </w:tcPr>
          <w:p>
            <w:pPr>
              <w:spacing w:line="276" w:lineRule="auto"/>
              <w:rPr>
                <w:szCs w:val="21"/>
              </w:rPr>
            </w:pPr>
            <w:r>
              <w:rPr>
                <w:rFonts w:hint="eastAsia"/>
                <w:szCs w:val="21"/>
              </w:rPr>
              <w:t>建设单位（业主）</w:t>
            </w:r>
          </w:p>
        </w:tc>
        <w:tc>
          <w:tcPr>
            <w:tcW w:w="865" w:type="dxa"/>
            <w:vAlign w:val="center"/>
          </w:tcPr>
          <w:p>
            <w:pPr>
              <w:spacing w:line="276" w:lineRule="auto"/>
              <w:rPr>
                <w:szCs w:val="21"/>
              </w:rPr>
            </w:pPr>
            <w:r>
              <w:rPr>
                <w:rFonts w:hint="eastAsia"/>
                <w:szCs w:val="21"/>
              </w:rPr>
              <w:t>项目名称</w:t>
            </w:r>
          </w:p>
        </w:tc>
        <w:tc>
          <w:tcPr>
            <w:tcW w:w="709" w:type="dxa"/>
            <w:vAlign w:val="center"/>
          </w:tcPr>
          <w:p>
            <w:pPr>
              <w:spacing w:line="276" w:lineRule="auto"/>
              <w:rPr>
                <w:szCs w:val="21"/>
              </w:rPr>
            </w:pPr>
            <w:r>
              <w:rPr>
                <w:rFonts w:hint="eastAsia"/>
                <w:szCs w:val="21"/>
              </w:rPr>
              <w:t>建设规模</w:t>
            </w:r>
          </w:p>
        </w:tc>
        <w:tc>
          <w:tcPr>
            <w:tcW w:w="709" w:type="dxa"/>
            <w:vAlign w:val="center"/>
          </w:tcPr>
          <w:p>
            <w:pPr>
              <w:spacing w:line="276" w:lineRule="auto"/>
              <w:rPr>
                <w:szCs w:val="21"/>
              </w:rPr>
            </w:pPr>
            <w:r>
              <w:rPr>
                <w:rFonts w:hint="eastAsia"/>
                <w:szCs w:val="21"/>
              </w:rPr>
              <w:t>工作内容</w:t>
            </w:r>
          </w:p>
        </w:tc>
        <w:tc>
          <w:tcPr>
            <w:tcW w:w="1134" w:type="dxa"/>
            <w:vAlign w:val="center"/>
          </w:tcPr>
          <w:p>
            <w:pPr>
              <w:spacing w:line="276" w:lineRule="auto"/>
              <w:rPr>
                <w:szCs w:val="21"/>
              </w:rPr>
            </w:pPr>
            <w:r>
              <w:rPr>
                <w:rFonts w:hint="eastAsia"/>
                <w:szCs w:val="21"/>
              </w:rPr>
              <w:t>总监理工程师/总监理工程师代表</w:t>
            </w:r>
          </w:p>
        </w:tc>
        <w:tc>
          <w:tcPr>
            <w:tcW w:w="1275" w:type="dxa"/>
          </w:tcPr>
          <w:p>
            <w:pPr>
              <w:spacing w:line="276" w:lineRule="auto"/>
              <w:rPr>
                <w:szCs w:val="21"/>
              </w:rPr>
            </w:pPr>
            <w:r>
              <w:rPr>
                <w:rFonts w:hint="eastAsia"/>
                <w:szCs w:val="21"/>
              </w:rPr>
              <w:t>开始时间—完成时间（年/月/日）</w:t>
            </w:r>
          </w:p>
        </w:tc>
        <w:tc>
          <w:tcPr>
            <w:tcW w:w="1418" w:type="dxa"/>
            <w:vAlign w:val="center"/>
          </w:tcPr>
          <w:p>
            <w:pPr>
              <w:spacing w:line="276" w:lineRule="auto"/>
              <w:rPr>
                <w:szCs w:val="21"/>
              </w:rPr>
            </w:pPr>
            <w:r>
              <w:rPr>
                <w:rFonts w:hint="eastAsia"/>
                <w:szCs w:val="21"/>
              </w:rPr>
              <w:t>质量评定</w:t>
            </w:r>
          </w:p>
          <w:p>
            <w:pPr>
              <w:spacing w:line="276" w:lineRule="auto"/>
              <w:rPr>
                <w:szCs w:val="21"/>
              </w:rPr>
            </w:pPr>
            <w:r>
              <w:rPr>
                <w:rFonts w:hint="eastAsia"/>
                <w:szCs w:val="21"/>
              </w:rPr>
              <w:t>（是否获奖）</w:t>
            </w:r>
          </w:p>
        </w:tc>
        <w:tc>
          <w:tcPr>
            <w:tcW w:w="760" w:type="dxa"/>
            <w:vAlign w:val="center"/>
          </w:tcPr>
          <w:p>
            <w:pPr>
              <w:spacing w:line="276" w:lineRule="auto"/>
              <w:rPr>
                <w:szCs w:val="21"/>
              </w:rPr>
            </w:pPr>
            <w:r>
              <w:rPr>
                <w:rFonts w:hint="eastAsia"/>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674" w:type="dxa"/>
            <w:vAlign w:val="center"/>
          </w:tcPr>
          <w:p>
            <w:pPr>
              <w:spacing w:line="276" w:lineRule="auto"/>
              <w:rPr>
                <w:szCs w:val="21"/>
              </w:rPr>
            </w:pPr>
            <w:r>
              <w:rPr>
                <w:rFonts w:hint="eastAsia"/>
                <w:szCs w:val="21"/>
              </w:rPr>
              <w:t>……</w:t>
            </w:r>
          </w:p>
        </w:tc>
        <w:tc>
          <w:tcPr>
            <w:tcW w:w="1121" w:type="dxa"/>
            <w:vAlign w:val="center"/>
          </w:tcPr>
          <w:p>
            <w:pPr>
              <w:spacing w:line="276" w:lineRule="auto"/>
              <w:rPr>
                <w:szCs w:val="21"/>
              </w:rPr>
            </w:pPr>
          </w:p>
        </w:tc>
        <w:tc>
          <w:tcPr>
            <w:tcW w:w="865" w:type="dxa"/>
            <w:vAlign w:val="center"/>
          </w:tcPr>
          <w:p>
            <w:pPr>
              <w:spacing w:line="276" w:lineRule="auto"/>
              <w:rPr>
                <w:szCs w:val="21"/>
              </w:rPr>
            </w:pPr>
          </w:p>
        </w:tc>
        <w:tc>
          <w:tcPr>
            <w:tcW w:w="709" w:type="dxa"/>
            <w:vAlign w:val="center"/>
          </w:tcPr>
          <w:p>
            <w:pPr>
              <w:spacing w:line="276" w:lineRule="auto"/>
              <w:rPr>
                <w:szCs w:val="21"/>
              </w:rPr>
            </w:pPr>
          </w:p>
        </w:tc>
        <w:tc>
          <w:tcPr>
            <w:tcW w:w="709" w:type="dxa"/>
            <w:vAlign w:val="center"/>
          </w:tcPr>
          <w:p>
            <w:pPr>
              <w:spacing w:line="276" w:lineRule="auto"/>
              <w:rPr>
                <w:szCs w:val="21"/>
              </w:rPr>
            </w:pPr>
          </w:p>
        </w:tc>
        <w:tc>
          <w:tcPr>
            <w:tcW w:w="1134" w:type="dxa"/>
            <w:vAlign w:val="center"/>
          </w:tcPr>
          <w:p>
            <w:pPr>
              <w:spacing w:line="276" w:lineRule="auto"/>
              <w:rPr>
                <w:szCs w:val="21"/>
              </w:rPr>
            </w:pPr>
          </w:p>
        </w:tc>
        <w:tc>
          <w:tcPr>
            <w:tcW w:w="1275" w:type="dxa"/>
            <w:vAlign w:val="center"/>
          </w:tcPr>
          <w:p>
            <w:pPr>
              <w:spacing w:line="276" w:lineRule="auto"/>
              <w:rPr>
                <w:szCs w:val="21"/>
              </w:rPr>
            </w:pPr>
          </w:p>
        </w:tc>
        <w:tc>
          <w:tcPr>
            <w:tcW w:w="1418" w:type="dxa"/>
            <w:vAlign w:val="center"/>
          </w:tcPr>
          <w:p>
            <w:pPr>
              <w:spacing w:line="276" w:lineRule="auto"/>
              <w:rPr>
                <w:szCs w:val="21"/>
              </w:rPr>
            </w:pPr>
          </w:p>
        </w:tc>
        <w:tc>
          <w:tcPr>
            <w:tcW w:w="760" w:type="dxa"/>
            <w:vAlign w:val="center"/>
          </w:tcPr>
          <w:p>
            <w:pPr>
              <w:spacing w:line="276" w:lineRule="auto"/>
              <w:rPr>
                <w:szCs w:val="21"/>
              </w:rPr>
            </w:pPr>
          </w:p>
        </w:tc>
      </w:tr>
    </w:tbl>
    <w:p>
      <w:pPr>
        <w:spacing w:line="400" w:lineRule="exact"/>
        <w:rPr>
          <w:szCs w:val="21"/>
        </w:rPr>
      </w:pPr>
      <w:r>
        <w:rPr>
          <w:rFonts w:hint="eastAsia"/>
          <w:szCs w:val="21"/>
        </w:rPr>
        <w:t>备注：</w:t>
      </w:r>
      <w:r>
        <w:rPr>
          <w:szCs w:val="21"/>
        </w:rPr>
        <w:t>1</w:t>
      </w:r>
      <w:r>
        <w:rPr>
          <w:rFonts w:hint="eastAsia"/>
          <w:szCs w:val="21"/>
        </w:rPr>
        <w:t>.本页不够请续表。</w:t>
      </w:r>
    </w:p>
    <w:p>
      <w:pPr>
        <w:spacing w:line="400" w:lineRule="exact"/>
        <w:ind w:firstLine="420"/>
        <w:rPr>
          <w:szCs w:val="21"/>
        </w:rPr>
      </w:pPr>
      <w:r>
        <w:rPr>
          <w:rFonts w:hint="eastAsia"/>
          <w:szCs w:val="21"/>
        </w:rPr>
        <w:t xml:space="preserve">  2.备注表格应填写已完或正在实施。</w:t>
      </w:r>
    </w:p>
    <w:p>
      <w:pPr>
        <w:spacing w:line="400" w:lineRule="exact"/>
        <w:ind w:firstLine="420"/>
        <w:rPr>
          <w:szCs w:val="21"/>
        </w:rPr>
      </w:pPr>
      <w:r>
        <w:rPr>
          <w:rFonts w:hint="eastAsia"/>
          <w:szCs w:val="21"/>
        </w:rPr>
        <w:t xml:space="preserve">  3.具体年份要求见第二章“投标人须知前附表”第3.5.4项的规定。</w:t>
      </w:r>
    </w:p>
    <w:p/>
    <w:p/>
    <w:p>
      <w:pPr>
        <w:spacing w:line="276" w:lineRule="auto"/>
        <w:ind w:firstLine="3684" w:firstLineChars="1535"/>
        <w:rPr>
          <w:sz w:val="24"/>
          <w:szCs w:val="21"/>
        </w:rPr>
      </w:pPr>
    </w:p>
    <w:p>
      <w:pPr>
        <w:spacing w:line="400" w:lineRule="exact"/>
        <w:ind w:firstLine="3684" w:firstLineChars="1535"/>
        <w:rPr>
          <w:sz w:val="24"/>
          <w:szCs w:val="21"/>
        </w:rPr>
      </w:pPr>
      <w:r>
        <w:rPr>
          <w:rFonts w:hint="eastAsia"/>
          <w:sz w:val="24"/>
          <w:szCs w:val="21"/>
        </w:rPr>
        <w:t>投标人：（盖单位公章）</w:t>
      </w:r>
    </w:p>
    <w:p>
      <w:pPr>
        <w:spacing w:line="400" w:lineRule="exact"/>
        <w:ind w:firstLine="3684" w:firstLineChars="1535"/>
        <w:rPr>
          <w:sz w:val="24"/>
          <w:szCs w:val="21"/>
        </w:rPr>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440" w:lineRule="exact"/>
        <w:ind w:firstLine="3542" w:firstLineChars="1687"/>
        <w:rPr>
          <w:szCs w:val="21"/>
        </w:rPr>
      </w:pPr>
    </w:p>
    <w:p>
      <w:pPr>
        <w:pStyle w:val="4"/>
      </w:pPr>
      <w:bookmarkStart w:id="1502" w:name="_Toc7908"/>
      <w:bookmarkStart w:id="1503" w:name="_Toc496098822"/>
      <w:bookmarkStart w:id="1504" w:name="_Toc297800235"/>
      <w:bookmarkStart w:id="1505" w:name="_Toc24520"/>
      <w:bookmarkStart w:id="1506" w:name="_Toc24519"/>
      <w:bookmarkStart w:id="1507" w:name="_Toc499205039"/>
      <w:bookmarkStart w:id="1508" w:name="_Toc10862"/>
      <w:r>
        <w:rPr>
          <w:rFonts w:hint="eastAsia"/>
        </w:rPr>
        <w:t>5.5近年承担类似项目业绩情况表</w:t>
      </w:r>
      <w:bookmarkEnd w:id="1502"/>
      <w:bookmarkEnd w:id="1503"/>
      <w:bookmarkEnd w:id="1504"/>
      <w:bookmarkEnd w:id="1505"/>
      <w:bookmarkEnd w:id="1506"/>
      <w:bookmarkEnd w:id="1507"/>
      <w:bookmarkEnd w:id="1508"/>
    </w:p>
    <w:p>
      <w:pPr>
        <w:jc w:val="center"/>
        <w:rPr>
          <w:rFonts w:ascii="宋体" w:hAnsi="宋体"/>
          <w:b/>
          <w:sz w:val="24"/>
        </w:rPr>
      </w:pPr>
      <w:r>
        <w:rPr>
          <w:rFonts w:hint="eastAsia" w:ascii="宋体" w:hAnsi="宋体"/>
          <w:b/>
          <w:sz w:val="24"/>
        </w:rPr>
        <w:t>近年承担类似项目业绩情况表</w:t>
      </w:r>
    </w:p>
    <w:tbl>
      <w:tblPr>
        <w:tblStyle w:val="28"/>
        <w:tblW w:w="87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2"/>
        <w:gridCol w:w="6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7"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建设单位</w:t>
            </w:r>
          </w:p>
          <w:p>
            <w:pPr>
              <w:adjustRightInd w:val="0"/>
              <w:snapToGrid w:val="0"/>
              <w:spacing w:line="276" w:lineRule="auto"/>
              <w:jc w:val="center"/>
              <w:rPr>
                <w:rFonts w:ascii="宋体" w:hAnsi="宋体"/>
                <w:szCs w:val="21"/>
              </w:rPr>
            </w:pPr>
            <w:r>
              <w:rPr>
                <w:rFonts w:hint="eastAsia" w:ascii="宋体" w:hAnsi="宋体"/>
                <w:szCs w:val="21"/>
              </w:rPr>
              <w:t>（业主）</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项 目 名称</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项目</w:t>
            </w:r>
            <w:r>
              <w:rPr>
                <w:rFonts w:ascii="宋体" w:hAnsi="宋体"/>
                <w:szCs w:val="21"/>
              </w:rPr>
              <w:t>所在地</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建</w:t>
            </w:r>
            <w:r>
              <w:rPr>
                <w:rFonts w:ascii="宋体" w:hAnsi="宋体"/>
                <w:szCs w:val="21"/>
              </w:rPr>
              <w:t xml:space="preserve">  设  </w:t>
            </w:r>
            <w:r>
              <w:rPr>
                <w:rFonts w:hint="eastAsia" w:ascii="宋体" w:hAnsi="宋体"/>
                <w:szCs w:val="21"/>
              </w:rPr>
              <w:t>规</w:t>
            </w:r>
            <w:r>
              <w:rPr>
                <w:rFonts w:ascii="宋体" w:hAnsi="宋体"/>
                <w:szCs w:val="21"/>
              </w:rPr>
              <w:t xml:space="preserve">  模</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工作内容</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完成日期</w:t>
            </w:r>
          </w:p>
          <w:p>
            <w:pPr>
              <w:adjustRightInd w:val="0"/>
              <w:snapToGrid w:val="0"/>
              <w:spacing w:line="276" w:lineRule="auto"/>
              <w:jc w:val="center"/>
              <w:rPr>
                <w:rFonts w:ascii="宋体" w:hAnsi="宋体"/>
                <w:szCs w:val="21"/>
              </w:rPr>
            </w:pPr>
            <w:r>
              <w:rPr>
                <w:rFonts w:hint="eastAsia" w:ascii="宋体" w:hAnsi="宋体"/>
                <w:szCs w:val="21"/>
              </w:rPr>
              <w:t>（年</w:t>
            </w:r>
            <w:r>
              <w:rPr>
                <w:rFonts w:ascii="宋体" w:hAnsi="宋体"/>
                <w:szCs w:val="21"/>
              </w:rPr>
              <w:t>/月/日）</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总监理工程师</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总监理工程师代表</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jc w:val="center"/>
        </w:trPr>
        <w:tc>
          <w:tcPr>
            <w:tcW w:w="2332" w:type="dxa"/>
            <w:vAlign w:val="center"/>
          </w:tcPr>
          <w:p>
            <w:pPr>
              <w:adjustRightInd w:val="0"/>
              <w:snapToGrid w:val="0"/>
              <w:spacing w:line="276" w:lineRule="auto"/>
              <w:jc w:val="center"/>
              <w:rPr>
                <w:rFonts w:ascii="宋体" w:hAnsi="宋体"/>
                <w:szCs w:val="21"/>
              </w:rPr>
            </w:pPr>
            <w:r>
              <w:rPr>
                <w:rFonts w:hint="eastAsia" w:ascii="宋体" w:hAnsi="宋体"/>
                <w:szCs w:val="21"/>
              </w:rPr>
              <w:t>其他主要</w:t>
            </w:r>
          </w:p>
          <w:p>
            <w:pPr>
              <w:adjustRightInd w:val="0"/>
              <w:snapToGrid w:val="0"/>
              <w:spacing w:line="276" w:lineRule="auto"/>
              <w:jc w:val="center"/>
              <w:rPr>
                <w:rFonts w:ascii="宋体" w:hAnsi="宋体"/>
                <w:szCs w:val="21"/>
              </w:rPr>
            </w:pPr>
            <w:r>
              <w:rPr>
                <w:rFonts w:hint="eastAsia" w:ascii="宋体" w:hAnsi="宋体"/>
                <w:szCs w:val="21"/>
              </w:rPr>
              <w:t>人员情况</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jc w:val="center"/>
        </w:trPr>
        <w:tc>
          <w:tcPr>
            <w:tcW w:w="2332" w:type="dxa"/>
            <w:vAlign w:val="center"/>
          </w:tcPr>
          <w:p>
            <w:pPr>
              <w:adjustRightInd w:val="0"/>
              <w:snapToGrid w:val="0"/>
              <w:spacing w:line="276" w:lineRule="auto"/>
              <w:jc w:val="center"/>
              <w:rPr>
                <w:rFonts w:ascii="宋体" w:hAnsi="宋体"/>
                <w:szCs w:val="21"/>
              </w:rPr>
            </w:pPr>
            <w:r>
              <w:rPr>
                <w:rFonts w:ascii="宋体" w:hAnsi="宋体"/>
                <w:szCs w:val="21"/>
              </w:rPr>
              <w:t>质量评定</w:t>
            </w:r>
          </w:p>
          <w:p>
            <w:pPr>
              <w:adjustRightInd w:val="0"/>
              <w:snapToGrid w:val="0"/>
              <w:spacing w:line="276" w:lineRule="auto"/>
              <w:jc w:val="center"/>
              <w:rPr>
                <w:rFonts w:ascii="宋体" w:hAnsi="宋体"/>
                <w:szCs w:val="21"/>
              </w:rPr>
            </w:pPr>
            <w:r>
              <w:rPr>
                <w:rFonts w:ascii="宋体" w:hAnsi="宋体"/>
                <w:szCs w:val="21"/>
              </w:rPr>
              <w:t>（是否获奖）</w:t>
            </w:r>
          </w:p>
        </w:tc>
        <w:tc>
          <w:tcPr>
            <w:tcW w:w="6428" w:type="dxa"/>
            <w:vAlign w:val="center"/>
          </w:tcPr>
          <w:p>
            <w:pPr>
              <w:adjustRightInd w:val="0"/>
              <w:snapToGrid w:val="0"/>
              <w:spacing w:line="276" w:lineRule="auto"/>
              <w:ind w:firstLine="42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2332" w:type="dxa"/>
            <w:vAlign w:val="center"/>
          </w:tcPr>
          <w:p>
            <w:pPr>
              <w:adjustRightInd w:val="0"/>
              <w:snapToGrid w:val="0"/>
              <w:spacing w:line="276" w:lineRule="auto"/>
              <w:ind w:firstLine="420"/>
              <w:jc w:val="center"/>
              <w:rPr>
                <w:rFonts w:ascii="宋体" w:hAnsi="宋体"/>
                <w:szCs w:val="21"/>
              </w:rPr>
            </w:pPr>
            <w:r>
              <w:rPr>
                <w:rFonts w:hint="eastAsia" w:ascii="宋体" w:hAnsi="宋体"/>
                <w:szCs w:val="21"/>
              </w:rPr>
              <w:t>……</w:t>
            </w:r>
          </w:p>
        </w:tc>
        <w:tc>
          <w:tcPr>
            <w:tcW w:w="6428" w:type="dxa"/>
            <w:vAlign w:val="center"/>
          </w:tcPr>
          <w:p>
            <w:pPr>
              <w:adjustRightInd w:val="0"/>
              <w:snapToGrid w:val="0"/>
              <w:spacing w:line="276" w:lineRule="auto"/>
              <w:ind w:firstLine="420"/>
              <w:jc w:val="center"/>
              <w:rPr>
                <w:rFonts w:ascii="宋体" w:hAnsi="宋体"/>
                <w:szCs w:val="21"/>
              </w:rPr>
            </w:pPr>
          </w:p>
        </w:tc>
      </w:tr>
    </w:tbl>
    <w:p>
      <w:pPr>
        <w:spacing w:line="400" w:lineRule="exact"/>
        <w:rPr>
          <w:szCs w:val="21"/>
        </w:rPr>
      </w:pPr>
      <w:r>
        <w:rPr>
          <w:rFonts w:hint="eastAsia"/>
          <w:szCs w:val="21"/>
        </w:rPr>
        <w:t>备注：</w:t>
      </w:r>
      <w:r>
        <w:rPr>
          <w:szCs w:val="21"/>
        </w:rPr>
        <w:t>1.</w:t>
      </w:r>
      <w:r>
        <w:rPr>
          <w:rFonts w:hint="eastAsia"/>
          <w:szCs w:val="21"/>
        </w:rPr>
        <w:t>需附中标通知书或</w:t>
      </w:r>
      <w:r>
        <w:rPr>
          <w:szCs w:val="21"/>
        </w:rPr>
        <w:t>合同协议书</w:t>
      </w:r>
      <w:r>
        <w:rPr>
          <w:rFonts w:hint="eastAsia"/>
          <w:szCs w:val="21"/>
        </w:rPr>
        <w:t>或工程接收证书（或工程竣工验收证书或业主开具的证明文件）的扫描件并</w:t>
      </w:r>
      <w:r>
        <w:rPr>
          <w:szCs w:val="21"/>
        </w:rPr>
        <w:t>加盖公章</w:t>
      </w:r>
      <w:r>
        <w:rPr>
          <w:rFonts w:hint="eastAsia"/>
          <w:szCs w:val="21"/>
        </w:rPr>
        <w:t>。</w:t>
      </w:r>
    </w:p>
    <w:p>
      <w:pPr>
        <w:spacing w:line="400" w:lineRule="exact"/>
        <w:rPr>
          <w:szCs w:val="21"/>
        </w:rPr>
      </w:pPr>
      <w:r>
        <w:rPr>
          <w:rFonts w:hint="eastAsia"/>
          <w:szCs w:val="21"/>
        </w:rPr>
        <w:t>2.每个项目填一张此表，证明材料附后。</w:t>
      </w:r>
    </w:p>
    <w:p>
      <w:pPr>
        <w:spacing w:line="400" w:lineRule="exact"/>
        <w:ind w:firstLine="420"/>
        <w:jc w:val="right"/>
        <w:rPr>
          <w:szCs w:val="21"/>
        </w:rPr>
      </w:pPr>
    </w:p>
    <w:p>
      <w:pPr>
        <w:spacing w:line="400" w:lineRule="exact"/>
        <w:ind w:firstLine="420"/>
        <w:jc w:val="right"/>
        <w:rPr>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
      <w:pPr>
        <w:pStyle w:val="4"/>
      </w:pPr>
      <w:bookmarkStart w:id="1509" w:name="_Toc152045812"/>
      <w:bookmarkStart w:id="1510" w:name="_Toc30998"/>
      <w:bookmarkStart w:id="1511" w:name="_Toc297800236"/>
      <w:bookmarkStart w:id="1512" w:name="_Toc290475723"/>
      <w:bookmarkStart w:id="1513" w:name="_Toc496098823"/>
      <w:bookmarkStart w:id="1514" w:name="_Toc4898"/>
      <w:bookmarkStart w:id="1515" w:name="_Toc623"/>
      <w:bookmarkStart w:id="1516" w:name="_Toc152042601"/>
      <w:bookmarkStart w:id="1517" w:name="_Toc12351"/>
      <w:bookmarkStart w:id="1518" w:name="_Toc499205040"/>
      <w:bookmarkStart w:id="1519" w:name="_Toc144974880"/>
      <w:r>
        <w:rPr>
          <w:rFonts w:hint="eastAsia"/>
        </w:rPr>
        <w:t>5.6 近年发生的诉讼及仲裁情况</w:t>
      </w:r>
      <w:bookmarkEnd w:id="1509"/>
      <w:bookmarkEnd w:id="1510"/>
      <w:bookmarkEnd w:id="1511"/>
      <w:bookmarkEnd w:id="1512"/>
      <w:bookmarkEnd w:id="1513"/>
      <w:bookmarkEnd w:id="1514"/>
      <w:bookmarkEnd w:id="1515"/>
      <w:bookmarkEnd w:id="1516"/>
      <w:bookmarkEnd w:id="1517"/>
      <w:bookmarkEnd w:id="1518"/>
      <w:bookmarkEnd w:id="1519"/>
    </w:p>
    <w:p>
      <w:pPr>
        <w:ind w:firstLine="420"/>
        <w:rPr>
          <w:rFonts w:ascii="宋体" w:hAnsi="宋体" w:cs="宋体"/>
          <w:szCs w:val="21"/>
        </w:rPr>
      </w:pPr>
      <w:r>
        <w:rPr>
          <w:rFonts w:hint="eastAsia" w:ascii="宋体" w:hAnsi="宋体" w:cs="宋体"/>
          <w:szCs w:val="21"/>
        </w:rPr>
        <w:t>说明：</w:t>
      </w:r>
    </w:p>
    <w:p>
      <w:pPr>
        <w:ind w:firstLine="420"/>
        <w:rPr>
          <w:rFonts w:ascii="宋体" w:hAnsi="宋体" w:cs="宋体"/>
          <w:szCs w:val="21"/>
        </w:rPr>
      </w:pPr>
      <w:r>
        <w:rPr>
          <w:rFonts w:hint="eastAsia" w:ascii="宋体" w:hAnsi="宋体" w:cs="宋体"/>
          <w:szCs w:val="21"/>
        </w:rPr>
        <w:t>1.近年发生的诉讼和仲裁情况仅限于投标人败诉的，且与履行监理服务合同有关的案件，不包括调解结案以及未裁决的仲裁或未终审判决的诉讼；具体年份要求见第二章“投标人须知前附表”第</w:t>
      </w:r>
      <w:r>
        <w:rPr>
          <w:szCs w:val="21"/>
        </w:rPr>
        <w:t>3.5.</w:t>
      </w:r>
      <w:r>
        <w:rPr>
          <w:rFonts w:hint="eastAsia"/>
          <w:szCs w:val="21"/>
        </w:rPr>
        <w:t>7</w:t>
      </w:r>
      <w:r>
        <w:rPr>
          <w:rFonts w:hint="eastAsia" w:ascii="宋体" w:hAnsi="宋体" w:cs="宋体"/>
          <w:szCs w:val="21"/>
        </w:rPr>
        <w:t>项的规定。</w:t>
      </w:r>
    </w:p>
    <w:p>
      <w:pPr>
        <w:ind w:firstLine="420" w:firstLineChars="200"/>
        <w:rPr>
          <w:highlight w:val="yellow"/>
        </w:rPr>
      </w:pPr>
      <w:r>
        <w:rPr>
          <w:rFonts w:hint="eastAsia"/>
        </w:rPr>
        <w:t>2.若投标人无诉讼及仲裁情况，可以由投标人自行说明并加盖单位公章，但隐瞒诉讼及仲裁情况的取消中标资格。</w:t>
      </w: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
    <w:p/>
    <w:p/>
    <w:p/>
    <w:p>
      <w:pPr>
        <w:pStyle w:val="4"/>
      </w:pPr>
      <w:bookmarkStart w:id="1520" w:name="_Toc10462"/>
      <w:bookmarkStart w:id="1521" w:name="_Toc496098824"/>
      <w:bookmarkStart w:id="1522" w:name="_Toc499205041"/>
      <w:bookmarkStart w:id="1523" w:name="_Toc29235"/>
      <w:bookmarkStart w:id="1524" w:name="_Toc5267"/>
      <w:r>
        <w:rPr>
          <w:rFonts w:hint="eastAsia"/>
        </w:rPr>
        <w:t>5.7投标人关联企业情况声明</w:t>
      </w:r>
      <w:bookmarkEnd w:id="1520"/>
      <w:bookmarkEnd w:id="1521"/>
      <w:bookmarkEnd w:id="1522"/>
      <w:bookmarkEnd w:id="1523"/>
      <w:bookmarkEnd w:id="1524"/>
    </w:p>
    <w:p>
      <w:pPr>
        <w:spacing w:line="276" w:lineRule="auto"/>
        <w:ind w:firstLine="420"/>
        <w:rPr>
          <w:rFonts w:ascii="宋体" w:hAnsi="宋体"/>
          <w:sz w:val="24"/>
          <w:szCs w:val="21"/>
        </w:rPr>
      </w:pPr>
      <w:r>
        <w:rPr>
          <w:rFonts w:ascii="宋体" w:hAnsi="宋体"/>
          <w:sz w:val="24"/>
          <w:szCs w:val="21"/>
        </w:rPr>
        <w:t>致：</w:t>
      </w:r>
      <w:r>
        <w:rPr>
          <w:rFonts w:hint="eastAsia" w:ascii="宋体" w:hAnsi="宋体"/>
          <w:sz w:val="24"/>
          <w:szCs w:val="21"/>
          <w:u w:val="single"/>
        </w:rPr>
        <w:t xml:space="preserve">      （招标人）         </w:t>
      </w:r>
    </w:p>
    <w:p>
      <w:pPr>
        <w:spacing w:line="276" w:lineRule="auto"/>
        <w:ind w:firstLine="420"/>
        <w:rPr>
          <w:rFonts w:ascii="宋体" w:hAnsi="宋体"/>
          <w:sz w:val="24"/>
          <w:szCs w:val="21"/>
        </w:rPr>
      </w:pPr>
      <w:r>
        <w:rPr>
          <w:rFonts w:hint="eastAsia" w:ascii="宋体" w:hAnsi="宋体"/>
          <w:sz w:val="24"/>
          <w:szCs w:val="21"/>
        </w:rPr>
        <w:t>我公司郑重声明如下：</w:t>
      </w:r>
    </w:p>
    <w:p>
      <w:pPr>
        <w:spacing w:line="276" w:lineRule="auto"/>
        <w:ind w:firstLine="420"/>
        <w:rPr>
          <w:rFonts w:ascii="宋体" w:hAnsi="宋体"/>
          <w:sz w:val="24"/>
          <w:szCs w:val="21"/>
        </w:rPr>
      </w:pPr>
      <w:r>
        <w:rPr>
          <w:rFonts w:hint="eastAsia" w:ascii="宋体" w:hAnsi="宋体"/>
          <w:sz w:val="24"/>
          <w:szCs w:val="21"/>
        </w:rPr>
        <w:t>我公司与招标人不存在利害关系。与其他投标人之间不存在单位负责人为同一人或者控股、管理关系的情况。</w:t>
      </w:r>
    </w:p>
    <w:p>
      <w:pPr>
        <w:spacing w:line="276" w:lineRule="auto"/>
        <w:ind w:firstLine="420"/>
        <w:rPr>
          <w:rFonts w:ascii="宋体" w:hAnsi="宋体"/>
          <w:sz w:val="24"/>
          <w:szCs w:val="21"/>
        </w:rPr>
      </w:pPr>
      <w:r>
        <w:rPr>
          <w:rFonts w:hint="eastAsia" w:ascii="宋体" w:hAnsi="宋体"/>
          <w:sz w:val="24"/>
          <w:szCs w:val="21"/>
        </w:rPr>
        <w:t>我公司的法人股东、出资设立企业、有实际管理关系的企业情况如下：</w:t>
      </w:r>
    </w:p>
    <w:tbl>
      <w:tblPr>
        <w:tblStyle w:val="28"/>
        <w:tblW w:w="8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275"/>
        <w:gridCol w:w="1317"/>
        <w:gridCol w:w="151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551" w:type="dxa"/>
            <w:vAlign w:val="center"/>
          </w:tcPr>
          <w:p>
            <w:pPr>
              <w:ind w:firstLine="420"/>
              <w:rPr>
                <w:rFonts w:ascii="宋体" w:hAnsi="宋体"/>
                <w:szCs w:val="21"/>
              </w:rPr>
            </w:pPr>
            <w:r>
              <w:rPr>
                <w:rFonts w:hint="eastAsia" w:ascii="宋体" w:hAnsi="宋体"/>
                <w:szCs w:val="21"/>
              </w:rPr>
              <w:t>法人股东名称</w:t>
            </w:r>
          </w:p>
        </w:tc>
        <w:tc>
          <w:tcPr>
            <w:tcW w:w="1275" w:type="dxa"/>
            <w:vAlign w:val="center"/>
          </w:tcPr>
          <w:p>
            <w:pPr>
              <w:rPr>
                <w:rFonts w:ascii="宋体" w:hAnsi="宋体"/>
                <w:szCs w:val="21"/>
              </w:rPr>
            </w:pPr>
            <w:r>
              <w:rPr>
                <w:rFonts w:hint="eastAsia" w:ascii="宋体" w:hAnsi="宋体"/>
                <w:szCs w:val="21"/>
              </w:rPr>
              <w:t>出资比例</w:t>
            </w:r>
          </w:p>
        </w:tc>
        <w:tc>
          <w:tcPr>
            <w:tcW w:w="1317" w:type="dxa"/>
            <w:vAlign w:val="center"/>
          </w:tcPr>
          <w:p>
            <w:pPr>
              <w:rPr>
                <w:rFonts w:ascii="宋体" w:hAnsi="宋体"/>
                <w:szCs w:val="21"/>
              </w:rPr>
            </w:pPr>
            <w:r>
              <w:rPr>
                <w:rFonts w:hint="eastAsia" w:ascii="宋体" w:hAnsi="宋体"/>
                <w:szCs w:val="21"/>
              </w:rPr>
              <w:t>法定代表人</w:t>
            </w:r>
          </w:p>
        </w:tc>
        <w:tc>
          <w:tcPr>
            <w:tcW w:w="1518" w:type="dxa"/>
            <w:vAlign w:val="center"/>
          </w:tcPr>
          <w:p>
            <w:pPr>
              <w:rPr>
                <w:rFonts w:ascii="宋体" w:hAnsi="宋体"/>
                <w:szCs w:val="21"/>
              </w:rPr>
            </w:pPr>
            <w:r>
              <w:rPr>
                <w:rFonts w:hint="eastAsia" w:ascii="宋体" w:hAnsi="宋体"/>
                <w:szCs w:val="21"/>
              </w:rPr>
              <w:t>联系人及电话</w:t>
            </w:r>
          </w:p>
        </w:tc>
        <w:tc>
          <w:tcPr>
            <w:tcW w:w="1582" w:type="dxa"/>
            <w:vAlign w:val="center"/>
          </w:tcPr>
          <w:p>
            <w:pPr>
              <w:rPr>
                <w:rFonts w:ascii="宋体" w:hAnsi="宋体"/>
                <w:szCs w:val="21"/>
              </w:rPr>
            </w:pPr>
            <w:r>
              <w:rPr>
                <w:rFonts w:hint="eastAsia" w:ascii="宋体" w:hAnsi="宋体"/>
                <w:szCs w:val="21"/>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left="34" w:leftChars="16" w:right="433" w:rightChars="206"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rPr>
                <w:rFonts w:ascii="宋体" w:hAnsi="宋体"/>
                <w:szCs w:val="21"/>
              </w:rPr>
            </w:pPr>
            <w:r>
              <w:rPr>
                <w:rFonts w:hint="eastAsia" w:ascii="宋体" w:hAnsi="宋体"/>
                <w:szCs w:val="21"/>
              </w:rPr>
              <w:t>出资设立企业名称</w:t>
            </w: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rPr>
                <w:rFonts w:ascii="宋体" w:hAnsi="宋体"/>
                <w:szCs w:val="21"/>
              </w:rPr>
            </w:pPr>
            <w:r>
              <w:rPr>
                <w:rFonts w:hint="eastAsia" w:ascii="宋体" w:hAnsi="宋体"/>
                <w:szCs w:val="21"/>
              </w:rPr>
              <w:t>有实际管理关系企业名称</w:t>
            </w: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551" w:type="dxa"/>
            <w:vAlign w:val="center"/>
          </w:tcPr>
          <w:p>
            <w:pPr>
              <w:ind w:firstLine="420"/>
              <w:jc w:val="center"/>
              <w:rPr>
                <w:rFonts w:ascii="宋体" w:hAnsi="宋体"/>
                <w:szCs w:val="21"/>
              </w:rPr>
            </w:pPr>
          </w:p>
        </w:tc>
        <w:tc>
          <w:tcPr>
            <w:tcW w:w="1275" w:type="dxa"/>
            <w:vAlign w:val="center"/>
          </w:tcPr>
          <w:p>
            <w:pPr>
              <w:ind w:firstLine="420"/>
              <w:jc w:val="center"/>
              <w:rPr>
                <w:rFonts w:ascii="宋体" w:hAnsi="宋体"/>
                <w:szCs w:val="21"/>
              </w:rPr>
            </w:pPr>
          </w:p>
        </w:tc>
        <w:tc>
          <w:tcPr>
            <w:tcW w:w="1317" w:type="dxa"/>
            <w:vAlign w:val="center"/>
          </w:tcPr>
          <w:p>
            <w:pPr>
              <w:ind w:firstLine="420"/>
              <w:jc w:val="center"/>
              <w:rPr>
                <w:rFonts w:ascii="宋体" w:hAnsi="宋体"/>
                <w:szCs w:val="21"/>
              </w:rPr>
            </w:pPr>
          </w:p>
        </w:tc>
        <w:tc>
          <w:tcPr>
            <w:tcW w:w="1518" w:type="dxa"/>
            <w:vAlign w:val="center"/>
          </w:tcPr>
          <w:p>
            <w:pPr>
              <w:ind w:firstLine="420"/>
              <w:jc w:val="center"/>
              <w:rPr>
                <w:rFonts w:ascii="宋体" w:hAnsi="宋体"/>
                <w:szCs w:val="21"/>
              </w:rPr>
            </w:pPr>
          </w:p>
        </w:tc>
        <w:tc>
          <w:tcPr>
            <w:tcW w:w="1582" w:type="dxa"/>
            <w:vAlign w:val="center"/>
          </w:tcPr>
          <w:p>
            <w:pPr>
              <w:ind w:firstLine="420"/>
              <w:jc w:val="center"/>
              <w:rPr>
                <w:rFonts w:ascii="宋体" w:hAnsi="宋体"/>
                <w:szCs w:val="21"/>
              </w:rPr>
            </w:pPr>
          </w:p>
        </w:tc>
      </w:tr>
    </w:tbl>
    <w:p>
      <w:pPr>
        <w:ind w:firstLine="420"/>
        <w:rPr>
          <w:rFonts w:ascii="宋体" w:hAnsi="宋体"/>
          <w:szCs w:val="21"/>
        </w:rPr>
      </w:pPr>
      <w:r>
        <w:rPr>
          <w:rFonts w:hint="eastAsia" w:ascii="宋体" w:hAnsi="宋体"/>
          <w:szCs w:val="21"/>
        </w:rPr>
        <w:t>说明：若无关联企业，则在上述表格中填写“无”。</w:t>
      </w:r>
    </w:p>
    <w:p>
      <w:pPr>
        <w:ind w:firstLine="420"/>
        <w:rPr>
          <w:rFonts w:ascii="宋体" w:hAnsi="宋体"/>
          <w:szCs w:val="21"/>
        </w:rPr>
      </w:pPr>
    </w:p>
    <w:p>
      <w:pPr>
        <w:ind w:firstLine="420"/>
        <w:rPr>
          <w:rFonts w:ascii="宋体" w:hAnsi="宋体"/>
          <w:szCs w:val="21"/>
        </w:rPr>
      </w:pPr>
    </w:p>
    <w:p>
      <w:pPr>
        <w:spacing w:line="400" w:lineRule="exact"/>
        <w:ind w:firstLine="3684" w:firstLineChars="1535"/>
        <w:rPr>
          <w:sz w:val="24"/>
          <w:szCs w:val="21"/>
        </w:rPr>
      </w:pPr>
      <w:bookmarkStart w:id="1525" w:name="_Toc496098825"/>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
    <w:p/>
    <w:p/>
    <w:p/>
    <w:p/>
    <w:p/>
    <w:p/>
    <w:p/>
    <w:p/>
    <w:p/>
    <w:p/>
    <w:p/>
    <w:p/>
    <w:p/>
    <w:p/>
    <w:p>
      <w:pPr>
        <w:pStyle w:val="4"/>
      </w:pPr>
      <w:bookmarkStart w:id="1526" w:name="_Toc5210"/>
      <w:bookmarkStart w:id="1527" w:name="_Toc10049"/>
      <w:bookmarkStart w:id="1528" w:name="_Toc6079"/>
      <w:bookmarkStart w:id="1529" w:name="_Toc499205042"/>
      <w:r>
        <w:rPr>
          <w:rFonts w:hint="eastAsia"/>
        </w:rPr>
        <w:t>5.8 承诺书</w:t>
      </w:r>
      <w:bookmarkEnd w:id="1525"/>
      <w:bookmarkEnd w:id="1526"/>
      <w:bookmarkEnd w:id="1527"/>
      <w:bookmarkEnd w:id="1528"/>
      <w:bookmarkEnd w:id="1529"/>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致：</w:t>
      </w:r>
      <w:r>
        <w:rPr>
          <w:rFonts w:hint="eastAsia" w:asciiTheme="minorEastAsia" w:hAnsiTheme="minorEastAsia" w:eastAsiaTheme="minorEastAsia"/>
          <w:sz w:val="24"/>
          <w:szCs w:val="21"/>
          <w:u w:val="single"/>
        </w:rPr>
        <w:t xml:space="preserve">          （招标人名称）         </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我方在此声明，我方以下事项进行承诺：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1</w:t>
      </w:r>
      <w:r>
        <w:rPr>
          <w:rFonts w:hint="eastAsia" w:asciiTheme="minorEastAsia" w:hAnsiTheme="minorEastAsia" w:eastAsiaTheme="minorEastAsia"/>
          <w:sz w:val="24"/>
          <w:szCs w:val="21"/>
        </w:rPr>
        <w:t>）在本次投标中我方无与其他投标人相互串通投标，或与招标人串通投标的行为；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2</w:t>
      </w:r>
      <w:r>
        <w:rPr>
          <w:rFonts w:hint="eastAsia" w:asciiTheme="minorEastAsia" w:hAnsiTheme="minorEastAsia" w:eastAsiaTheme="minorEastAsia"/>
          <w:sz w:val="24"/>
          <w:szCs w:val="21"/>
        </w:rPr>
        <w:t>）在本次投标中我方无向招标人或评标委员会成员行贿的手段谋取中标的行为；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3</w:t>
      </w:r>
      <w:r>
        <w:rPr>
          <w:rFonts w:hint="eastAsia" w:asciiTheme="minorEastAsia" w:hAnsiTheme="minorEastAsia" w:eastAsiaTheme="minorEastAsia"/>
          <w:sz w:val="24"/>
          <w:szCs w:val="21"/>
        </w:rPr>
        <w:t>）在本次投标中我方无出借或借用资质行为、在投标文件中所附资料（资质、业绩、人员资料等）无弄虚作假；</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4</w:t>
      </w:r>
      <w:r>
        <w:rPr>
          <w:rFonts w:hint="eastAsia" w:asciiTheme="minorEastAsia" w:hAnsiTheme="minorEastAsia" w:eastAsiaTheme="minorEastAsia"/>
          <w:sz w:val="24"/>
          <w:szCs w:val="21"/>
        </w:rPr>
        <w:t>）针对本次招标的项目，我方在人员、设备、资金等方面具有相应的能力；</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5</w:t>
      </w:r>
      <w:r>
        <w:rPr>
          <w:rFonts w:hint="eastAsia" w:asciiTheme="minorEastAsia" w:hAnsiTheme="minorEastAsia" w:eastAsiaTheme="minorEastAsia"/>
          <w:sz w:val="24"/>
          <w:szCs w:val="21"/>
        </w:rPr>
        <w:t>）我方没有处于破产、被责令停产、停业、投标资格被限制状态；</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6</w:t>
      </w:r>
      <w:r>
        <w:rPr>
          <w:rFonts w:hint="eastAsia" w:asciiTheme="minorEastAsia" w:hAnsiTheme="minorEastAsia" w:eastAsiaTheme="minorEastAsia"/>
          <w:sz w:val="24"/>
          <w:szCs w:val="21"/>
        </w:rPr>
        <w:t>）我方不采用捏造事实、伪造材料或者以非法手段取得证明材料进行投诉，在投诉处理过程中不提供虚假情况；</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asciiTheme="minorEastAsia" w:hAnsiTheme="minorEastAsia" w:eastAsiaTheme="minorEastAsia"/>
          <w:sz w:val="24"/>
          <w:szCs w:val="21"/>
        </w:rPr>
        <w:t>7</w:t>
      </w:r>
      <w:r>
        <w:rPr>
          <w:rFonts w:hint="eastAsia" w:asciiTheme="minorEastAsia" w:hAnsiTheme="minorEastAsia" w:eastAsiaTheme="minorEastAsia"/>
          <w:sz w:val="24"/>
          <w:szCs w:val="21"/>
        </w:rPr>
        <w:t>）我方无因弄虚作假被取消中标候选人资格等事项或者截止报告期末，公司及所属分支机构不存在因诉讼、仲裁等累计涉诉金额超过经审计的上一年度净资产金额20%的负债及或有负债；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（8）我方在招标文件规定的业绩或类似业绩中，无因严重违约被解除或终止合同、重大安全责任事故以及影响工程验收运营等事项；</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（9）我方单位负责人为同一人或者存在控股、管理关系的不同单位，未同时参加本项目同一标段投标。</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上述承诺内容如有不实或违反上述承诺，我方愿意自动放弃本次中标候选人资格和参加许昌轨道交通后续项目的投标资格，承担由此造成的一切法律责任，并以投标保证金作为违约金支付给招标人。</w:t>
      </w:r>
    </w:p>
    <w:p>
      <w:pPr>
        <w:spacing w:line="276" w:lineRule="auto"/>
        <w:ind w:firstLine="420"/>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特此承诺</w:t>
      </w:r>
    </w:p>
    <w:p>
      <w:pPr>
        <w:spacing w:line="276" w:lineRule="auto"/>
        <w:ind w:firstLine="3684" w:firstLineChars="1535"/>
        <w:rPr>
          <w:sz w:val="24"/>
          <w:szCs w:val="21"/>
        </w:rPr>
      </w:pPr>
      <w:bookmarkStart w:id="1530" w:name="_Toc464470080"/>
      <w:bookmarkStart w:id="1531" w:name="_Toc496098826"/>
      <w:bookmarkStart w:id="1532" w:name="_Toc291080712"/>
      <w:bookmarkStart w:id="1533" w:name="_Toc14735"/>
    </w:p>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
    <w:p/>
    <w:p/>
    <w:p/>
    <w:p/>
    <w:p>
      <w:pPr>
        <w:pStyle w:val="2"/>
      </w:pPr>
      <w:bookmarkStart w:id="1534" w:name="_Toc15501"/>
      <w:r>
        <w:rPr>
          <w:rFonts w:hint="eastAsia"/>
        </w:rPr>
        <w:t>六、拟投入本工程监理工作条件一览表</w:t>
      </w:r>
      <w:bookmarkEnd w:id="1530"/>
      <w:bookmarkEnd w:id="1531"/>
      <w:bookmarkEnd w:id="1534"/>
    </w:p>
    <w:p>
      <w:pPr>
        <w:jc w:val="center"/>
        <w:rPr>
          <w:rFonts w:ascii="宋体" w:hAnsi="宋体"/>
          <w:b/>
        </w:rPr>
      </w:pPr>
      <w:r>
        <w:rPr>
          <w:rFonts w:hint="eastAsia" w:ascii="宋体" w:hAnsi="宋体"/>
          <w:b/>
        </w:rPr>
        <w:t>拟投入本工程监理工作条件一览表</w:t>
      </w:r>
    </w:p>
    <w:tbl>
      <w:tblPr>
        <w:tblStyle w:val="28"/>
        <w:tblW w:w="86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142"/>
        <w:gridCol w:w="56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88" w:type="dxa"/>
            <w:vAlign w:val="center"/>
          </w:tcPr>
          <w:p>
            <w:pPr>
              <w:spacing w:line="276" w:lineRule="auto"/>
              <w:jc w:val="center"/>
              <w:rPr>
                <w:b/>
                <w:szCs w:val="21"/>
              </w:rPr>
            </w:pPr>
            <w:r>
              <w:rPr>
                <w:rFonts w:hint="eastAsia"/>
                <w:b/>
                <w:szCs w:val="21"/>
              </w:rPr>
              <w:t>序号</w:t>
            </w:r>
          </w:p>
        </w:tc>
        <w:tc>
          <w:tcPr>
            <w:tcW w:w="2142" w:type="dxa"/>
            <w:vAlign w:val="center"/>
          </w:tcPr>
          <w:p>
            <w:pPr>
              <w:spacing w:line="276" w:lineRule="auto"/>
              <w:jc w:val="center"/>
              <w:rPr>
                <w:b/>
                <w:szCs w:val="21"/>
              </w:rPr>
            </w:pPr>
            <w:r>
              <w:rPr>
                <w:rFonts w:hint="eastAsia"/>
                <w:b/>
                <w:szCs w:val="21"/>
              </w:rPr>
              <w:t>细目</w:t>
            </w:r>
          </w:p>
        </w:tc>
        <w:tc>
          <w:tcPr>
            <w:tcW w:w="5641" w:type="dxa"/>
            <w:vAlign w:val="center"/>
          </w:tcPr>
          <w:p>
            <w:pPr>
              <w:spacing w:line="276" w:lineRule="auto"/>
              <w:jc w:val="center"/>
              <w:rPr>
                <w:b/>
                <w:szCs w:val="21"/>
              </w:rPr>
            </w:pPr>
            <w:r>
              <w:rPr>
                <w:rFonts w:hint="eastAsia"/>
                <w:b/>
                <w:szCs w:val="21"/>
              </w:rPr>
              <w:t>详述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1</w:t>
            </w:r>
          </w:p>
        </w:tc>
        <w:tc>
          <w:tcPr>
            <w:tcW w:w="2142" w:type="dxa"/>
            <w:vAlign w:val="center"/>
          </w:tcPr>
          <w:p>
            <w:pPr>
              <w:spacing w:line="276" w:lineRule="auto"/>
              <w:jc w:val="center"/>
              <w:rPr>
                <w:szCs w:val="21"/>
              </w:rPr>
            </w:pPr>
            <w:r>
              <w:rPr>
                <w:rFonts w:hint="eastAsia"/>
                <w:szCs w:val="21"/>
              </w:rPr>
              <w:t>交通工具</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2</w:t>
            </w:r>
          </w:p>
        </w:tc>
        <w:tc>
          <w:tcPr>
            <w:tcW w:w="2142" w:type="dxa"/>
            <w:vAlign w:val="center"/>
          </w:tcPr>
          <w:p>
            <w:pPr>
              <w:spacing w:line="276" w:lineRule="auto"/>
              <w:jc w:val="center"/>
              <w:rPr>
                <w:szCs w:val="21"/>
              </w:rPr>
            </w:pPr>
            <w:r>
              <w:rPr>
                <w:rFonts w:hAnsi="宋体"/>
                <w:szCs w:val="21"/>
              </w:rPr>
              <w:t>办公设备</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575" w:hRule="atLeast"/>
        </w:trPr>
        <w:tc>
          <w:tcPr>
            <w:tcW w:w="888" w:type="dxa"/>
            <w:vAlign w:val="center"/>
          </w:tcPr>
          <w:p>
            <w:pPr>
              <w:spacing w:line="276" w:lineRule="auto"/>
              <w:jc w:val="center"/>
              <w:rPr>
                <w:szCs w:val="21"/>
              </w:rPr>
            </w:pPr>
            <w:r>
              <w:rPr>
                <w:rFonts w:hint="eastAsia"/>
                <w:szCs w:val="21"/>
              </w:rPr>
              <w:t>3</w:t>
            </w:r>
          </w:p>
        </w:tc>
        <w:tc>
          <w:tcPr>
            <w:tcW w:w="2142" w:type="dxa"/>
            <w:vAlign w:val="center"/>
          </w:tcPr>
          <w:p>
            <w:pPr>
              <w:spacing w:line="276" w:lineRule="auto"/>
              <w:jc w:val="center"/>
              <w:rPr>
                <w:szCs w:val="21"/>
              </w:rPr>
            </w:pPr>
            <w:r>
              <w:rPr>
                <w:rFonts w:hAnsi="宋体"/>
                <w:szCs w:val="21"/>
              </w:rPr>
              <w:t>通讯设施</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4</w:t>
            </w:r>
          </w:p>
        </w:tc>
        <w:tc>
          <w:tcPr>
            <w:tcW w:w="2142" w:type="dxa"/>
            <w:vAlign w:val="center"/>
          </w:tcPr>
          <w:p>
            <w:pPr>
              <w:spacing w:line="276" w:lineRule="auto"/>
              <w:jc w:val="center"/>
              <w:rPr>
                <w:szCs w:val="21"/>
              </w:rPr>
            </w:pPr>
            <w:r>
              <w:rPr>
                <w:rFonts w:hAnsi="宋体"/>
                <w:szCs w:val="21"/>
              </w:rPr>
              <w:t>工作依据和工具</w:t>
            </w:r>
          </w:p>
        </w:tc>
        <w:tc>
          <w:tcPr>
            <w:tcW w:w="5641"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88" w:type="dxa"/>
            <w:vAlign w:val="center"/>
          </w:tcPr>
          <w:p>
            <w:pPr>
              <w:spacing w:line="276" w:lineRule="auto"/>
              <w:jc w:val="center"/>
              <w:rPr>
                <w:szCs w:val="21"/>
              </w:rPr>
            </w:pPr>
            <w:r>
              <w:rPr>
                <w:rFonts w:hint="eastAsia"/>
                <w:szCs w:val="21"/>
              </w:rPr>
              <w:t>5</w:t>
            </w:r>
          </w:p>
        </w:tc>
        <w:tc>
          <w:tcPr>
            <w:tcW w:w="2142" w:type="dxa"/>
            <w:vAlign w:val="center"/>
          </w:tcPr>
          <w:p>
            <w:pPr>
              <w:spacing w:line="276" w:lineRule="auto"/>
              <w:jc w:val="center"/>
              <w:rPr>
                <w:szCs w:val="21"/>
              </w:rPr>
            </w:pPr>
            <w:r>
              <w:rPr>
                <w:rFonts w:hAnsi="宋体"/>
                <w:bCs/>
                <w:szCs w:val="21"/>
              </w:rPr>
              <w:t>其他必要的辅助人员、工作设备、设施或工具</w:t>
            </w:r>
          </w:p>
        </w:tc>
        <w:tc>
          <w:tcPr>
            <w:tcW w:w="5641" w:type="dxa"/>
            <w:vAlign w:val="center"/>
          </w:tcPr>
          <w:p>
            <w:pPr>
              <w:spacing w:line="276" w:lineRule="auto"/>
              <w:rPr>
                <w:szCs w:val="21"/>
              </w:rPr>
            </w:pPr>
          </w:p>
        </w:tc>
      </w:tr>
    </w:tbl>
    <w:p>
      <w:pPr>
        <w:spacing w:line="400" w:lineRule="exact"/>
        <w:ind w:firstLine="420"/>
        <w:jc w:val="left"/>
        <w:rPr>
          <w:szCs w:val="21"/>
        </w:rPr>
      </w:pPr>
      <w:r>
        <w:rPr>
          <w:rFonts w:hAnsi="宋体"/>
          <w:szCs w:val="21"/>
        </w:rPr>
        <w:t>注</w:t>
      </w:r>
      <w:r>
        <w:rPr>
          <w:rFonts w:hint="eastAsia" w:hAnsi="宋体"/>
          <w:szCs w:val="21"/>
        </w:rPr>
        <w:t>：</w:t>
      </w:r>
      <w:r>
        <w:rPr>
          <w:rFonts w:hAnsi="宋体"/>
          <w:szCs w:val="21"/>
        </w:rPr>
        <w:t>投标人根据本招标文件第</w:t>
      </w:r>
      <w:r>
        <w:rPr>
          <w:rFonts w:hint="eastAsia" w:hAnsi="宋体"/>
          <w:szCs w:val="21"/>
        </w:rPr>
        <w:t>三</w:t>
      </w:r>
      <w:r>
        <w:rPr>
          <w:rFonts w:hAnsi="宋体"/>
          <w:szCs w:val="21"/>
        </w:rPr>
        <w:t>章</w:t>
      </w:r>
      <w:r>
        <w:rPr>
          <w:rFonts w:hint="eastAsia" w:hAnsi="宋体"/>
          <w:szCs w:val="21"/>
        </w:rPr>
        <w:t>评标办法</w:t>
      </w:r>
      <w:r>
        <w:rPr>
          <w:rFonts w:hAnsi="宋体"/>
          <w:szCs w:val="21"/>
        </w:rPr>
        <w:t>附表中《拟投入监理工作条件要求》填写；</w:t>
      </w:r>
      <w:r>
        <w:rPr>
          <w:szCs w:val="21"/>
        </w:rPr>
        <w:t>2.</w:t>
      </w:r>
      <w:r>
        <w:rPr>
          <w:rFonts w:hAnsi="宋体"/>
          <w:szCs w:val="21"/>
        </w:rPr>
        <w:t>本页不够请续表。</w:t>
      </w:r>
    </w:p>
    <w:p>
      <w:pPr>
        <w:spacing w:line="400" w:lineRule="exact"/>
        <w:ind w:firstLine="3684" w:firstLineChars="1535"/>
        <w:rPr>
          <w:sz w:val="24"/>
          <w:szCs w:val="21"/>
        </w:rPr>
      </w:pPr>
      <w:bookmarkStart w:id="1535" w:name="_Toc496098827"/>
      <w:bookmarkStart w:id="1536" w:name="_Toc464470081"/>
      <w:r>
        <w:rPr>
          <w:rFonts w:hint="eastAsia"/>
          <w:sz w:val="24"/>
          <w:szCs w:val="21"/>
        </w:rPr>
        <w:t>投标人：（盖单位公章）</w:t>
      </w:r>
    </w:p>
    <w:p>
      <w:pPr>
        <w:spacing w:line="400" w:lineRule="exact"/>
        <w:ind w:firstLine="3684" w:firstLineChars="1535"/>
      </w:pPr>
      <w:r>
        <w:rPr>
          <w:rFonts w:hint="eastAsia"/>
          <w:sz w:val="24"/>
          <w:szCs w:val="21"/>
        </w:rPr>
        <w:t>法定代表人或其委托代理人：（签字）</w:t>
      </w:r>
    </w:p>
    <w:p>
      <w:pPr>
        <w:spacing w:line="400" w:lineRule="exact"/>
        <w:ind w:firstLine="3684" w:firstLineChars="1535"/>
        <w:jc w:val="left"/>
        <w:rPr>
          <w:sz w:val="24"/>
          <w:szCs w:val="21"/>
        </w:rPr>
      </w:pPr>
      <w:r>
        <w:rPr>
          <w:rFonts w:hint="eastAsia"/>
          <w:sz w:val="24"/>
          <w:szCs w:val="21"/>
        </w:rPr>
        <w:t>日期：  年  月  日</w:t>
      </w: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spacing w:line="440" w:lineRule="exact"/>
        <w:ind w:firstLine="3542" w:firstLineChars="1687"/>
      </w:pPr>
    </w:p>
    <w:p>
      <w:pPr>
        <w:pStyle w:val="2"/>
      </w:pPr>
      <w:bookmarkStart w:id="1537" w:name="_Toc13502"/>
      <w:r>
        <w:rPr>
          <w:rFonts w:hint="eastAsia"/>
        </w:rPr>
        <w:t>七、不良行为记录</w:t>
      </w:r>
      <w:bookmarkEnd w:id="1535"/>
      <w:bookmarkEnd w:id="1537"/>
    </w:p>
    <w:bookmarkEnd w:id="1536"/>
    <w:p>
      <w:bookmarkStart w:id="1538" w:name="_Toc475370567"/>
      <w:r>
        <w:rPr>
          <w:rFonts w:hint="eastAsia"/>
        </w:rPr>
        <w:t>提供投标人在全国建筑市场监管公共服务平台中的企业不良行为记录查询页并加盖投标人公章。</w:t>
      </w:r>
    </w:p>
    <w:p/>
    <w:p/>
    <w:p/>
    <w:p/>
    <w:p/>
    <w:p/>
    <w:p/>
    <w:p/>
    <w:p/>
    <w:p/>
    <w:p/>
    <w:p/>
    <w:p/>
    <w:p>
      <w:pPr>
        <w:pStyle w:val="2"/>
      </w:pPr>
      <w:bookmarkStart w:id="1539" w:name="_Toc496098828"/>
      <w:bookmarkStart w:id="1540" w:name="_Toc10126"/>
      <w:r>
        <w:rPr>
          <w:rFonts w:hint="eastAsia"/>
        </w:rPr>
        <w:t>八、信用情况</w:t>
      </w:r>
      <w:bookmarkEnd w:id="1538"/>
      <w:bookmarkEnd w:id="1539"/>
      <w:bookmarkEnd w:id="1540"/>
    </w:p>
    <w:p>
      <w:pPr>
        <w:rPr>
          <w:rFonts w:hAnsi="宋体"/>
          <w:szCs w:val="21"/>
        </w:rPr>
      </w:pPr>
    </w:p>
    <w:p>
      <w:r>
        <w:rPr>
          <w:rFonts w:hint="eastAsia" w:ascii="宋体" w:hAnsi="宋体" w:cs="宋体"/>
          <w:szCs w:val="21"/>
        </w:rPr>
        <w:t>投标人应提供在“信用中国”网站（www.creditchina.gov.cn）上“失信被执行人”、“重大税收违法案件当事人名单”、 “政府采购严重违法失信名单”查询页并加盖投标人公章，信用情况仅以“信用中国”网站查询的结果为准，其他网站的查询结果无效。</w:t>
      </w:r>
    </w:p>
    <w:p/>
    <w:p/>
    <w:p/>
    <w:p/>
    <w:p/>
    <w:p/>
    <w:p/>
    <w:p/>
    <w:p/>
    <w:p/>
    <w:p/>
    <w:p/>
    <w:p/>
    <w:p/>
    <w:p/>
    <w:p/>
    <w:p/>
    <w:p/>
    <w:p/>
    <w:p/>
    <w:p/>
    <w:p/>
    <w:p/>
    <w:p>
      <w:pPr>
        <w:pStyle w:val="2"/>
      </w:pPr>
      <w:bookmarkStart w:id="1541" w:name="_Toc20326"/>
      <w:bookmarkStart w:id="1542" w:name="_Toc496098829"/>
      <w:r>
        <w:rPr>
          <w:rFonts w:hint="eastAsia"/>
        </w:rPr>
        <w:t>九、监理大纲</w:t>
      </w:r>
      <w:bookmarkEnd w:id="1541"/>
    </w:p>
    <w:p/>
    <w:p/>
    <w:p/>
    <w:p/>
    <w:p/>
    <w:p/>
    <w:p/>
    <w:p/>
    <w:p/>
    <w:p/>
    <w:p/>
    <w:p/>
    <w:p/>
    <w:p/>
    <w:p/>
    <w:p/>
    <w:p/>
    <w:p/>
    <w:p/>
    <w:p/>
    <w:p/>
    <w:p/>
    <w:p/>
    <w:p/>
    <w:p/>
    <w:p/>
    <w:p/>
    <w:p/>
    <w:p/>
    <w:p/>
    <w:p/>
    <w:p/>
    <w:p/>
    <w:p/>
    <w:p/>
    <w:p/>
    <w:p/>
    <w:p/>
    <w:p/>
    <w:p/>
    <w:p/>
    <w:p>
      <w:pPr>
        <w:pStyle w:val="2"/>
      </w:pPr>
      <w:bookmarkStart w:id="1543" w:name="_Toc24495"/>
      <w:r>
        <w:rPr>
          <w:rFonts w:hint="eastAsia"/>
        </w:rPr>
        <w:t>十、</w:t>
      </w:r>
      <w:bookmarkEnd w:id="1482"/>
      <w:bookmarkEnd w:id="1532"/>
      <w:bookmarkStart w:id="1544" w:name="_Toc281225387"/>
      <w:r>
        <w:rPr>
          <w:rFonts w:hint="eastAsia"/>
        </w:rPr>
        <w:t>其他材料</w:t>
      </w:r>
      <w:bookmarkEnd w:id="1533"/>
      <w:bookmarkEnd w:id="1542"/>
      <w:bookmarkEnd w:id="1543"/>
      <w:bookmarkEnd w:id="1544"/>
    </w:p>
    <w:p>
      <w:r>
        <w:rPr>
          <w:rFonts w:hint="eastAsia" w:ascii="宋体" w:hAnsi="宋体" w:cs="宋体"/>
          <w:szCs w:val="21"/>
        </w:rPr>
        <w:t>投标人提供的有利于本次投标的其它材料。</w:t>
      </w:r>
    </w:p>
    <w:p/>
    <w:p/>
    <w:p/>
    <w:p/>
    <w:p/>
    <w:p/>
    <w:p/>
    <w:p/>
    <w:p/>
    <w:p/>
    <w:p/>
    <w:p/>
    <w:p/>
    <w:p/>
    <w:p/>
    <w:p/>
    <w:p/>
    <w:p/>
    <w:p/>
    <w:p/>
    <w:p/>
    <w:p/>
    <w:p/>
    <w:p/>
    <w:p/>
    <w:p/>
    <w:p/>
    <w:p/>
    <w:p/>
    <w:p/>
    <w:p/>
    <w:p/>
    <w:p/>
    <w:p/>
    <w:p/>
    <w:p/>
    <w:p/>
    <w:p/>
    <w:p/>
    <w:p>
      <w:pPr>
        <w:pStyle w:val="2"/>
      </w:pPr>
      <w:bookmarkStart w:id="1545" w:name="_Toc341108063"/>
      <w:bookmarkStart w:id="1546" w:name="_Toc325404102"/>
      <w:bookmarkStart w:id="1547" w:name="_Toc30431"/>
      <w:bookmarkStart w:id="1548" w:name="_Toc15698"/>
      <w:bookmarkStart w:id="1549" w:name="_Toc496098830"/>
      <w:r>
        <w:rPr>
          <w:rFonts w:hint="eastAsia"/>
        </w:rPr>
        <w:t>十一、投标人递交资料原件清单</w:t>
      </w:r>
      <w:bookmarkEnd w:id="1545"/>
      <w:bookmarkEnd w:id="1546"/>
      <w:bookmarkEnd w:id="1547"/>
      <w:bookmarkEnd w:id="1548"/>
      <w:bookmarkEnd w:id="1549"/>
    </w:p>
    <w:tbl>
      <w:tblPr>
        <w:tblStyle w:val="28"/>
        <w:tblW w:w="953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694"/>
        <w:gridCol w:w="4940"/>
        <w:gridCol w:w="1276"/>
        <w:gridCol w:w="9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序号</w:t>
            </w:r>
          </w:p>
        </w:tc>
        <w:tc>
          <w:tcPr>
            <w:tcW w:w="1694" w:type="dxa"/>
            <w:vAlign w:val="center"/>
          </w:tcPr>
          <w:p>
            <w:pPr>
              <w:jc w:val="center"/>
              <w:rPr>
                <w:rFonts w:ascii="宋体" w:hAnsi="宋体"/>
                <w:szCs w:val="21"/>
              </w:rPr>
            </w:pPr>
            <w:r>
              <w:rPr>
                <w:rFonts w:hint="eastAsia" w:ascii="宋体" w:hAnsi="宋体"/>
                <w:szCs w:val="21"/>
              </w:rPr>
              <w:t>需提供原件的评审项目</w:t>
            </w:r>
          </w:p>
        </w:tc>
        <w:tc>
          <w:tcPr>
            <w:tcW w:w="4940" w:type="dxa"/>
            <w:vAlign w:val="center"/>
          </w:tcPr>
          <w:p>
            <w:pPr>
              <w:jc w:val="center"/>
              <w:rPr>
                <w:rFonts w:ascii="宋体" w:hAnsi="宋体"/>
                <w:szCs w:val="21"/>
              </w:rPr>
            </w:pPr>
            <w:r>
              <w:rPr>
                <w:rFonts w:hint="eastAsia" w:ascii="宋体" w:hAnsi="宋体"/>
                <w:szCs w:val="21"/>
              </w:rPr>
              <w:t>原件名称</w:t>
            </w:r>
          </w:p>
        </w:tc>
        <w:tc>
          <w:tcPr>
            <w:tcW w:w="1276" w:type="dxa"/>
            <w:vAlign w:val="center"/>
          </w:tcPr>
          <w:p>
            <w:pPr>
              <w:jc w:val="center"/>
              <w:rPr>
                <w:rFonts w:ascii="宋体" w:hAnsi="宋体"/>
                <w:szCs w:val="21"/>
              </w:rPr>
            </w:pPr>
            <w:r>
              <w:rPr>
                <w:rFonts w:hint="eastAsia" w:ascii="宋体" w:hAnsi="宋体"/>
                <w:szCs w:val="21"/>
              </w:rPr>
              <w:t>是否递交</w:t>
            </w:r>
          </w:p>
        </w:tc>
        <w:tc>
          <w:tcPr>
            <w:tcW w:w="940"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ascii="宋体" w:hAnsi="宋体"/>
                <w:szCs w:val="21"/>
              </w:rPr>
              <w:t>1</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ascii="宋体" w:hAnsi="宋体"/>
                <w:szCs w:val="21"/>
              </w:rPr>
              <w:t>2</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687" w:type="dxa"/>
            <w:vAlign w:val="center"/>
          </w:tcPr>
          <w:p>
            <w:pPr>
              <w:jc w:val="center"/>
              <w:rPr>
                <w:rFonts w:ascii="宋体" w:hAnsi="宋体"/>
                <w:szCs w:val="21"/>
              </w:rPr>
            </w:pPr>
            <w:r>
              <w:rPr>
                <w:rFonts w:hint="eastAsia" w:ascii="宋体" w:hAnsi="宋体"/>
                <w:szCs w:val="21"/>
              </w:rPr>
              <w:t>3</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4</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5</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6</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7</w:t>
            </w:r>
          </w:p>
        </w:tc>
        <w:tc>
          <w:tcPr>
            <w:tcW w:w="1694" w:type="dxa"/>
            <w:vAlign w:val="center"/>
          </w:tcPr>
          <w:p>
            <w:pPr>
              <w:jc w:val="center"/>
              <w:rPr>
                <w:rFonts w:ascii="宋体" w:hAnsi="宋体"/>
                <w:szCs w:val="21"/>
              </w:rPr>
            </w:pP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687" w:type="dxa"/>
            <w:vAlign w:val="center"/>
          </w:tcPr>
          <w:p>
            <w:pPr>
              <w:jc w:val="center"/>
              <w:rPr>
                <w:rFonts w:ascii="宋体" w:hAnsi="宋体"/>
                <w:szCs w:val="21"/>
              </w:rPr>
            </w:pPr>
            <w:r>
              <w:rPr>
                <w:rFonts w:hint="eastAsia" w:ascii="宋体" w:hAnsi="宋体"/>
                <w:szCs w:val="21"/>
              </w:rPr>
              <w:t>。。。</w:t>
            </w:r>
          </w:p>
        </w:tc>
        <w:tc>
          <w:tcPr>
            <w:tcW w:w="1694" w:type="dxa"/>
            <w:vAlign w:val="center"/>
          </w:tcPr>
          <w:p>
            <w:pPr>
              <w:jc w:val="center"/>
              <w:rPr>
                <w:rFonts w:ascii="宋体" w:hAnsi="宋体"/>
                <w:szCs w:val="21"/>
              </w:rPr>
            </w:pPr>
            <w:r>
              <w:rPr>
                <w:rFonts w:hint="eastAsia" w:ascii="宋体" w:hAnsi="宋体"/>
                <w:szCs w:val="21"/>
              </w:rPr>
              <w:t>。。。</w:t>
            </w:r>
          </w:p>
        </w:tc>
        <w:tc>
          <w:tcPr>
            <w:tcW w:w="4940" w:type="dxa"/>
            <w:vAlign w:val="center"/>
          </w:tcPr>
          <w:p>
            <w:pPr>
              <w:rPr>
                <w:rFonts w:ascii="宋体" w:hAnsi="宋体"/>
                <w:szCs w:val="21"/>
              </w:rPr>
            </w:pPr>
          </w:p>
        </w:tc>
        <w:tc>
          <w:tcPr>
            <w:tcW w:w="1276" w:type="dxa"/>
            <w:vAlign w:val="center"/>
          </w:tcPr>
          <w:p>
            <w:pPr>
              <w:jc w:val="center"/>
              <w:rPr>
                <w:rFonts w:ascii="宋体" w:hAnsi="宋体"/>
                <w:szCs w:val="21"/>
              </w:rPr>
            </w:pPr>
          </w:p>
        </w:tc>
        <w:tc>
          <w:tcPr>
            <w:tcW w:w="940"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ascii="宋体" w:hAnsi="宋体"/>
          <w:szCs w:val="21"/>
        </w:rPr>
        <w:t>注：</w:t>
      </w:r>
      <w:r>
        <w:rPr>
          <w:rFonts w:ascii="宋体" w:hAnsi="宋体"/>
          <w:b/>
          <w:bCs/>
          <w:szCs w:val="21"/>
        </w:rPr>
        <w:t>1.投标人根据所递交原件情况填写本表，递交原件时随原件一同</w:t>
      </w:r>
      <w:r>
        <w:rPr>
          <w:rFonts w:hint="eastAsia" w:ascii="宋体" w:hAnsi="宋体"/>
          <w:b/>
          <w:bCs/>
          <w:szCs w:val="21"/>
        </w:rPr>
        <w:t>密封</w:t>
      </w:r>
      <w:r>
        <w:rPr>
          <w:rFonts w:ascii="宋体" w:hAnsi="宋体"/>
          <w:b/>
          <w:bCs/>
          <w:szCs w:val="21"/>
        </w:rPr>
        <w:t>递交</w:t>
      </w:r>
      <w:r>
        <w:rPr>
          <w:rFonts w:hint="eastAsia" w:ascii="宋体" w:hAnsi="宋体"/>
          <w:b/>
          <w:bCs/>
          <w:szCs w:val="21"/>
        </w:rPr>
        <w:t>；</w:t>
      </w:r>
      <w:r>
        <w:rPr>
          <w:rFonts w:hint="eastAsia" w:ascii="宋体" w:hAnsi="宋体"/>
          <w:b/>
          <w:szCs w:val="21"/>
        </w:rPr>
        <w:t>原件须密封随同投标文件在投标截止时间前一次性递交，不得补充。如投多个标段的，将所有原件密封在一个包装袋内，并注明原件所适用的标段及对应的评审内容。</w:t>
      </w:r>
    </w:p>
    <w:p>
      <w:pPr>
        <w:ind w:firstLine="420"/>
        <w:rPr>
          <w:rFonts w:ascii="宋体" w:hAnsi="宋体"/>
          <w:b/>
          <w:szCs w:val="21"/>
        </w:rPr>
      </w:pPr>
      <w:r>
        <w:rPr>
          <w:rFonts w:hint="eastAsia" w:ascii="宋体" w:hAnsi="宋体"/>
          <w:szCs w:val="21"/>
        </w:rPr>
        <w:t>2.本清单中原件，用于评标委员会对招标文件第三章评标办法前附表“</w:t>
      </w:r>
      <w:r>
        <w:rPr>
          <w:rFonts w:ascii="宋体" w:hAnsi="宋体"/>
          <w:szCs w:val="21"/>
        </w:rPr>
        <w:t>资格评审标准</w:t>
      </w:r>
      <w:r>
        <w:rPr>
          <w:rFonts w:hint="eastAsia" w:ascii="宋体" w:hAnsi="宋体"/>
          <w:szCs w:val="21"/>
        </w:rPr>
        <w:t>”相关内容的</w:t>
      </w:r>
      <w:r>
        <w:rPr>
          <w:rFonts w:ascii="宋体" w:hAnsi="宋体"/>
          <w:szCs w:val="21"/>
        </w:rPr>
        <w:t>评审，未提供原件的，或所提供原件不符合资格评审标准要求的，或所提供原件与其投标文件内容不符合的，</w:t>
      </w:r>
      <w:r>
        <w:rPr>
          <w:rFonts w:ascii="宋体" w:hAnsi="宋体"/>
          <w:b/>
          <w:szCs w:val="21"/>
        </w:rPr>
        <w:t>将导致投标人无法通过资格评审，并不进入后续评审。</w:t>
      </w:r>
      <w:r>
        <w:rPr>
          <w:rFonts w:hint="eastAsia" w:ascii="宋体" w:hAnsi="宋体"/>
          <w:b/>
          <w:szCs w:val="21"/>
        </w:rPr>
        <w:t>投标人可以不提供营业执照、资质证书原件，</w:t>
      </w:r>
      <w:r>
        <w:rPr>
          <w:rFonts w:ascii="宋体" w:hAnsi="宋体"/>
          <w:b/>
          <w:szCs w:val="21"/>
        </w:rPr>
        <w:t>但应</w:t>
      </w:r>
      <w:r>
        <w:rPr>
          <w:rFonts w:hint="eastAsia" w:ascii="宋体" w:hAnsi="宋体"/>
          <w:b/>
          <w:szCs w:val="21"/>
        </w:rPr>
        <w:t>将营业执照、资质证书复印件</w:t>
      </w:r>
      <w:r>
        <w:rPr>
          <w:rFonts w:ascii="宋体" w:hAnsi="宋体"/>
          <w:b/>
          <w:szCs w:val="21"/>
        </w:rPr>
        <w:t>（加盖单位公章）</w:t>
      </w:r>
      <w:r>
        <w:rPr>
          <w:rFonts w:hint="eastAsia" w:ascii="宋体" w:hAnsi="宋体"/>
          <w:b/>
          <w:szCs w:val="21"/>
        </w:rPr>
        <w:t>放在</w:t>
      </w:r>
      <w:r>
        <w:rPr>
          <w:rFonts w:ascii="宋体" w:hAnsi="宋体"/>
          <w:b/>
          <w:szCs w:val="21"/>
        </w:rPr>
        <w:t>投标文件相应位置</w:t>
      </w:r>
      <w:r>
        <w:rPr>
          <w:rFonts w:hint="eastAsia" w:ascii="宋体" w:hAnsi="宋体"/>
          <w:b/>
          <w:szCs w:val="21"/>
        </w:rPr>
        <w:t>。</w:t>
      </w:r>
    </w:p>
    <w:p>
      <w:pPr>
        <w:ind w:firstLine="420"/>
        <w:rPr>
          <w:rFonts w:ascii="宋体" w:hAnsi="宋体"/>
          <w:szCs w:val="21"/>
        </w:rPr>
      </w:pPr>
      <w:r>
        <w:rPr>
          <w:rFonts w:ascii="宋体" w:hAnsi="宋体"/>
          <w:szCs w:val="21"/>
        </w:rPr>
        <w:t>3.本清单中原件，用于评标委员会对招标文件第三章评标办法前附表</w:t>
      </w:r>
      <w:r>
        <w:rPr>
          <w:rFonts w:hint="eastAsia" w:ascii="宋体" w:hAnsi="宋体"/>
          <w:szCs w:val="21"/>
        </w:rPr>
        <w:t>“</w:t>
      </w:r>
      <w:r>
        <w:rPr>
          <w:rFonts w:ascii="宋体" w:hAnsi="宋体"/>
          <w:szCs w:val="21"/>
        </w:rPr>
        <w:t>商务</w:t>
      </w:r>
      <w:r>
        <w:rPr>
          <w:rFonts w:hint="eastAsia" w:ascii="宋体" w:hAnsi="宋体"/>
          <w:szCs w:val="21"/>
        </w:rPr>
        <w:t>部分</w:t>
      </w:r>
      <w:r>
        <w:rPr>
          <w:rFonts w:ascii="宋体" w:hAnsi="宋体"/>
          <w:szCs w:val="21"/>
        </w:rPr>
        <w:t>评分标准</w:t>
      </w:r>
      <w:r>
        <w:rPr>
          <w:rFonts w:hint="eastAsia" w:ascii="宋体" w:hAnsi="宋体"/>
          <w:szCs w:val="21"/>
        </w:rPr>
        <w:t>”相关内容的</w:t>
      </w:r>
      <w:r>
        <w:rPr>
          <w:rFonts w:ascii="宋体" w:hAnsi="宋体"/>
          <w:szCs w:val="21"/>
        </w:rPr>
        <w:t>评审，未提供原件的，或原件不符合评分标准的，或所提供原件与其投标文件内容不符合的，该项评审不得分</w:t>
      </w:r>
      <w:r>
        <w:rPr>
          <w:rFonts w:hint="eastAsia" w:ascii="宋体" w:hAnsi="宋体"/>
          <w:szCs w:val="21"/>
        </w:rPr>
        <w:t>。</w:t>
      </w:r>
    </w:p>
    <w:p>
      <w:pPr>
        <w:ind w:firstLine="420"/>
      </w:pPr>
      <w:r>
        <w:rPr>
          <w:rFonts w:ascii="宋体" w:hAnsi="宋体"/>
          <w:szCs w:val="21"/>
        </w:rPr>
        <w:t>4.投标人递交的原件应与本清单保持一致。若实际递交情况与本清单不一致，则评标委员会将对投标人发起澄清，投标人拒绝澄清的，评审委员会将做否决其投标处理。本清单之外的原件不作为评审依据。</w:t>
      </w:r>
    </w:p>
    <w:sectPr>
      <w:headerReference r:id="rId3" w:type="default"/>
      <w:footerReference r:id="rId4" w:type="default"/>
      <w:pgSz w:w="11906" w:h="16838"/>
      <w:pgMar w:top="1440" w:right="1558" w:bottom="1440" w:left="156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rPr>
      <w:t xml:space="preserve">瑞和安惠项目管理集团有限公司编制        </w:t>
    </w: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郑州机场至许昌市域铁路工程许昌段建设项目(施工总承包)监理（第一（二）标段）招标文件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A159F8D"/>
    <w:multiLevelType w:val="singleLevel"/>
    <w:tmpl w:val="5A159F8D"/>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58E5"/>
    <w:rsid w:val="0006239D"/>
    <w:rsid w:val="00087E27"/>
    <w:rsid w:val="000A03B6"/>
    <w:rsid w:val="000B1C97"/>
    <w:rsid w:val="000B41F2"/>
    <w:rsid w:val="00100BE9"/>
    <w:rsid w:val="00131020"/>
    <w:rsid w:val="00157103"/>
    <w:rsid w:val="001F23B5"/>
    <w:rsid w:val="001F4568"/>
    <w:rsid w:val="001F7A92"/>
    <w:rsid w:val="00267C13"/>
    <w:rsid w:val="00287D40"/>
    <w:rsid w:val="002906F1"/>
    <w:rsid w:val="002C3D26"/>
    <w:rsid w:val="002E1E2E"/>
    <w:rsid w:val="002F5EC0"/>
    <w:rsid w:val="002F638E"/>
    <w:rsid w:val="003403EB"/>
    <w:rsid w:val="003A5798"/>
    <w:rsid w:val="003C3E7D"/>
    <w:rsid w:val="003E0364"/>
    <w:rsid w:val="00415093"/>
    <w:rsid w:val="00423CD7"/>
    <w:rsid w:val="0043228F"/>
    <w:rsid w:val="00454775"/>
    <w:rsid w:val="00473761"/>
    <w:rsid w:val="004A1BD2"/>
    <w:rsid w:val="004B32C6"/>
    <w:rsid w:val="004C76E2"/>
    <w:rsid w:val="004D3D9E"/>
    <w:rsid w:val="004E306A"/>
    <w:rsid w:val="004E625D"/>
    <w:rsid w:val="0052630E"/>
    <w:rsid w:val="00527E5F"/>
    <w:rsid w:val="00555D22"/>
    <w:rsid w:val="00595525"/>
    <w:rsid w:val="005A1A13"/>
    <w:rsid w:val="006154C1"/>
    <w:rsid w:val="006A5258"/>
    <w:rsid w:val="006B12B1"/>
    <w:rsid w:val="007009CC"/>
    <w:rsid w:val="0073597B"/>
    <w:rsid w:val="007505DE"/>
    <w:rsid w:val="00756A3C"/>
    <w:rsid w:val="007E71C6"/>
    <w:rsid w:val="007E7BE1"/>
    <w:rsid w:val="007F21B4"/>
    <w:rsid w:val="00820BA5"/>
    <w:rsid w:val="008210DD"/>
    <w:rsid w:val="008C266D"/>
    <w:rsid w:val="008D0B6B"/>
    <w:rsid w:val="008D2764"/>
    <w:rsid w:val="008F6BEB"/>
    <w:rsid w:val="009302EE"/>
    <w:rsid w:val="00951536"/>
    <w:rsid w:val="009847CA"/>
    <w:rsid w:val="009D49F2"/>
    <w:rsid w:val="00A06339"/>
    <w:rsid w:val="00A34B6E"/>
    <w:rsid w:val="00A34EF3"/>
    <w:rsid w:val="00A41978"/>
    <w:rsid w:val="00A47F65"/>
    <w:rsid w:val="00A55DA1"/>
    <w:rsid w:val="00A84658"/>
    <w:rsid w:val="00AC7A95"/>
    <w:rsid w:val="00AD4E65"/>
    <w:rsid w:val="00AE5E22"/>
    <w:rsid w:val="00AF00F5"/>
    <w:rsid w:val="00B0372A"/>
    <w:rsid w:val="00B6504D"/>
    <w:rsid w:val="00C05CDD"/>
    <w:rsid w:val="00C07133"/>
    <w:rsid w:val="00C158E5"/>
    <w:rsid w:val="00C346A8"/>
    <w:rsid w:val="00C5403D"/>
    <w:rsid w:val="00C54C83"/>
    <w:rsid w:val="00C90847"/>
    <w:rsid w:val="00C9174A"/>
    <w:rsid w:val="00CA5A1E"/>
    <w:rsid w:val="00CB3C4C"/>
    <w:rsid w:val="00D55577"/>
    <w:rsid w:val="00D56012"/>
    <w:rsid w:val="00D73B68"/>
    <w:rsid w:val="00D7666C"/>
    <w:rsid w:val="00D833DF"/>
    <w:rsid w:val="00D8554F"/>
    <w:rsid w:val="00DC25C6"/>
    <w:rsid w:val="00E2605E"/>
    <w:rsid w:val="00E31D47"/>
    <w:rsid w:val="00E84D72"/>
    <w:rsid w:val="00ED6D03"/>
    <w:rsid w:val="00EE7626"/>
    <w:rsid w:val="00F06279"/>
    <w:rsid w:val="00F67C61"/>
    <w:rsid w:val="00FA31D4"/>
    <w:rsid w:val="00FA7A9E"/>
    <w:rsid w:val="00FB3C56"/>
    <w:rsid w:val="00FC3518"/>
    <w:rsid w:val="00FE5DA7"/>
    <w:rsid w:val="00FF17AB"/>
    <w:rsid w:val="01066B69"/>
    <w:rsid w:val="021F673D"/>
    <w:rsid w:val="022E15C9"/>
    <w:rsid w:val="02A059CA"/>
    <w:rsid w:val="047A48D4"/>
    <w:rsid w:val="06106048"/>
    <w:rsid w:val="08C23227"/>
    <w:rsid w:val="09F37EF6"/>
    <w:rsid w:val="0E853542"/>
    <w:rsid w:val="12681E6F"/>
    <w:rsid w:val="140706D9"/>
    <w:rsid w:val="1619591E"/>
    <w:rsid w:val="166312EF"/>
    <w:rsid w:val="16C84A21"/>
    <w:rsid w:val="16F54105"/>
    <w:rsid w:val="1A9B7415"/>
    <w:rsid w:val="1E9964B4"/>
    <w:rsid w:val="20250710"/>
    <w:rsid w:val="20FD37E4"/>
    <w:rsid w:val="2821516D"/>
    <w:rsid w:val="29E64509"/>
    <w:rsid w:val="2A653E71"/>
    <w:rsid w:val="2C4244B1"/>
    <w:rsid w:val="2C90701C"/>
    <w:rsid w:val="2EE21FC7"/>
    <w:rsid w:val="2F2E2FC0"/>
    <w:rsid w:val="2FCD5E16"/>
    <w:rsid w:val="301D7D8B"/>
    <w:rsid w:val="32ED2DD2"/>
    <w:rsid w:val="334A293F"/>
    <w:rsid w:val="340218A6"/>
    <w:rsid w:val="34644904"/>
    <w:rsid w:val="351F4EE5"/>
    <w:rsid w:val="39507B80"/>
    <w:rsid w:val="3A982B29"/>
    <w:rsid w:val="3C134760"/>
    <w:rsid w:val="3F6F047F"/>
    <w:rsid w:val="40054A96"/>
    <w:rsid w:val="426E0ABB"/>
    <w:rsid w:val="42801CC2"/>
    <w:rsid w:val="43400FE5"/>
    <w:rsid w:val="44FB10F9"/>
    <w:rsid w:val="45B6451F"/>
    <w:rsid w:val="462E725A"/>
    <w:rsid w:val="467E67CA"/>
    <w:rsid w:val="46FB710D"/>
    <w:rsid w:val="474352C4"/>
    <w:rsid w:val="49334AE6"/>
    <w:rsid w:val="4A482171"/>
    <w:rsid w:val="4D246298"/>
    <w:rsid w:val="4D4708E2"/>
    <w:rsid w:val="4E1C1549"/>
    <w:rsid w:val="506E058A"/>
    <w:rsid w:val="50792A84"/>
    <w:rsid w:val="543A2F12"/>
    <w:rsid w:val="553E17C9"/>
    <w:rsid w:val="55483F92"/>
    <w:rsid w:val="566A107D"/>
    <w:rsid w:val="585208B8"/>
    <w:rsid w:val="5B721B4E"/>
    <w:rsid w:val="5C553AC2"/>
    <w:rsid w:val="5C582DD0"/>
    <w:rsid w:val="5EAE4113"/>
    <w:rsid w:val="5FF35EB9"/>
    <w:rsid w:val="60A00E53"/>
    <w:rsid w:val="60AD1F14"/>
    <w:rsid w:val="63346817"/>
    <w:rsid w:val="63BB4EA5"/>
    <w:rsid w:val="65DB488B"/>
    <w:rsid w:val="670C20B9"/>
    <w:rsid w:val="69424F09"/>
    <w:rsid w:val="6B9003A3"/>
    <w:rsid w:val="6BB3579A"/>
    <w:rsid w:val="6C704932"/>
    <w:rsid w:val="6D24089E"/>
    <w:rsid w:val="6DCE685E"/>
    <w:rsid w:val="6DF878FE"/>
    <w:rsid w:val="75F13656"/>
    <w:rsid w:val="78852A81"/>
    <w:rsid w:val="7A0C3155"/>
    <w:rsid w:val="7A1B29C5"/>
    <w:rsid w:val="7A2202D7"/>
    <w:rsid w:val="7ADE2476"/>
    <w:rsid w:val="7E521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line="360" w:lineRule="auto"/>
      <w:jc w:val="center"/>
      <w:outlineLvl w:val="0"/>
    </w:pPr>
    <w:rPr>
      <w:b/>
      <w:bCs/>
      <w:kern w:val="44"/>
      <w:sz w:val="44"/>
      <w:szCs w:val="44"/>
    </w:rPr>
  </w:style>
  <w:style w:type="paragraph" w:styleId="2">
    <w:name w:val="heading 2"/>
    <w:basedOn w:val="1"/>
    <w:next w:val="1"/>
    <w:link w:val="36"/>
    <w:unhideWhenUsed/>
    <w:qFormat/>
    <w:uiPriority w:val="9"/>
    <w:pPr>
      <w:keepNext/>
      <w:keepLines/>
      <w:spacing w:line="360" w:lineRule="auto"/>
      <w:outlineLvl w:val="1"/>
    </w:pPr>
    <w:rPr>
      <w:rFonts w:asciiTheme="minorEastAsia" w:hAnsiTheme="minorEastAsia" w:eastAsiaTheme="minorEastAsia" w:cstheme="majorBidi"/>
      <w:b/>
      <w:bCs/>
      <w:sz w:val="24"/>
    </w:rPr>
  </w:style>
  <w:style w:type="paragraph" w:styleId="4">
    <w:name w:val="heading 3"/>
    <w:basedOn w:val="2"/>
    <w:next w:val="1"/>
    <w:unhideWhenUsed/>
    <w:qFormat/>
    <w:uiPriority w:val="9"/>
    <w:pPr>
      <w:outlineLvl w:val="2"/>
    </w:pPr>
  </w:style>
  <w:style w:type="character" w:default="1" w:styleId="23">
    <w:name w:val="Default Paragraph Font"/>
    <w:unhideWhenUsed/>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2"/>
    <w:unhideWhenUsed/>
    <w:qFormat/>
    <w:uiPriority w:val="99"/>
    <w:rPr>
      <w:rFonts w:ascii="Times New Roman" w:hAnsi="Times New Roman" w:eastAsia="宋体" w:cs="Times New Roman"/>
      <w:b/>
      <w:bCs/>
    </w:rPr>
  </w:style>
  <w:style w:type="paragraph" w:styleId="6">
    <w:name w:val="annotation text"/>
    <w:basedOn w:val="1"/>
    <w:link w:val="34"/>
    <w:unhideWhenUsed/>
    <w:qFormat/>
    <w:uiPriority w:val="99"/>
    <w:pPr>
      <w:jc w:val="left"/>
    </w:pPr>
    <w:rPr>
      <w:rFonts w:asciiTheme="minorHAnsi" w:hAnsiTheme="minorHAnsi" w:eastAsiaTheme="minorEastAsia" w:cstheme="minorBidi"/>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Body Text 3"/>
    <w:basedOn w:val="1"/>
    <w:link w:val="37"/>
    <w:unhideWhenUsed/>
    <w:qFormat/>
    <w:uiPriority w:val="99"/>
    <w:pPr>
      <w:spacing w:after="120"/>
    </w:pPr>
    <w:rPr>
      <w:sz w:val="16"/>
      <w:szCs w:val="16"/>
    </w:rPr>
  </w:style>
  <w:style w:type="paragraph" w:styleId="9">
    <w:name w:val="Body Text"/>
    <w:basedOn w:val="1"/>
    <w:link w:val="32"/>
    <w:unhideWhenUsed/>
    <w:qFormat/>
    <w:uiPriority w:val="0"/>
    <w:pPr>
      <w:spacing w:after="120"/>
    </w:p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ascii="宋体" w:hAnsi="Courier New"/>
      <w:kern w:val="0"/>
      <w:sz w:val="20"/>
      <w:szCs w:val="20"/>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Balloon Text"/>
    <w:basedOn w:val="1"/>
    <w:link w:val="40"/>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tabs>
        <w:tab w:val="right" w:leader="middleDot" w:pos="8778"/>
      </w:tabs>
      <w:spacing w:line="276" w:lineRule="auto"/>
      <w:jc w:val="left"/>
    </w:p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character" w:styleId="24">
    <w:name w:val="page number"/>
    <w:basedOn w:val="23"/>
    <w:unhideWhenUsed/>
    <w:qFormat/>
    <w:uiPriority w:val="99"/>
  </w:style>
  <w:style w:type="character" w:styleId="25">
    <w:name w:val="Emphasis"/>
    <w:basedOn w:val="23"/>
    <w:qFormat/>
    <w:uiPriority w:val="20"/>
    <w:rPr>
      <w:i/>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正文文本 Char"/>
    <w:basedOn w:val="23"/>
    <w:link w:val="9"/>
    <w:semiHidden/>
    <w:qFormat/>
    <w:uiPriority w:val="99"/>
    <w:rPr>
      <w:rFonts w:ascii="Times New Roman" w:hAnsi="Times New Roman" w:eastAsia="宋体" w:cs="Times New Roman"/>
      <w:szCs w:val="24"/>
    </w:rPr>
  </w:style>
  <w:style w:type="character" w:customStyle="1" w:styleId="33">
    <w:name w:val="标题 1 Char"/>
    <w:basedOn w:val="23"/>
    <w:link w:val="3"/>
    <w:qFormat/>
    <w:uiPriority w:val="9"/>
    <w:rPr>
      <w:b/>
      <w:bCs/>
      <w:kern w:val="44"/>
      <w:sz w:val="44"/>
      <w:szCs w:val="44"/>
    </w:rPr>
  </w:style>
  <w:style w:type="character" w:customStyle="1" w:styleId="34">
    <w:name w:val="批注文字 Char"/>
    <w:link w:val="6"/>
    <w:qFormat/>
    <w:uiPriority w:val="99"/>
    <w:rPr>
      <w:szCs w:val="24"/>
    </w:rPr>
  </w:style>
  <w:style w:type="character" w:customStyle="1" w:styleId="35">
    <w:name w:val="批注文字 Char1"/>
    <w:basedOn w:val="23"/>
    <w:semiHidden/>
    <w:qFormat/>
    <w:uiPriority w:val="99"/>
    <w:rPr>
      <w:rFonts w:ascii="Times New Roman" w:hAnsi="Times New Roman" w:eastAsia="宋体" w:cs="Times New Roman"/>
      <w:szCs w:val="24"/>
    </w:rPr>
  </w:style>
  <w:style w:type="character" w:customStyle="1" w:styleId="36">
    <w:name w:val="标题 2 Char"/>
    <w:basedOn w:val="23"/>
    <w:link w:val="2"/>
    <w:qFormat/>
    <w:uiPriority w:val="9"/>
    <w:rPr>
      <w:rFonts w:asciiTheme="minorEastAsia" w:hAnsiTheme="minorEastAsia" w:eastAsiaTheme="minorEastAsia" w:cstheme="majorBidi"/>
      <w:b/>
      <w:bCs/>
      <w:kern w:val="2"/>
      <w:sz w:val="24"/>
      <w:szCs w:val="24"/>
    </w:rPr>
  </w:style>
  <w:style w:type="character" w:customStyle="1" w:styleId="37">
    <w:name w:val="正文文本 3 Char"/>
    <w:basedOn w:val="23"/>
    <w:link w:val="8"/>
    <w:semiHidden/>
    <w:qFormat/>
    <w:uiPriority w:val="99"/>
    <w:rPr>
      <w:rFonts w:ascii="Times New Roman" w:hAnsi="Times New Roman" w:eastAsia="宋体" w:cs="Times New Roman"/>
      <w:sz w:val="16"/>
      <w:szCs w:val="16"/>
    </w:rPr>
  </w:style>
  <w:style w:type="character" w:customStyle="1" w:styleId="38">
    <w:name w:val="dash6b63_6587__char1"/>
    <w:qFormat/>
    <w:uiPriority w:val="0"/>
    <w:rPr>
      <w:rFonts w:ascii="Calibri" w:hAnsi="Calibri" w:cs="Calibri"/>
      <w:sz w:val="20"/>
      <w:szCs w:val="20"/>
    </w:rPr>
  </w:style>
  <w:style w:type="character" w:customStyle="1" w:styleId="39">
    <w:name w:val="style4"/>
    <w:basedOn w:val="23"/>
    <w:qFormat/>
    <w:uiPriority w:val="0"/>
  </w:style>
  <w:style w:type="character" w:customStyle="1" w:styleId="40">
    <w:name w:val="批注框文本 Char"/>
    <w:basedOn w:val="23"/>
    <w:link w:val="14"/>
    <w:semiHidden/>
    <w:qFormat/>
    <w:uiPriority w:val="99"/>
    <w:rPr>
      <w:kern w:val="2"/>
      <w:sz w:val="18"/>
      <w:szCs w:val="18"/>
    </w:rPr>
  </w:style>
  <w:style w:type="paragraph" w:customStyle="1" w:styleId="41">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批注主题 Char"/>
    <w:basedOn w:val="34"/>
    <w:link w:val="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E9793-1451-4E53-AEC9-3DCDF73438A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11340</Words>
  <Characters>64643</Characters>
  <Lines>538</Lines>
  <Paragraphs>151</Paragraphs>
  <TotalTime>0</TotalTime>
  <ScaleCrop>false</ScaleCrop>
  <LinksUpToDate>false</LinksUpToDate>
  <CharactersWithSpaces>75832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2017-12-13T00:33:00Z</dcterms:created>
  <dc:creator>liuhai</dc:creator>
  <cp:lastModifiedBy>bupanpan</cp:lastModifiedBy>
  <cp:lastPrinted>2017-12-13T07:56:00Z</cp:lastPrinted>
  <dcterms:modified xsi:type="dcterms:W3CDTF">2017-12-14T04:14:26Z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