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60" w:lineRule="exact"/>
        <w:jc w:val="center"/>
        <w:rPr>
          <w:rFonts w:hint="eastAsia" w:ascii="宋体" w:hAnsi="宋体" w:eastAsia="宋体" w:cs="宋体"/>
          <w:b/>
          <w:i w:val="0"/>
          <w:color w:val="000000"/>
          <w:spacing w:val="0"/>
          <w:sz w:val="36"/>
          <w:szCs w:val="36"/>
          <w:u w:val="none"/>
          <w:shd w:val="clear" w:fill="FFFFFF"/>
        </w:rPr>
      </w:pPr>
      <w:r>
        <w:rPr>
          <w:rFonts w:hint="eastAsia" w:ascii="宋体" w:hAnsi="宋体" w:eastAsia="宋体" w:cs="宋体"/>
          <w:b/>
          <w:i w:val="0"/>
          <w:color w:val="000000"/>
          <w:spacing w:val="0"/>
          <w:sz w:val="36"/>
          <w:szCs w:val="36"/>
          <w:u w:val="none"/>
          <w:shd w:val="clear" w:fill="FFFFFF"/>
        </w:rPr>
        <w:t>JZFCG-G2017</w:t>
      </w:r>
      <w:r>
        <w:rPr>
          <w:rFonts w:hint="eastAsia" w:ascii="宋体" w:hAnsi="宋体" w:eastAsia="宋体" w:cs="宋体"/>
          <w:b/>
          <w:i w:val="0"/>
          <w:color w:val="000000"/>
          <w:spacing w:val="0"/>
          <w:sz w:val="36"/>
          <w:szCs w:val="36"/>
          <w:u w:val="none"/>
          <w:shd w:val="clear" w:fill="FFFFFF"/>
          <w:lang w:val="en-US" w:eastAsia="zh-CN"/>
        </w:rPr>
        <w:t>083许昌市东城区市政管理中心“许昌市东城区鹿鸣湖景观灯采购项目</w:t>
      </w:r>
      <w:r>
        <w:rPr>
          <w:rFonts w:hint="eastAsia" w:ascii="宋体" w:hAnsi="宋体" w:eastAsia="宋体" w:cs="宋体"/>
          <w:b/>
          <w:i w:val="0"/>
          <w:color w:val="000000"/>
          <w:spacing w:val="0"/>
          <w:sz w:val="36"/>
          <w:szCs w:val="36"/>
          <w:u w:val="none"/>
          <w:shd w:val="clear" w:fill="FFFFFF"/>
        </w:rPr>
        <w:t>”</w:t>
      </w:r>
    </w:p>
    <w:p>
      <w:pPr>
        <w:numPr>
          <w:ilvl w:val="0"/>
          <w:numId w:val="0"/>
        </w:numPr>
        <w:spacing w:line="460" w:lineRule="exact"/>
        <w:jc w:val="center"/>
        <w:rPr>
          <w:rFonts w:hint="eastAsia" w:ascii="宋体" w:hAnsi="宋体"/>
          <w:b/>
          <w:sz w:val="36"/>
          <w:szCs w:val="36"/>
        </w:rPr>
      </w:pPr>
      <w:r>
        <w:rPr>
          <w:rFonts w:hint="eastAsia"/>
          <w:b/>
          <w:sz w:val="36"/>
          <w:szCs w:val="36"/>
        </w:rPr>
        <w:t>采购需求</w:t>
      </w:r>
    </w:p>
    <w:p>
      <w:pPr>
        <w:numPr>
          <w:ilvl w:val="0"/>
          <w:numId w:val="0"/>
        </w:numPr>
        <w:spacing w:line="460" w:lineRule="exact"/>
        <w:rPr>
          <w:rFonts w:hint="eastAsia" w:ascii="宋体" w:hAnsi="宋体"/>
          <w:b/>
          <w:sz w:val="28"/>
          <w:szCs w:val="28"/>
        </w:rPr>
      </w:pPr>
      <w:r>
        <w:rPr>
          <w:rFonts w:hint="eastAsia" w:ascii="宋体" w:hAnsi="宋体"/>
          <w:b/>
          <w:sz w:val="28"/>
          <w:szCs w:val="28"/>
          <w:lang w:eastAsia="zh-CN"/>
        </w:rPr>
        <w:t>一、</w:t>
      </w:r>
      <w:r>
        <w:rPr>
          <w:rFonts w:hint="eastAsia" w:ascii="宋体" w:hAnsi="宋体"/>
          <w:b/>
          <w:sz w:val="28"/>
          <w:szCs w:val="28"/>
        </w:rPr>
        <w:t>项目概况</w:t>
      </w:r>
    </w:p>
    <w:p>
      <w:pPr>
        <w:pStyle w:val="8"/>
        <w:numPr>
          <w:ilvl w:val="0"/>
          <w:numId w:val="1"/>
        </w:numPr>
        <w:spacing w:before="0" w:beforeAutospacing="0" w:after="0" w:afterAutospacing="0" w:line="460" w:lineRule="exact"/>
        <w:ind w:firstLine="482"/>
        <w:jc w:val="both"/>
        <w:rPr>
          <w:rFonts w:hint="eastAsia" w:ascii="宋体" w:hAnsi="宋体" w:eastAsia="宋体" w:cs="宋体"/>
          <w:bCs/>
          <w:sz w:val="28"/>
          <w:szCs w:val="28"/>
        </w:rPr>
      </w:pPr>
      <w:r>
        <w:rPr>
          <w:rFonts w:hint="eastAsia" w:ascii="宋体" w:hAnsi="宋体" w:eastAsia="宋体" w:cs="宋体"/>
          <w:bCs/>
          <w:sz w:val="28"/>
          <w:szCs w:val="28"/>
        </w:rPr>
        <w:t>项目名称：</w:t>
      </w:r>
      <w:r>
        <w:rPr>
          <w:rFonts w:hint="eastAsia" w:ascii="宋体" w:hAnsi="宋体" w:eastAsia="宋体" w:cs="宋体"/>
          <w:bCs/>
          <w:sz w:val="28"/>
          <w:szCs w:val="28"/>
          <w:lang w:val="en-US" w:eastAsia="zh-CN"/>
        </w:rPr>
        <w:t>许昌市东城区鹿鸣湖景观灯采购项目</w:t>
      </w:r>
    </w:p>
    <w:p>
      <w:pPr>
        <w:pStyle w:val="8"/>
        <w:numPr>
          <w:ilvl w:val="0"/>
          <w:numId w:val="0"/>
        </w:numPr>
        <w:spacing w:before="0" w:beforeAutospacing="0" w:after="0" w:afterAutospacing="0" w:line="46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项目地址：</w:t>
      </w:r>
      <w:r>
        <w:rPr>
          <w:rFonts w:hint="eastAsia" w:ascii="宋体" w:hAnsi="宋体" w:eastAsia="宋体" w:cs="宋体"/>
          <w:bCs/>
          <w:sz w:val="28"/>
          <w:szCs w:val="28"/>
          <w:lang w:val="en-US" w:eastAsia="zh-CN"/>
        </w:rPr>
        <w:t>许昌市学院北路与陈庄街路口鹿鸣湖</w:t>
      </w:r>
    </w:p>
    <w:p>
      <w:pPr>
        <w:pStyle w:val="8"/>
        <w:numPr>
          <w:ilvl w:val="0"/>
          <w:numId w:val="0"/>
        </w:numPr>
        <w:spacing w:before="0" w:beforeAutospacing="0" w:after="0" w:afterAutospacing="0" w:line="46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3、招标范围：详见采购内容表</w:t>
      </w:r>
    </w:p>
    <w:p>
      <w:pPr>
        <w:numPr>
          <w:ilvl w:val="0"/>
          <w:numId w:val="0"/>
        </w:numPr>
        <w:spacing w:line="460" w:lineRule="exact"/>
        <w:rPr>
          <w:rFonts w:hint="eastAsia" w:ascii="宋体" w:hAnsi="宋体"/>
          <w:b/>
          <w:sz w:val="28"/>
          <w:szCs w:val="28"/>
        </w:rPr>
      </w:pPr>
      <w:r>
        <w:rPr>
          <w:rFonts w:hint="eastAsia" w:ascii="宋体" w:hAnsi="宋体"/>
          <w:b/>
          <w:sz w:val="28"/>
          <w:szCs w:val="28"/>
          <w:lang w:eastAsia="zh-CN"/>
        </w:rPr>
        <w:t>二、</w:t>
      </w:r>
      <w:r>
        <w:rPr>
          <w:rFonts w:hint="eastAsia" w:ascii="宋体" w:hAnsi="宋体"/>
          <w:b/>
          <w:sz w:val="28"/>
          <w:szCs w:val="28"/>
        </w:rPr>
        <w:t>需要落实的政府采购政策</w:t>
      </w:r>
    </w:p>
    <w:p>
      <w:pPr>
        <w:pStyle w:val="8"/>
        <w:numPr>
          <w:ilvl w:val="0"/>
          <w:numId w:val="0"/>
        </w:numPr>
        <w:spacing w:before="0" w:beforeAutospacing="0" w:after="0" w:afterAutospacing="0" w:line="460" w:lineRule="exact"/>
        <w:ind w:firstLine="560" w:firstLineChars="200"/>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本项目落实节能环保、中小微型企业、监狱企业、残疾人福利性单位扶持等相关政府采购政策。</w:t>
      </w:r>
    </w:p>
    <w:p>
      <w:pPr>
        <w:numPr>
          <w:ilvl w:val="0"/>
          <w:numId w:val="0"/>
        </w:numPr>
        <w:spacing w:line="460" w:lineRule="exact"/>
        <w:rPr>
          <w:rFonts w:hint="eastAsia" w:ascii="宋体" w:hAnsi="宋体"/>
          <w:b/>
          <w:sz w:val="28"/>
          <w:szCs w:val="28"/>
        </w:rPr>
      </w:pPr>
      <w:r>
        <w:rPr>
          <w:rFonts w:hint="eastAsia" w:ascii="宋体" w:hAnsi="宋体"/>
          <w:b/>
          <w:sz w:val="28"/>
          <w:szCs w:val="28"/>
          <w:lang w:eastAsia="zh-CN"/>
        </w:rPr>
        <w:t>三、</w:t>
      </w:r>
      <w:r>
        <w:rPr>
          <w:rFonts w:hint="eastAsia" w:ascii="宋体" w:hAnsi="宋体"/>
          <w:b/>
          <w:sz w:val="28"/>
          <w:szCs w:val="28"/>
        </w:rPr>
        <w:t>合格投标人必须符合下列条件</w:t>
      </w:r>
    </w:p>
    <w:p>
      <w:pPr>
        <w:autoSpaceDE w:val="0"/>
        <w:autoSpaceDN w:val="0"/>
        <w:adjustRightInd w:val="0"/>
        <w:spacing w:line="480" w:lineRule="exact"/>
        <w:ind w:firstLine="551"/>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（一）符合《中华人民共和国政府采购法》第二十二条之规定；</w:t>
      </w:r>
    </w:p>
    <w:p>
      <w:pPr>
        <w:autoSpaceDE w:val="0"/>
        <w:autoSpaceDN w:val="0"/>
        <w:adjustRightInd w:val="0"/>
        <w:spacing w:line="480" w:lineRule="exact"/>
        <w:ind w:firstLine="551"/>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 xml:space="preserve"> (二)未被列入“信用中国”网站(www.creditchina.gov.cn)、中国政府采购网(www.ccgp.gov.cn)渠道信用记录失信被执行人、重大税收违法案件当事人名单、政府采购严重违法失信行为记录名单的投标人。</w:t>
      </w:r>
    </w:p>
    <w:p>
      <w:pPr>
        <w:autoSpaceDE w:val="0"/>
        <w:autoSpaceDN w:val="0"/>
        <w:adjustRightInd w:val="0"/>
        <w:spacing w:line="480" w:lineRule="exact"/>
        <w:ind w:firstLine="551"/>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（三）本次招标不接受联合体投标。</w:t>
      </w:r>
    </w:p>
    <w:p>
      <w:pPr>
        <w:spacing w:line="460" w:lineRule="exact"/>
        <w:rPr>
          <w:rFonts w:hint="eastAsia" w:ascii="宋体" w:hAnsi="宋体"/>
          <w:b/>
          <w:sz w:val="28"/>
          <w:szCs w:val="28"/>
        </w:rPr>
      </w:pPr>
      <w:r>
        <w:rPr>
          <w:rFonts w:hint="eastAsia" w:ascii="宋体" w:hAnsi="宋体"/>
          <w:b/>
          <w:sz w:val="28"/>
          <w:szCs w:val="28"/>
        </w:rPr>
        <w:t>四、项目需求</w:t>
      </w:r>
    </w:p>
    <w:tbl>
      <w:tblPr>
        <w:tblStyle w:val="10"/>
        <w:tblpPr w:leftFromText="180" w:rightFromText="180" w:vertAnchor="page" w:horzAnchor="page" w:tblpXSpec="center" w:tblpY="10342"/>
        <w:tblW w:w="10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321"/>
        <w:gridCol w:w="2516"/>
        <w:gridCol w:w="167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461" w:type="dxa"/>
            <w:shd w:val="clear" w:color="auto" w:fill="A6A6A6"/>
            <w:vAlign w:val="top"/>
          </w:tcPr>
          <w:p>
            <w:pPr>
              <w:jc w:val="center"/>
              <w:rPr>
                <w:rFonts w:ascii="宋体" w:hAnsi="宋体" w:eastAsia="宋体"/>
                <w:b/>
                <w:sz w:val="21"/>
                <w:szCs w:val="21"/>
              </w:rPr>
            </w:pPr>
            <w:r>
              <w:rPr>
                <w:rFonts w:hint="eastAsia" w:ascii="宋体" w:hAnsi="宋体" w:eastAsia="宋体"/>
                <w:b/>
                <w:sz w:val="21"/>
                <w:szCs w:val="21"/>
              </w:rPr>
              <w:t>灯具编号</w:t>
            </w:r>
          </w:p>
        </w:tc>
        <w:tc>
          <w:tcPr>
            <w:tcW w:w="2321" w:type="dxa"/>
            <w:shd w:val="clear" w:color="auto" w:fill="B6DDE8"/>
            <w:vAlign w:val="top"/>
          </w:tcPr>
          <w:p>
            <w:pPr>
              <w:rPr>
                <w:rFonts w:hint="eastAsia" w:ascii="宋体" w:hAnsi="宋体" w:eastAsia="宋体"/>
                <w:b/>
                <w:sz w:val="21"/>
                <w:szCs w:val="21"/>
                <w:lang w:eastAsia="zh-CN"/>
              </w:rPr>
            </w:pPr>
            <w:r>
              <w:rPr>
                <w:rFonts w:hint="eastAsia" w:ascii="宋体" w:hAnsi="宋体" w:eastAsia="宋体"/>
                <w:b/>
                <w:sz w:val="21"/>
                <w:szCs w:val="21"/>
                <w:lang w:eastAsia="zh-CN"/>
              </w:rPr>
              <w:t>R1</w:t>
            </w:r>
          </w:p>
        </w:tc>
        <w:tc>
          <w:tcPr>
            <w:tcW w:w="2516" w:type="dxa"/>
            <w:shd w:val="clear" w:color="auto" w:fill="A6A6A6"/>
            <w:vAlign w:val="top"/>
          </w:tcPr>
          <w:p>
            <w:pPr>
              <w:rPr>
                <w:rFonts w:ascii="宋体" w:hAnsi="宋体" w:eastAsia="宋体"/>
                <w:b/>
                <w:sz w:val="21"/>
                <w:szCs w:val="21"/>
                <w:lang w:eastAsia="zh-CN"/>
              </w:rPr>
            </w:pPr>
          </w:p>
        </w:tc>
        <w:tc>
          <w:tcPr>
            <w:tcW w:w="3809" w:type="dxa"/>
            <w:gridSpan w:val="2"/>
            <w:shd w:val="clear" w:color="auto" w:fill="B6DDE8"/>
            <w:vAlign w:val="top"/>
          </w:tcPr>
          <w:p>
            <w:pPr>
              <w:rPr>
                <w:rFonts w:hint="eastAsia"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461" w:type="dxa"/>
            <w:vMerge w:val="restart"/>
            <w:shd w:val="clear" w:color="auto" w:fill="D6E3BC"/>
            <w:vAlign w:val="top"/>
          </w:tcPr>
          <w:p>
            <w:pPr>
              <w:rPr>
                <w:rFonts w:ascii="宋体" w:hAnsi="宋体" w:eastAsia="宋体"/>
                <w:sz w:val="21"/>
                <w:szCs w:val="21"/>
              </w:rPr>
            </w:pPr>
          </w:p>
        </w:tc>
        <w:tc>
          <w:tcPr>
            <w:tcW w:w="4837" w:type="dxa"/>
            <w:gridSpan w:val="2"/>
            <w:vMerge w:val="restart"/>
            <w:vAlign w:val="top"/>
          </w:tcPr>
          <w:p>
            <w:pPr>
              <w:rPr>
                <w:rFonts w:hint="eastAsia" w:ascii="宋体" w:hAnsi="宋体" w:eastAsia="宋体" w:cs="宋体"/>
                <w:lang w:val="en-US" w:eastAsia="zh-CN"/>
              </w:rPr>
            </w:pPr>
            <w:r>
              <w:rPr>
                <w:rFonts w:hint="eastAsia" w:ascii="宋体" w:hAnsi="宋体" w:eastAsia="宋体" w:cs="宋体"/>
                <w:lang w:val="en-US" w:eastAsia="zh-CN"/>
              </w:rPr>
              <w:t xml:space="preserve"> </w: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r>
              <w:rPr>
                <w:rFonts w:hint="eastAsia" w:ascii="宋体" w:hAnsi="宋体"/>
              </w:rPr>
              <w:drawing>
                <wp:inline distT="0" distB="0" distL="114300" distR="114300">
                  <wp:extent cx="1061085" cy="2032000"/>
                  <wp:effectExtent l="0" t="0" r="5715" b="635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6"/>
                          <a:stretch>
                            <a:fillRect/>
                          </a:stretch>
                        </pic:blipFill>
                        <pic:spPr>
                          <a:xfrm>
                            <a:off x="0" y="0"/>
                            <a:ext cx="1061085" cy="2032000"/>
                          </a:xfrm>
                          <a:prstGeom prst="rect">
                            <a:avLst/>
                          </a:prstGeom>
                          <a:noFill/>
                          <a:ln w="9525">
                            <a:noFill/>
                          </a:ln>
                        </pic:spPr>
                      </pic:pic>
                    </a:graphicData>
                  </a:graphic>
                </wp:inline>
              </w:drawing>
            </w:r>
            <w:r>
              <w:rPr>
                <w:rFonts w:hint="eastAsia" w:ascii="宋体" w:hAnsi="宋体" w:eastAsia="宋体" w:cs="宋体"/>
                <w:lang w:val="en-US" w:eastAsia="zh-CN"/>
              </w:rPr>
              <w:t xml:space="preserve"> </w:t>
            </w:r>
            <w:r>
              <w:rPr>
                <w:rFonts w:hint="eastAsia" w:ascii="宋体" w:hAnsi="宋体"/>
                <w:sz w:val="20"/>
              </w:rPr>
              <w:drawing>
                <wp:inline distT="0" distB="0" distL="114300" distR="114300">
                  <wp:extent cx="1751965" cy="1991995"/>
                  <wp:effectExtent l="0" t="0" r="635" b="825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7"/>
                          <a:stretch>
                            <a:fillRect/>
                          </a:stretch>
                        </pic:blipFill>
                        <pic:spPr>
                          <a:xfrm>
                            <a:off x="0" y="0"/>
                            <a:ext cx="1751965" cy="1991995"/>
                          </a:xfrm>
                          <a:prstGeom prst="rect">
                            <a:avLst/>
                          </a:prstGeom>
                          <a:noFill/>
                          <a:ln w="9525">
                            <a:noFill/>
                          </a:ln>
                        </pic:spPr>
                      </pic:pic>
                    </a:graphicData>
                  </a:graphic>
                </wp:inline>
              </w:drawing>
            </w:r>
          </w:p>
        </w:tc>
        <w:tc>
          <w:tcPr>
            <w:tcW w:w="1679" w:type="dxa"/>
            <w:vAlign w:val="top"/>
          </w:tcPr>
          <w:p>
            <w:pPr>
              <w:rPr>
                <w:rFonts w:ascii="宋体" w:hAnsi="宋体" w:eastAsia="宋体"/>
                <w:sz w:val="21"/>
                <w:szCs w:val="21"/>
              </w:rPr>
            </w:pPr>
            <w:r>
              <w:rPr>
                <w:rFonts w:hint="eastAsia" w:ascii="宋体" w:hAnsi="宋体" w:eastAsia="宋体"/>
                <w:sz w:val="21"/>
                <w:szCs w:val="21"/>
              </w:rPr>
              <w:t>产品类型：</w:t>
            </w:r>
          </w:p>
        </w:tc>
        <w:tc>
          <w:tcPr>
            <w:tcW w:w="2130" w:type="dxa"/>
            <w:vAlign w:val="top"/>
          </w:tcPr>
          <w:p>
            <w:pPr>
              <w:jc w:val="center"/>
              <w:rPr>
                <w:rFonts w:hint="eastAsia" w:ascii="宋体" w:hAnsi="宋体" w:eastAsia="宋体"/>
                <w:sz w:val="21"/>
                <w:szCs w:val="21"/>
                <w:lang w:eastAsia="zh-CN"/>
              </w:rPr>
            </w:pPr>
            <w:r>
              <w:rPr>
                <w:rFonts w:hint="eastAsia" w:ascii="宋体" w:hAnsi="宋体" w:eastAsia="宋体"/>
                <w:sz w:val="21"/>
                <w:szCs w:val="21"/>
                <w:lang w:eastAsia="zh-CN"/>
              </w:rPr>
              <w:t>庭院灯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1679" w:type="dxa"/>
            <w:vAlign w:val="top"/>
          </w:tcPr>
          <w:p>
            <w:pPr>
              <w:rPr>
                <w:rFonts w:ascii="宋体" w:hAnsi="宋体" w:eastAsia="宋体"/>
                <w:sz w:val="21"/>
                <w:szCs w:val="21"/>
              </w:rPr>
            </w:pPr>
            <w:r>
              <w:rPr>
                <w:rFonts w:hint="eastAsia" w:ascii="宋体" w:hAnsi="宋体" w:eastAsia="宋体"/>
                <w:sz w:val="21"/>
                <w:szCs w:val="21"/>
              </w:rPr>
              <w:t>产品型号：</w:t>
            </w:r>
          </w:p>
        </w:tc>
        <w:tc>
          <w:tcPr>
            <w:tcW w:w="2130" w:type="dxa"/>
            <w:vAlign w:val="top"/>
          </w:tcPr>
          <w:p>
            <w:pPr>
              <w:jc w:val="center"/>
              <w:rPr>
                <w:rFonts w:hint="eastAsia" w:ascii="宋体" w:hAnsi="宋体" w:eastAsia="宋体"/>
                <w:sz w:val="21"/>
                <w:szCs w:val="21"/>
                <w:lang w:eastAsia="zh-CN"/>
              </w:rPr>
            </w:pPr>
            <w:r>
              <w:rPr>
                <w:rFonts w:hint="eastAsia" w:ascii="宋体" w:hAnsi="宋体" w:eastAsia="宋体"/>
                <w:sz w:val="21"/>
                <w:szCs w:val="21"/>
                <w:lang w:eastAsia="zh-CN"/>
              </w:rPr>
              <w:t>0.0089.T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4"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3809" w:type="dxa"/>
            <w:gridSpan w:val="2"/>
            <w:vAlign w:val="top"/>
          </w:tcPr>
          <w:p>
            <w:pPr>
              <w:rPr>
                <w:rFonts w:hint="eastAsia" w:ascii="宋体" w:hAnsi="宋体" w:eastAsia="宋体"/>
                <w:sz w:val="21"/>
                <w:szCs w:val="21"/>
                <w:lang w:eastAsia="zh-CN"/>
              </w:rPr>
            </w:pPr>
            <w:r>
              <w:rPr>
                <w:rFonts w:hint="eastAsia" w:ascii="宋体" w:hAnsi="宋体" w:eastAsia="宋体"/>
                <w:sz w:val="21"/>
                <w:szCs w:val="21"/>
              </w:rPr>
              <w:t>产品特点：</w:t>
            </w:r>
          </w:p>
          <w:p>
            <w:pPr>
              <w:numPr>
                <w:ilvl w:val="0"/>
                <w:numId w:val="2"/>
              </w:numPr>
              <w:rPr>
                <w:rFonts w:hint="eastAsia" w:ascii="宋体" w:hAnsi="宋体" w:eastAsia="宋体"/>
                <w:sz w:val="21"/>
                <w:szCs w:val="21"/>
                <w:lang w:eastAsia="zh-CN"/>
              </w:rPr>
            </w:pPr>
            <w:r>
              <w:rPr>
                <w:rFonts w:hint="eastAsia" w:ascii="宋体" w:hAnsi="宋体" w:eastAsia="宋体"/>
                <w:sz w:val="21"/>
                <w:szCs w:val="21"/>
                <w:lang w:eastAsia="zh-CN"/>
              </w:rPr>
              <w:t>灯具结构说明见附图</w:t>
            </w:r>
          </w:p>
          <w:p>
            <w:pPr>
              <w:numPr>
                <w:ilvl w:val="0"/>
                <w:numId w:val="2"/>
              </w:numPr>
              <w:rPr>
                <w:rFonts w:hint="eastAsia" w:ascii="宋体" w:hAnsi="宋体" w:eastAsia="宋体"/>
                <w:sz w:val="21"/>
                <w:szCs w:val="21"/>
                <w:lang w:eastAsia="zh-CN"/>
              </w:rPr>
            </w:pPr>
            <w:r>
              <w:rPr>
                <w:rFonts w:hint="eastAsia" w:ascii="宋体" w:hAnsi="宋体" w:eastAsia="宋体"/>
                <w:sz w:val="21"/>
                <w:szCs w:val="21"/>
                <w:lang w:eastAsia="zh-CN"/>
              </w:rPr>
              <w:t>灯体材质：压铸铝和挤压铝合金灯体；表面处理：静电喷涂防腐处理</w:t>
            </w:r>
            <w:r>
              <w:rPr>
                <w:rFonts w:ascii="宋体" w:hAnsi="宋体" w:eastAsia="宋体"/>
                <w:sz w:val="21"/>
                <w:szCs w:val="21"/>
                <w:lang w:eastAsia="zh-CN"/>
              </w:rPr>
              <w:t>,</w:t>
            </w:r>
            <w:r>
              <w:rPr>
                <w:rFonts w:hint="eastAsia" w:ascii="宋体" w:hAnsi="宋体" w:eastAsia="宋体"/>
                <w:sz w:val="21"/>
                <w:szCs w:val="21"/>
                <w:lang w:eastAsia="zh-CN"/>
              </w:rPr>
              <w:t>颜色</w:t>
            </w:r>
            <w:r>
              <w:rPr>
                <w:rFonts w:ascii="宋体" w:hAnsi="宋体" w:eastAsia="宋体"/>
                <w:sz w:val="21"/>
                <w:szCs w:val="21"/>
                <w:lang w:eastAsia="zh-CN"/>
              </w:rPr>
              <w:t>DB703</w:t>
            </w:r>
            <w:r>
              <w:rPr>
                <w:rFonts w:hint="eastAsia" w:ascii="宋体" w:hAnsi="宋体" w:eastAsia="宋体"/>
                <w:sz w:val="21"/>
                <w:szCs w:val="21"/>
                <w:lang w:eastAsia="zh-CN"/>
              </w:rPr>
              <w:t>（灰砂纹）；透光罩：进口高透光</w:t>
            </w:r>
            <w:r>
              <w:rPr>
                <w:rFonts w:ascii="宋体" w:hAnsi="宋体" w:eastAsia="宋体"/>
                <w:sz w:val="21"/>
                <w:szCs w:val="21"/>
                <w:lang w:eastAsia="zh-CN"/>
              </w:rPr>
              <w:t>PMMA</w:t>
            </w:r>
            <w:r>
              <w:rPr>
                <w:rFonts w:hint="eastAsia" w:ascii="宋体" w:hAnsi="宋体" w:eastAsia="宋体"/>
                <w:sz w:val="21"/>
                <w:szCs w:val="21"/>
                <w:lang w:eastAsia="zh-CN"/>
              </w:rPr>
              <w:t>罩；配光与透镜：采用欧洲进口专利</w:t>
            </w:r>
            <w:r>
              <w:rPr>
                <w:rFonts w:ascii="宋体" w:hAnsi="宋体" w:eastAsia="宋体"/>
                <w:sz w:val="21"/>
                <w:szCs w:val="21"/>
                <w:lang w:eastAsia="zh-CN"/>
              </w:rPr>
              <w:t>LED</w:t>
            </w:r>
            <w:r>
              <w:rPr>
                <w:rFonts w:hint="eastAsia" w:ascii="宋体" w:hAnsi="宋体" w:eastAsia="宋体"/>
                <w:sz w:val="21"/>
                <w:szCs w:val="21"/>
                <w:lang w:eastAsia="zh-CN"/>
              </w:rPr>
              <w:t>高透光透镜，透镜由一体化多角度配光棱镜组成，不同定点配光得到蝙蝠翼道路配光，完全满足道路照明配光要求。透镜外观及配光参见透镜图片及配光曲线。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1679" w:type="dxa"/>
            <w:vAlign w:val="top"/>
          </w:tcPr>
          <w:p>
            <w:pPr>
              <w:jc w:val="center"/>
              <w:rPr>
                <w:rFonts w:ascii="宋体" w:hAnsi="宋体" w:eastAsia="宋体"/>
                <w:sz w:val="21"/>
                <w:szCs w:val="21"/>
              </w:rPr>
            </w:pPr>
            <w:r>
              <w:rPr>
                <w:rFonts w:hint="eastAsia" w:ascii="宋体" w:hAnsi="宋体" w:eastAsia="宋体"/>
                <w:sz w:val="21"/>
                <w:szCs w:val="21"/>
              </w:rPr>
              <w:t>防护等级：</w:t>
            </w:r>
          </w:p>
        </w:tc>
        <w:tc>
          <w:tcPr>
            <w:tcW w:w="2130" w:type="dxa"/>
            <w:vAlign w:val="top"/>
          </w:tcPr>
          <w:p>
            <w:pPr>
              <w:rPr>
                <w:rFonts w:hint="eastAsia" w:ascii="宋体" w:hAnsi="宋体" w:eastAsia="宋体"/>
                <w:sz w:val="21"/>
                <w:szCs w:val="21"/>
                <w:lang w:eastAsia="zh-CN"/>
              </w:rPr>
            </w:pPr>
            <w:r>
              <w:rPr>
                <w:rFonts w:hint="eastAsia" w:ascii="宋体" w:hAnsi="宋体" w:eastAsia="宋体"/>
                <w:sz w:val="21"/>
                <w:szCs w:val="21"/>
              </w:rPr>
              <w:t>IP</w:t>
            </w:r>
            <w:r>
              <w:rPr>
                <w:rFonts w:hint="eastAsia" w:ascii="宋体" w:hAnsi="宋体" w:eastAsia="宋体"/>
                <w:sz w:val="21"/>
                <w:szCs w:val="21"/>
                <w:lang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1679" w:type="dxa"/>
            <w:vAlign w:val="top"/>
          </w:tcPr>
          <w:p>
            <w:pPr>
              <w:jc w:val="center"/>
              <w:rPr>
                <w:rFonts w:ascii="宋体" w:hAnsi="宋体" w:eastAsia="宋体"/>
                <w:sz w:val="21"/>
                <w:szCs w:val="21"/>
              </w:rPr>
            </w:pPr>
            <w:r>
              <w:rPr>
                <w:rFonts w:hint="eastAsia" w:ascii="宋体" w:hAnsi="宋体" w:eastAsia="宋体"/>
                <w:sz w:val="21"/>
                <w:szCs w:val="21"/>
              </w:rPr>
              <w:t>可调角度：</w:t>
            </w:r>
          </w:p>
        </w:tc>
        <w:tc>
          <w:tcPr>
            <w:tcW w:w="2130"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不可调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1679" w:type="dxa"/>
            <w:vAlign w:val="top"/>
          </w:tcPr>
          <w:p>
            <w:pPr>
              <w:jc w:val="center"/>
              <w:rPr>
                <w:rFonts w:ascii="宋体" w:hAnsi="宋体" w:eastAsia="宋体"/>
                <w:sz w:val="21"/>
                <w:szCs w:val="21"/>
              </w:rPr>
            </w:pPr>
            <w:r>
              <w:rPr>
                <w:rFonts w:hint="eastAsia" w:ascii="宋体" w:hAnsi="宋体" w:eastAsia="宋体"/>
                <w:sz w:val="21"/>
                <w:szCs w:val="21"/>
              </w:rPr>
              <w:t>灯体颜色：</w:t>
            </w:r>
          </w:p>
        </w:tc>
        <w:tc>
          <w:tcPr>
            <w:tcW w:w="2130"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灰色</w:t>
            </w:r>
          </w:p>
        </w:tc>
      </w:tr>
    </w:tbl>
    <w:tbl>
      <w:tblPr>
        <w:tblStyle w:val="10"/>
        <w:tblpPr w:leftFromText="180" w:rightFromText="180" w:vertAnchor="page" w:horzAnchor="page" w:tblpXSpec="center" w:tblpY="2559"/>
        <w:tblW w:w="10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2223"/>
        <w:gridCol w:w="2621"/>
        <w:gridCol w:w="169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463" w:type="dxa"/>
            <w:vMerge w:val="restart"/>
            <w:shd w:val="clear" w:color="auto" w:fill="D6E3BC"/>
            <w:vAlign w:val="center"/>
          </w:tcPr>
          <w:p>
            <w:pPr>
              <w:jc w:val="center"/>
              <w:rPr>
                <w:rFonts w:ascii="宋体" w:hAnsi="宋体" w:eastAsia="宋体"/>
                <w:sz w:val="21"/>
                <w:szCs w:val="21"/>
              </w:rPr>
            </w:pPr>
            <w:r>
              <w:rPr>
                <w:rFonts w:hint="eastAsia" w:ascii="宋体" w:hAnsi="宋体" w:eastAsia="宋体"/>
                <w:sz w:val="21"/>
                <w:szCs w:val="21"/>
              </w:rPr>
              <w:t>配光曲线</w:t>
            </w:r>
          </w:p>
        </w:tc>
        <w:tc>
          <w:tcPr>
            <w:tcW w:w="4844" w:type="dxa"/>
            <w:gridSpan w:val="2"/>
            <w:vMerge w:val="restart"/>
            <w:shd w:val="clear" w:color="auto" w:fill="auto"/>
            <w:vAlign w:val="top"/>
          </w:tcPr>
          <w:p>
            <w:pPr>
              <w:rPr>
                <w:rFonts w:ascii="宋体" w:hAnsi="宋体" w:eastAsia="宋体" w:cs="宋体"/>
                <w:lang w:val="en-US" w:eastAsia="zh-CN"/>
              </w:rPr>
            </w:pPr>
          </w:p>
          <w:p>
            <w:pPr>
              <w:rPr>
                <w:rFonts w:hint="eastAsia" w:ascii="宋体" w:hAnsi="宋体" w:eastAsia="宋体" w:cs="宋体"/>
                <w:sz w:val="21"/>
                <w:szCs w:val="21"/>
              </w:rPr>
            </w:pPr>
            <w:r>
              <w:rPr>
                <w:lang w:val="en-US" w:eastAsia="zh-CN"/>
              </w:rPr>
              <w:drawing>
                <wp:inline distT="0" distB="0" distL="114300" distR="114300">
                  <wp:extent cx="1730375" cy="966470"/>
                  <wp:effectExtent l="0" t="0" r="3175" b="508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8"/>
                          <a:stretch>
                            <a:fillRect/>
                          </a:stretch>
                        </pic:blipFill>
                        <pic:spPr>
                          <a:xfrm>
                            <a:off x="0" y="0"/>
                            <a:ext cx="1730375" cy="966470"/>
                          </a:xfrm>
                          <a:prstGeom prst="rect">
                            <a:avLst/>
                          </a:prstGeom>
                          <a:noFill/>
                          <a:ln w="9525">
                            <a:noFill/>
                          </a:ln>
                        </pic:spPr>
                      </pic:pic>
                    </a:graphicData>
                  </a:graphic>
                </wp:inline>
              </w:drawing>
            </w:r>
            <w:r>
              <w:rPr>
                <w:rFonts w:hint="eastAsia" w:eastAsia="宋体"/>
                <w:lang w:val="en-US" w:eastAsia="zh-CN"/>
              </w:rPr>
              <w:t xml:space="preserve">     </w:t>
            </w:r>
            <w:r>
              <w:rPr>
                <w:lang w:val="en-US" w:eastAsia="zh-CN"/>
              </w:rPr>
              <w:drawing>
                <wp:inline distT="0" distB="0" distL="114300" distR="114300">
                  <wp:extent cx="1008380" cy="926465"/>
                  <wp:effectExtent l="0" t="0" r="1270" b="6985"/>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9"/>
                          <a:stretch>
                            <a:fillRect/>
                          </a:stretch>
                        </pic:blipFill>
                        <pic:spPr>
                          <a:xfrm>
                            <a:off x="0" y="0"/>
                            <a:ext cx="1008380" cy="926465"/>
                          </a:xfrm>
                          <a:prstGeom prst="rect">
                            <a:avLst/>
                          </a:prstGeom>
                          <a:noFill/>
                          <a:ln w="9525">
                            <a:noFill/>
                          </a:ln>
                        </pic:spPr>
                      </pic:pic>
                    </a:graphicData>
                  </a:graphic>
                </wp:inline>
              </w:drawing>
            </w:r>
          </w:p>
        </w:tc>
        <w:tc>
          <w:tcPr>
            <w:tcW w:w="3813" w:type="dxa"/>
            <w:gridSpan w:val="2"/>
            <w:shd w:val="clear" w:color="auto" w:fill="A6A6A6"/>
            <w:vAlign w:val="top"/>
          </w:tcPr>
          <w:p>
            <w:pPr>
              <w:rPr>
                <w:rFonts w:ascii="宋体" w:hAnsi="宋体" w:eastAsia="宋体"/>
                <w:sz w:val="21"/>
                <w:szCs w:val="21"/>
              </w:rPr>
            </w:pPr>
            <w:r>
              <w:rPr>
                <w:rFonts w:hint="eastAsia" w:ascii="宋体" w:hAnsi="宋体" w:eastAsia="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463" w:type="dxa"/>
            <w:vMerge w:val="continue"/>
            <w:shd w:val="clear" w:color="auto" w:fill="D6E3BC"/>
            <w:vAlign w:val="center"/>
          </w:tcPr>
          <w:p>
            <w:pPr>
              <w:jc w:val="center"/>
              <w:rPr>
                <w:rFonts w:ascii="宋体" w:hAnsi="宋体" w:eastAsia="宋体"/>
                <w:sz w:val="21"/>
                <w:szCs w:val="21"/>
              </w:rPr>
            </w:pPr>
          </w:p>
        </w:tc>
        <w:tc>
          <w:tcPr>
            <w:tcW w:w="4844" w:type="dxa"/>
            <w:gridSpan w:val="2"/>
            <w:vMerge w:val="continue"/>
            <w:vAlign w:val="top"/>
          </w:tcPr>
          <w:p>
            <w:pPr>
              <w:rPr>
                <w:rFonts w:ascii="宋体" w:hAnsi="宋体" w:eastAsia="宋体"/>
                <w:sz w:val="21"/>
                <w:szCs w:val="21"/>
              </w:rPr>
            </w:pPr>
          </w:p>
        </w:tc>
        <w:tc>
          <w:tcPr>
            <w:tcW w:w="1694" w:type="dxa"/>
            <w:vAlign w:val="top"/>
          </w:tcPr>
          <w:p>
            <w:pPr>
              <w:jc w:val="center"/>
              <w:rPr>
                <w:rFonts w:ascii="宋体" w:hAnsi="宋体" w:eastAsia="宋体"/>
                <w:sz w:val="21"/>
                <w:szCs w:val="21"/>
              </w:rPr>
            </w:pPr>
            <w:r>
              <w:rPr>
                <w:rFonts w:hint="eastAsia" w:ascii="宋体" w:hAnsi="宋体" w:eastAsia="宋体"/>
                <w:sz w:val="21"/>
                <w:szCs w:val="21"/>
              </w:rPr>
              <w:t>色温：</w:t>
            </w:r>
          </w:p>
        </w:tc>
        <w:tc>
          <w:tcPr>
            <w:tcW w:w="2119"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4000K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463" w:type="dxa"/>
            <w:vMerge w:val="continue"/>
            <w:shd w:val="clear" w:color="auto" w:fill="D6E3BC"/>
            <w:vAlign w:val="center"/>
          </w:tcPr>
          <w:p>
            <w:pPr>
              <w:jc w:val="center"/>
              <w:rPr>
                <w:rFonts w:ascii="宋体" w:hAnsi="宋体" w:eastAsia="宋体"/>
                <w:sz w:val="21"/>
                <w:szCs w:val="21"/>
              </w:rPr>
            </w:pPr>
          </w:p>
        </w:tc>
        <w:tc>
          <w:tcPr>
            <w:tcW w:w="4844" w:type="dxa"/>
            <w:gridSpan w:val="2"/>
            <w:vMerge w:val="continue"/>
            <w:vAlign w:val="top"/>
          </w:tcPr>
          <w:p>
            <w:pPr>
              <w:rPr>
                <w:rFonts w:ascii="宋体" w:hAnsi="宋体" w:eastAsia="宋体"/>
                <w:sz w:val="21"/>
                <w:szCs w:val="21"/>
              </w:rPr>
            </w:pPr>
          </w:p>
        </w:tc>
        <w:tc>
          <w:tcPr>
            <w:tcW w:w="1694" w:type="dxa"/>
            <w:vAlign w:val="top"/>
          </w:tcPr>
          <w:p>
            <w:pPr>
              <w:jc w:val="center"/>
              <w:rPr>
                <w:rFonts w:ascii="宋体" w:hAnsi="宋体" w:eastAsia="宋体"/>
                <w:sz w:val="21"/>
                <w:szCs w:val="21"/>
              </w:rPr>
            </w:pPr>
            <w:r>
              <w:rPr>
                <w:rFonts w:hint="eastAsia" w:ascii="宋体" w:hAnsi="宋体" w:eastAsia="宋体"/>
                <w:sz w:val="21"/>
                <w:szCs w:val="21"/>
              </w:rPr>
              <w:t>显色指数：</w:t>
            </w:r>
          </w:p>
        </w:tc>
        <w:tc>
          <w:tcPr>
            <w:tcW w:w="2119"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463" w:type="dxa"/>
            <w:vMerge w:val="continue"/>
            <w:shd w:val="clear" w:color="auto" w:fill="D6E3BC"/>
            <w:vAlign w:val="center"/>
          </w:tcPr>
          <w:p>
            <w:pPr>
              <w:jc w:val="center"/>
              <w:rPr>
                <w:rFonts w:ascii="宋体" w:hAnsi="宋体" w:eastAsia="宋体"/>
                <w:sz w:val="21"/>
                <w:szCs w:val="21"/>
              </w:rPr>
            </w:pPr>
          </w:p>
        </w:tc>
        <w:tc>
          <w:tcPr>
            <w:tcW w:w="4844" w:type="dxa"/>
            <w:gridSpan w:val="2"/>
            <w:vMerge w:val="continue"/>
            <w:vAlign w:val="top"/>
          </w:tcPr>
          <w:p>
            <w:pPr>
              <w:rPr>
                <w:rFonts w:ascii="宋体" w:hAnsi="宋体" w:eastAsia="宋体"/>
                <w:sz w:val="21"/>
                <w:szCs w:val="21"/>
              </w:rPr>
            </w:pPr>
          </w:p>
        </w:tc>
        <w:tc>
          <w:tcPr>
            <w:tcW w:w="1694" w:type="dxa"/>
            <w:vAlign w:val="top"/>
          </w:tcPr>
          <w:p>
            <w:pPr>
              <w:jc w:val="center"/>
              <w:rPr>
                <w:rFonts w:ascii="宋体" w:hAnsi="宋体" w:eastAsia="宋体"/>
                <w:sz w:val="21"/>
                <w:szCs w:val="21"/>
              </w:rPr>
            </w:pPr>
            <w:r>
              <w:rPr>
                <w:rFonts w:hint="eastAsia" w:ascii="宋体" w:hAnsi="宋体" w:eastAsia="宋体"/>
                <w:sz w:val="21"/>
                <w:szCs w:val="21"/>
              </w:rPr>
              <w:t>光束角：</w:t>
            </w:r>
          </w:p>
        </w:tc>
        <w:tc>
          <w:tcPr>
            <w:tcW w:w="2119"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463" w:type="dxa"/>
            <w:vMerge w:val="continue"/>
            <w:shd w:val="clear" w:color="auto" w:fill="D6E3BC"/>
            <w:vAlign w:val="center"/>
          </w:tcPr>
          <w:p>
            <w:pPr>
              <w:jc w:val="center"/>
              <w:rPr>
                <w:rFonts w:ascii="宋体" w:hAnsi="宋体" w:eastAsia="宋体"/>
                <w:sz w:val="21"/>
                <w:szCs w:val="21"/>
              </w:rPr>
            </w:pPr>
          </w:p>
        </w:tc>
        <w:tc>
          <w:tcPr>
            <w:tcW w:w="4844" w:type="dxa"/>
            <w:gridSpan w:val="2"/>
            <w:vMerge w:val="continue"/>
            <w:vAlign w:val="top"/>
          </w:tcPr>
          <w:p>
            <w:pPr>
              <w:rPr>
                <w:rFonts w:ascii="宋体" w:hAnsi="宋体" w:eastAsia="宋体"/>
                <w:sz w:val="21"/>
                <w:szCs w:val="21"/>
              </w:rPr>
            </w:pPr>
          </w:p>
        </w:tc>
        <w:tc>
          <w:tcPr>
            <w:tcW w:w="1694" w:type="dxa"/>
            <w:vAlign w:val="top"/>
          </w:tcPr>
          <w:p>
            <w:pPr>
              <w:jc w:val="center"/>
              <w:rPr>
                <w:rFonts w:ascii="宋体" w:hAnsi="宋体" w:eastAsia="宋体"/>
                <w:sz w:val="21"/>
                <w:szCs w:val="21"/>
              </w:rPr>
            </w:pPr>
            <w:r>
              <w:rPr>
                <w:rFonts w:hint="eastAsia" w:ascii="宋体" w:hAnsi="宋体" w:eastAsia="宋体"/>
                <w:sz w:val="21"/>
                <w:szCs w:val="21"/>
              </w:rPr>
              <w:t>光源寿命：</w:t>
            </w:r>
          </w:p>
        </w:tc>
        <w:tc>
          <w:tcPr>
            <w:tcW w:w="2119"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50000H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463" w:type="dxa"/>
            <w:vMerge w:val="continue"/>
            <w:shd w:val="clear" w:color="auto" w:fill="D6E3BC"/>
            <w:vAlign w:val="center"/>
          </w:tcPr>
          <w:p>
            <w:pPr>
              <w:jc w:val="center"/>
              <w:rPr>
                <w:rFonts w:ascii="宋体" w:hAnsi="宋体" w:eastAsia="宋体"/>
                <w:sz w:val="21"/>
                <w:szCs w:val="21"/>
              </w:rPr>
            </w:pPr>
          </w:p>
        </w:tc>
        <w:tc>
          <w:tcPr>
            <w:tcW w:w="4844" w:type="dxa"/>
            <w:gridSpan w:val="2"/>
            <w:vMerge w:val="continue"/>
            <w:vAlign w:val="top"/>
          </w:tcPr>
          <w:p>
            <w:pPr>
              <w:rPr>
                <w:rFonts w:ascii="宋体" w:hAnsi="宋体" w:eastAsia="宋体"/>
                <w:sz w:val="21"/>
                <w:szCs w:val="21"/>
              </w:rPr>
            </w:pPr>
          </w:p>
        </w:tc>
        <w:tc>
          <w:tcPr>
            <w:tcW w:w="1694" w:type="dxa"/>
            <w:vAlign w:val="top"/>
          </w:tcPr>
          <w:p>
            <w:pPr>
              <w:jc w:val="center"/>
              <w:rPr>
                <w:rFonts w:ascii="宋体" w:hAnsi="宋体" w:eastAsia="宋体"/>
                <w:sz w:val="21"/>
                <w:szCs w:val="21"/>
              </w:rPr>
            </w:pPr>
            <w:r>
              <w:rPr>
                <w:rFonts w:hint="eastAsia" w:ascii="宋体" w:hAnsi="宋体" w:eastAsia="宋体"/>
                <w:sz w:val="21"/>
                <w:szCs w:val="21"/>
              </w:rPr>
              <w:t>光通量：</w:t>
            </w:r>
          </w:p>
        </w:tc>
        <w:tc>
          <w:tcPr>
            <w:tcW w:w="2119"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3200LM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1463" w:type="dxa"/>
            <w:vMerge w:val="continue"/>
            <w:shd w:val="clear" w:color="auto" w:fill="D6E3BC"/>
            <w:vAlign w:val="center"/>
          </w:tcPr>
          <w:p>
            <w:pPr>
              <w:jc w:val="center"/>
              <w:rPr>
                <w:rFonts w:ascii="宋体" w:hAnsi="宋体" w:eastAsia="宋体"/>
                <w:sz w:val="21"/>
                <w:szCs w:val="21"/>
              </w:rPr>
            </w:pPr>
          </w:p>
        </w:tc>
        <w:tc>
          <w:tcPr>
            <w:tcW w:w="4844" w:type="dxa"/>
            <w:gridSpan w:val="2"/>
            <w:vMerge w:val="continue"/>
            <w:vAlign w:val="top"/>
          </w:tcPr>
          <w:p>
            <w:pPr>
              <w:rPr>
                <w:rFonts w:ascii="宋体" w:hAnsi="宋体" w:eastAsia="宋体"/>
                <w:sz w:val="21"/>
                <w:szCs w:val="21"/>
              </w:rPr>
            </w:pPr>
          </w:p>
        </w:tc>
        <w:tc>
          <w:tcPr>
            <w:tcW w:w="1694" w:type="dxa"/>
            <w:vAlign w:val="top"/>
          </w:tcPr>
          <w:p>
            <w:pPr>
              <w:jc w:val="center"/>
              <w:rPr>
                <w:rFonts w:ascii="宋体" w:hAnsi="宋体" w:eastAsia="宋体"/>
                <w:sz w:val="21"/>
                <w:szCs w:val="21"/>
              </w:rPr>
            </w:pPr>
            <w:r>
              <w:rPr>
                <w:rFonts w:hint="eastAsia" w:ascii="宋体" w:hAnsi="宋体" w:eastAsia="宋体"/>
                <w:sz w:val="21"/>
                <w:szCs w:val="21"/>
                <w:lang w:eastAsia="zh-CN"/>
              </w:rPr>
              <w:t>灯具高度</w:t>
            </w:r>
            <w:r>
              <w:rPr>
                <w:rFonts w:hint="eastAsia" w:ascii="宋体" w:hAnsi="宋体" w:eastAsia="宋体"/>
                <w:sz w:val="21"/>
                <w:szCs w:val="21"/>
              </w:rPr>
              <w:t>：</w:t>
            </w:r>
          </w:p>
        </w:tc>
        <w:tc>
          <w:tcPr>
            <w:tcW w:w="2119"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H=3.5M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463" w:type="dxa"/>
            <w:vMerge w:val="restart"/>
            <w:shd w:val="clear" w:color="auto" w:fill="D6E3BC"/>
            <w:vAlign w:val="center"/>
          </w:tcPr>
          <w:p>
            <w:pPr>
              <w:jc w:val="center"/>
              <w:rPr>
                <w:rFonts w:ascii="宋体" w:hAnsi="宋体" w:eastAsia="宋体"/>
                <w:sz w:val="21"/>
                <w:szCs w:val="21"/>
              </w:rPr>
            </w:pPr>
            <w:r>
              <w:rPr>
                <w:rFonts w:hint="eastAsia" w:ascii="宋体" w:hAnsi="宋体" w:eastAsia="宋体"/>
                <w:sz w:val="21"/>
                <w:szCs w:val="21"/>
              </w:rPr>
              <w:t>电气参数</w:t>
            </w:r>
          </w:p>
        </w:tc>
        <w:tc>
          <w:tcPr>
            <w:tcW w:w="8657" w:type="dxa"/>
            <w:gridSpan w:val="4"/>
            <w:shd w:val="clear" w:color="auto" w:fill="A6A6A6"/>
            <w:vAlign w:val="top"/>
          </w:tcPr>
          <w:p>
            <w:pPr>
              <w:rPr>
                <w:rFonts w:ascii="宋体" w:hAnsi="宋体" w:eastAsia="宋体"/>
                <w:sz w:val="21"/>
                <w:szCs w:val="21"/>
              </w:rPr>
            </w:pPr>
            <w:r>
              <w:rPr>
                <w:rFonts w:hint="eastAsia" w:ascii="宋体" w:hAnsi="宋体" w:eastAsia="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463" w:type="dxa"/>
            <w:vMerge w:val="continue"/>
            <w:shd w:val="clear" w:color="auto" w:fill="D6E3BC"/>
            <w:vAlign w:val="top"/>
          </w:tcPr>
          <w:p>
            <w:pPr>
              <w:rPr>
                <w:rFonts w:ascii="宋体" w:hAnsi="宋体" w:eastAsia="宋体"/>
                <w:sz w:val="21"/>
                <w:szCs w:val="21"/>
              </w:rPr>
            </w:pPr>
          </w:p>
        </w:tc>
        <w:tc>
          <w:tcPr>
            <w:tcW w:w="2223" w:type="dxa"/>
            <w:vAlign w:val="top"/>
          </w:tcPr>
          <w:p>
            <w:pPr>
              <w:jc w:val="center"/>
              <w:rPr>
                <w:rFonts w:ascii="宋体" w:hAnsi="宋体" w:eastAsia="宋体"/>
                <w:sz w:val="21"/>
                <w:szCs w:val="21"/>
              </w:rPr>
            </w:pPr>
            <w:r>
              <w:rPr>
                <w:rFonts w:hint="eastAsia" w:ascii="宋体" w:hAnsi="宋体" w:eastAsia="宋体"/>
                <w:sz w:val="21"/>
                <w:szCs w:val="21"/>
              </w:rPr>
              <w:t>电压：</w:t>
            </w:r>
          </w:p>
        </w:tc>
        <w:tc>
          <w:tcPr>
            <w:tcW w:w="6434" w:type="dxa"/>
            <w:gridSpan w:val="3"/>
            <w:vAlign w:val="top"/>
          </w:tcPr>
          <w:p>
            <w:pPr>
              <w:rPr>
                <w:rFonts w:hint="eastAsia" w:ascii="宋体" w:hAnsi="宋体" w:eastAsia="宋体"/>
                <w:sz w:val="21"/>
                <w:szCs w:val="21"/>
              </w:rPr>
            </w:pPr>
            <w:r>
              <w:rPr>
                <w:rFonts w:hint="eastAsia" w:ascii="宋体" w:hAnsi="宋体" w:eastAsia="宋体"/>
                <w:sz w:val="21"/>
                <w:szCs w:val="21"/>
              </w:rPr>
              <w:t>AC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463" w:type="dxa"/>
            <w:vMerge w:val="continue"/>
            <w:shd w:val="clear" w:color="auto" w:fill="D6E3BC"/>
            <w:vAlign w:val="top"/>
          </w:tcPr>
          <w:p>
            <w:pPr>
              <w:rPr>
                <w:rFonts w:ascii="宋体" w:hAnsi="宋体" w:eastAsia="宋体"/>
                <w:sz w:val="21"/>
                <w:szCs w:val="21"/>
              </w:rPr>
            </w:pPr>
          </w:p>
        </w:tc>
        <w:tc>
          <w:tcPr>
            <w:tcW w:w="2223" w:type="dxa"/>
            <w:vAlign w:val="top"/>
          </w:tcPr>
          <w:p>
            <w:pPr>
              <w:jc w:val="center"/>
              <w:rPr>
                <w:rFonts w:ascii="宋体" w:hAnsi="宋体" w:eastAsia="宋体"/>
                <w:sz w:val="21"/>
                <w:szCs w:val="21"/>
              </w:rPr>
            </w:pPr>
            <w:r>
              <w:rPr>
                <w:rFonts w:hint="eastAsia" w:ascii="宋体" w:hAnsi="宋体" w:eastAsia="宋体"/>
                <w:sz w:val="21"/>
                <w:szCs w:val="21"/>
              </w:rPr>
              <w:t>频率：</w:t>
            </w:r>
          </w:p>
        </w:tc>
        <w:tc>
          <w:tcPr>
            <w:tcW w:w="6434" w:type="dxa"/>
            <w:gridSpan w:val="3"/>
            <w:vAlign w:val="top"/>
          </w:tcPr>
          <w:p>
            <w:pPr>
              <w:rPr>
                <w:rFonts w:hint="eastAsia" w:ascii="宋体" w:hAnsi="宋体" w:eastAsia="宋体"/>
                <w:sz w:val="21"/>
                <w:szCs w:val="21"/>
              </w:rPr>
            </w:pPr>
            <w:r>
              <w:rPr>
                <w:rFonts w:hint="eastAsia" w:ascii="宋体" w:hAnsi="宋体" w:eastAsia="宋体"/>
                <w:sz w:val="21"/>
                <w:szCs w:val="21"/>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463" w:type="dxa"/>
            <w:vMerge w:val="continue"/>
            <w:shd w:val="clear" w:color="auto" w:fill="D6E3BC"/>
            <w:vAlign w:val="top"/>
          </w:tcPr>
          <w:p>
            <w:pPr>
              <w:rPr>
                <w:rFonts w:ascii="宋体" w:hAnsi="宋体" w:eastAsia="宋体"/>
                <w:sz w:val="21"/>
                <w:szCs w:val="21"/>
              </w:rPr>
            </w:pPr>
          </w:p>
        </w:tc>
        <w:tc>
          <w:tcPr>
            <w:tcW w:w="2223" w:type="dxa"/>
            <w:vAlign w:val="top"/>
          </w:tcPr>
          <w:p>
            <w:pPr>
              <w:jc w:val="center"/>
              <w:rPr>
                <w:rFonts w:ascii="宋体" w:hAnsi="宋体" w:eastAsia="宋体"/>
                <w:sz w:val="21"/>
                <w:szCs w:val="21"/>
              </w:rPr>
            </w:pPr>
            <w:r>
              <w:rPr>
                <w:rFonts w:hint="eastAsia" w:ascii="宋体" w:hAnsi="宋体" w:eastAsia="宋体"/>
                <w:sz w:val="21"/>
                <w:szCs w:val="21"/>
              </w:rPr>
              <w:t>功率：</w:t>
            </w:r>
          </w:p>
        </w:tc>
        <w:tc>
          <w:tcPr>
            <w:tcW w:w="6434" w:type="dxa"/>
            <w:gridSpan w:val="3"/>
            <w:vAlign w:val="top"/>
          </w:tcPr>
          <w:p>
            <w:pPr>
              <w:rPr>
                <w:rFonts w:hint="eastAsia" w:ascii="宋体" w:hAnsi="宋体" w:eastAsia="宋体"/>
                <w:sz w:val="21"/>
                <w:szCs w:val="21"/>
                <w:lang w:eastAsia="zh-CN"/>
              </w:rPr>
            </w:pPr>
            <w:r>
              <w:rPr>
                <w:rFonts w:hint="eastAsia" w:ascii="宋体" w:hAnsi="宋体" w:eastAsia="宋体"/>
                <w:sz w:val="21"/>
                <w:szCs w:val="21"/>
                <w:lang w:eastAsia="zh-CN"/>
              </w:rPr>
              <w:t>30</w:t>
            </w:r>
            <w:r>
              <w:rPr>
                <w:rFonts w:hint="eastAsia" w:ascii="宋体" w:hAnsi="宋体" w:eastAsia="宋体"/>
                <w:sz w:val="21"/>
                <w:szCs w:val="21"/>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463" w:type="dxa"/>
            <w:vMerge w:val="continue"/>
            <w:shd w:val="clear" w:color="auto" w:fill="D6E3BC"/>
            <w:vAlign w:val="top"/>
          </w:tcPr>
          <w:p>
            <w:pPr>
              <w:rPr>
                <w:rFonts w:ascii="宋体" w:hAnsi="宋体" w:eastAsia="宋体"/>
                <w:sz w:val="21"/>
                <w:szCs w:val="21"/>
              </w:rPr>
            </w:pPr>
          </w:p>
        </w:tc>
        <w:tc>
          <w:tcPr>
            <w:tcW w:w="2223" w:type="dxa"/>
            <w:vAlign w:val="top"/>
          </w:tcPr>
          <w:p>
            <w:pPr>
              <w:jc w:val="center"/>
              <w:rPr>
                <w:rFonts w:ascii="宋体" w:hAnsi="宋体" w:eastAsia="宋体"/>
                <w:sz w:val="21"/>
                <w:szCs w:val="21"/>
              </w:rPr>
            </w:pPr>
            <w:r>
              <w:rPr>
                <w:rFonts w:hint="eastAsia" w:ascii="宋体" w:hAnsi="宋体" w:eastAsia="宋体"/>
                <w:sz w:val="21"/>
                <w:szCs w:val="21"/>
              </w:rPr>
              <w:t>功率因素：</w:t>
            </w:r>
          </w:p>
        </w:tc>
        <w:tc>
          <w:tcPr>
            <w:tcW w:w="6434" w:type="dxa"/>
            <w:gridSpan w:val="3"/>
            <w:vAlign w:val="top"/>
          </w:tcPr>
          <w:p>
            <w:pPr>
              <w:rPr>
                <w:rFonts w:hint="eastAsia" w:ascii="宋体" w:hAnsi="宋体" w:eastAsia="宋体"/>
                <w:sz w:val="21"/>
                <w:szCs w:val="21"/>
              </w:rPr>
            </w:pPr>
            <w:r>
              <w:rPr>
                <w:rFonts w:hint="eastAsia" w:ascii="宋体" w:hAnsi="宋体" w:eastAsia="宋体"/>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463" w:type="dxa"/>
            <w:vMerge w:val="continue"/>
            <w:shd w:val="clear" w:color="auto" w:fill="D6E3BC"/>
            <w:vAlign w:val="top"/>
          </w:tcPr>
          <w:p>
            <w:pPr>
              <w:rPr>
                <w:rFonts w:ascii="宋体" w:hAnsi="宋体" w:eastAsia="宋体"/>
                <w:sz w:val="21"/>
                <w:szCs w:val="21"/>
              </w:rPr>
            </w:pPr>
          </w:p>
        </w:tc>
        <w:tc>
          <w:tcPr>
            <w:tcW w:w="2223" w:type="dxa"/>
            <w:vAlign w:val="top"/>
          </w:tcPr>
          <w:p>
            <w:pPr>
              <w:jc w:val="center"/>
              <w:rPr>
                <w:rFonts w:ascii="宋体" w:hAnsi="宋体" w:eastAsia="宋体"/>
                <w:sz w:val="21"/>
                <w:szCs w:val="21"/>
              </w:rPr>
            </w:pPr>
            <w:r>
              <w:rPr>
                <w:rFonts w:hint="eastAsia" w:ascii="宋体" w:hAnsi="宋体" w:eastAsia="宋体"/>
                <w:sz w:val="21"/>
                <w:szCs w:val="21"/>
              </w:rPr>
              <w:t>控制方式：</w:t>
            </w:r>
          </w:p>
        </w:tc>
        <w:tc>
          <w:tcPr>
            <w:tcW w:w="6434" w:type="dxa"/>
            <w:gridSpan w:val="3"/>
            <w:vAlign w:val="top"/>
          </w:tcPr>
          <w:p>
            <w:pPr>
              <w:rPr>
                <w:rFonts w:hint="eastAsia" w:ascii="宋体" w:hAnsi="宋体" w:eastAsia="宋体"/>
                <w:sz w:val="21"/>
                <w:szCs w:val="21"/>
              </w:rPr>
            </w:pPr>
            <w:r>
              <w:rPr>
                <w:rFonts w:hint="eastAsia" w:ascii="宋体" w:hAnsi="宋体" w:eastAsia="宋体"/>
                <w:sz w:val="21"/>
                <w:szCs w:val="21"/>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1463" w:type="dxa"/>
            <w:vMerge w:val="continue"/>
            <w:shd w:val="clear" w:color="auto" w:fill="D6E3BC"/>
            <w:vAlign w:val="top"/>
          </w:tcPr>
          <w:p>
            <w:pPr>
              <w:rPr>
                <w:rFonts w:ascii="宋体" w:hAnsi="宋体" w:eastAsia="宋体"/>
                <w:sz w:val="21"/>
                <w:szCs w:val="21"/>
              </w:rPr>
            </w:pPr>
          </w:p>
        </w:tc>
        <w:tc>
          <w:tcPr>
            <w:tcW w:w="2223" w:type="dxa"/>
            <w:vAlign w:val="center"/>
          </w:tcPr>
          <w:p>
            <w:pPr>
              <w:jc w:val="center"/>
              <w:rPr>
                <w:rFonts w:ascii="宋体" w:hAnsi="宋体" w:eastAsia="宋体"/>
                <w:sz w:val="21"/>
                <w:szCs w:val="21"/>
              </w:rPr>
            </w:pPr>
            <w:r>
              <w:rPr>
                <w:rFonts w:hint="eastAsia" w:ascii="宋体" w:hAnsi="宋体" w:eastAsia="宋体"/>
                <w:sz w:val="21"/>
                <w:szCs w:val="21"/>
              </w:rPr>
              <w:t>其他：</w:t>
            </w:r>
          </w:p>
        </w:tc>
        <w:tc>
          <w:tcPr>
            <w:tcW w:w="6434" w:type="dxa"/>
            <w:gridSpan w:val="3"/>
            <w:vAlign w:val="center"/>
          </w:tcPr>
          <w:p>
            <w:pPr>
              <w:rPr>
                <w:rFonts w:hint="eastAsia" w:ascii="宋体" w:hAnsi="宋体" w:eastAsia="宋体"/>
                <w:sz w:val="21"/>
                <w:szCs w:val="21"/>
              </w:rPr>
            </w:pPr>
            <w:r>
              <w:rPr>
                <w:rFonts w:hint="eastAsia" w:ascii="宋体" w:hAnsi="宋体" w:eastAsia="宋体"/>
                <w:sz w:val="21"/>
                <w:szCs w:val="21"/>
              </w:rPr>
              <w:t>制造标准：铝表面静电粉末喷涂防腐处理，喷涂厚度大于</w:t>
            </w:r>
            <w:r>
              <w:rPr>
                <w:rFonts w:ascii="宋体" w:hAnsi="宋体" w:eastAsia="宋体"/>
                <w:sz w:val="21"/>
                <w:szCs w:val="21"/>
              </w:rPr>
              <w:t>100μ m</w:t>
            </w:r>
            <w:r>
              <w:rPr>
                <w:rFonts w:hint="eastAsia" w:ascii="宋体" w:hAnsi="宋体" w:eastAsia="宋体"/>
                <w:sz w:val="21"/>
                <w:szCs w:val="21"/>
              </w:rPr>
              <w:t>，支持灯头</w:t>
            </w:r>
            <w:r>
              <w:rPr>
                <w:rFonts w:ascii="宋体" w:hAnsi="宋体" w:eastAsia="宋体"/>
                <w:sz w:val="21"/>
                <w:szCs w:val="21"/>
              </w:rPr>
              <w:t>360°</w:t>
            </w:r>
            <w:r>
              <w:rPr>
                <w:rFonts w:hint="eastAsia" w:ascii="宋体" w:hAnsi="宋体" w:eastAsia="宋体"/>
                <w:sz w:val="21"/>
                <w:szCs w:val="21"/>
              </w:rPr>
              <w:t>水平旋转，内置电器控制组件，</w:t>
            </w:r>
            <w:r>
              <w:rPr>
                <w:rFonts w:ascii="宋体" w:hAnsi="宋体" w:eastAsia="宋体"/>
                <w:sz w:val="21"/>
                <w:szCs w:val="21"/>
              </w:rPr>
              <w:t>OSRAM</w:t>
            </w:r>
            <w:r>
              <w:rPr>
                <w:rFonts w:hint="eastAsia" w:ascii="宋体" w:hAnsi="宋体" w:eastAsia="宋体"/>
                <w:sz w:val="21"/>
                <w:szCs w:val="21"/>
              </w:rPr>
              <w:t>、</w:t>
            </w:r>
            <w:r>
              <w:rPr>
                <w:rFonts w:ascii="宋体" w:hAnsi="宋体" w:eastAsia="宋体"/>
                <w:sz w:val="21"/>
                <w:szCs w:val="21"/>
              </w:rPr>
              <w:t>Philips</w:t>
            </w:r>
            <w:r>
              <w:rPr>
                <w:rFonts w:hint="eastAsia" w:ascii="宋体" w:hAnsi="宋体" w:eastAsia="宋体"/>
                <w:sz w:val="21"/>
                <w:szCs w:val="21"/>
                <w:lang w:eastAsia="zh-CN"/>
              </w:rPr>
              <w:t>、</w:t>
            </w:r>
            <w:r>
              <w:rPr>
                <w:rFonts w:hint="eastAsia" w:ascii="宋体" w:hAnsi="宋体" w:eastAsia="宋体"/>
                <w:sz w:val="21"/>
                <w:szCs w:val="21"/>
              </w:rPr>
              <w:t xml:space="preserve"> REGGIANI驱动电源。灯杆内分别预留</w:t>
            </w:r>
            <w:r>
              <w:rPr>
                <w:rFonts w:ascii="宋体" w:hAnsi="宋体" w:eastAsia="宋体"/>
                <w:sz w:val="21"/>
                <w:szCs w:val="21"/>
              </w:rPr>
              <w:t>3</w:t>
            </w:r>
            <w:r>
              <w:rPr>
                <w:rFonts w:hint="eastAsia" w:ascii="宋体" w:hAnsi="宋体" w:eastAsia="宋体"/>
                <w:sz w:val="21"/>
                <w:szCs w:val="21"/>
              </w:rPr>
              <w:t>米电源电缆。绝缘等级</w:t>
            </w:r>
            <w:r>
              <w:rPr>
                <w:rFonts w:ascii="宋体" w:hAnsi="宋体" w:eastAsia="宋体"/>
                <w:sz w:val="21"/>
                <w:szCs w:val="21"/>
              </w:rPr>
              <w:t>I</w:t>
            </w:r>
            <w:r>
              <w:rPr>
                <w:rFonts w:hint="eastAsia" w:ascii="宋体" w:hAnsi="宋体" w:eastAsia="宋体"/>
                <w:sz w:val="21"/>
                <w:szCs w:val="21"/>
              </w:rPr>
              <w:t>级，抗风等级</w:t>
            </w:r>
            <w:r>
              <w:rPr>
                <w:rFonts w:ascii="宋体" w:hAnsi="宋体" w:eastAsia="宋体"/>
                <w:sz w:val="21"/>
                <w:szCs w:val="21"/>
              </w:rPr>
              <w:t>12</w:t>
            </w:r>
            <w:r>
              <w:rPr>
                <w:rFonts w:hint="eastAsia" w:ascii="宋体" w:hAnsi="宋体" w:eastAsia="宋体"/>
                <w:sz w:val="21"/>
                <w:szCs w:val="21"/>
              </w:rPr>
              <w:t>级。</w:t>
            </w:r>
          </w:p>
        </w:tc>
      </w:tr>
    </w:tbl>
    <w:p>
      <w:pPr>
        <w:numPr>
          <w:ilvl w:val="0"/>
          <w:numId w:val="0"/>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五、</w:t>
      </w:r>
      <w:r>
        <w:rPr>
          <w:rFonts w:hint="eastAsia" w:cs="宋体" w:asciiTheme="majorEastAsia" w:hAnsiTheme="majorEastAsia" w:eastAsiaTheme="majorEastAsia"/>
          <w:b/>
          <w:kern w:val="0"/>
          <w:sz w:val="32"/>
          <w:szCs w:val="32"/>
        </w:rPr>
        <w:t>其他要求：</w:t>
      </w:r>
    </w:p>
    <w:p>
      <w:pPr>
        <w:spacing w:line="440" w:lineRule="exact"/>
        <w:ind w:firstLine="241" w:firstLineChars="100"/>
        <w:outlineLvl w:val="9"/>
        <w:rPr>
          <w:rFonts w:hint="eastAsia" w:ascii="宋体" w:cs="宋体"/>
          <w:color w:val="auto"/>
          <w:sz w:val="24"/>
          <w:szCs w:val="24"/>
          <w:lang w:val="zh-CN"/>
        </w:rPr>
      </w:pPr>
      <w:r>
        <w:rPr>
          <w:rFonts w:hint="eastAsia" w:ascii="宋体" w:cs="宋体"/>
          <w:b/>
          <w:bCs/>
          <w:color w:val="auto"/>
          <w:sz w:val="24"/>
          <w:szCs w:val="24"/>
          <w:lang w:val="en-US" w:eastAsia="zh-CN"/>
        </w:rPr>
        <w:t>1、无效投标情况：</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zh-CN" w:eastAsia="zh-CN" w:bidi="ar-SA"/>
        </w:rPr>
        <w:t>1</w:t>
      </w:r>
      <w:r>
        <w:rPr>
          <w:rFonts w:hint="eastAsia" w:ascii="宋体" w:hAnsi="宋体" w:eastAsia="宋体" w:cs="宋体"/>
          <w:bCs/>
          <w:kern w:val="0"/>
          <w:sz w:val="28"/>
          <w:szCs w:val="28"/>
          <w:lang w:val="en-US" w:eastAsia="zh-CN" w:bidi="ar-SA"/>
        </w:rPr>
        <w:t xml:space="preserve">.1 </w:t>
      </w:r>
      <w:r>
        <w:rPr>
          <w:rFonts w:hint="eastAsia" w:ascii="宋体" w:hAnsi="宋体" w:eastAsia="宋体" w:cs="宋体"/>
          <w:bCs/>
          <w:kern w:val="0"/>
          <w:sz w:val="28"/>
          <w:szCs w:val="28"/>
          <w:lang w:val="zh-CN" w:eastAsia="zh-CN" w:bidi="ar-SA"/>
        </w:rPr>
        <w:t>投标文件中须承诺送货到指定地点，并</w:t>
      </w:r>
      <w:r>
        <w:rPr>
          <w:rFonts w:hint="eastAsia" w:ascii="宋体" w:hAnsi="宋体" w:eastAsia="宋体" w:cs="宋体"/>
          <w:bCs/>
          <w:kern w:val="0"/>
          <w:sz w:val="28"/>
          <w:szCs w:val="28"/>
          <w:lang w:val="en-US" w:eastAsia="zh-CN" w:bidi="ar-SA"/>
        </w:rPr>
        <w:t>指导</w:t>
      </w:r>
      <w:r>
        <w:rPr>
          <w:rFonts w:hint="eastAsia" w:ascii="宋体" w:hAnsi="宋体" w:eastAsia="宋体" w:cs="宋体"/>
          <w:bCs/>
          <w:kern w:val="0"/>
          <w:sz w:val="28"/>
          <w:szCs w:val="28"/>
          <w:lang w:val="zh-CN" w:eastAsia="zh-CN" w:bidi="ar-SA"/>
        </w:rPr>
        <w:t>安装调试，</w:t>
      </w:r>
      <w:r>
        <w:rPr>
          <w:rFonts w:hint="eastAsia" w:ascii="宋体" w:hAnsi="宋体" w:eastAsia="宋体" w:cs="宋体"/>
          <w:bCs/>
          <w:kern w:val="0"/>
          <w:sz w:val="28"/>
          <w:szCs w:val="28"/>
          <w:lang w:val="en-US" w:eastAsia="zh-CN" w:bidi="ar-SA"/>
        </w:rPr>
        <w:t>否则为无效投标。</w:t>
      </w:r>
    </w:p>
    <w:p>
      <w:pPr>
        <w:spacing w:line="440" w:lineRule="exact"/>
        <w:ind w:firstLine="420" w:firstLineChars="0"/>
        <w:outlineLvl w:val="9"/>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 xml:space="preserve">1.2 </w:t>
      </w:r>
      <w:r>
        <w:rPr>
          <w:rFonts w:hint="eastAsia" w:ascii="宋体" w:hAnsi="宋体" w:eastAsia="宋体" w:cs="宋体"/>
          <w:bCs/>
          <w:kern w:val="0"/>
          <w:sz w:val="28"/>
          <w:szCs w:val="28"/>
          <w:lang w:val="zh-CN" w:eastAsia="zh-CN" w:bidi="ar-SA"/>
        </w:rPr>
        <w:t>投标人须明确投标产品的详细参数，</w:t>
      </w:r>
      <w:r>
        <w:rPr>
          <w:rFonts w:hint="eastAsia" w:ascii="宋体" w:hAnsi="宋体" w:eastAsia="宋体" w:cs="宋体"/>
          <w:bCs/>
          <w:kern w:val="0"/>
          <w:sz w:val="28"/>
          <w:szCs w:val="28"/>
          <w:lang w:val="en-US" w:eastAsia="zh-CN" w:bidi="ar-SA"/>
        </w:rPr>
        <w:t>否则为无效投标。</w:t>
      </w:r>
    </w:p>
    <w:p>
      <w:pPr>
        <w:spacing w:line="360" w:lineRule="auto"/>
        <w:ind w:firstLine="420" w:firstLineChars="0"/>
        <w:contextualSpacing/>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 xml:space="preserve">1.3 </w:t>
      </w:r>
      <w:r>
        <w:rPr>
          <w:rFonts w:hint="eastAsia" w:ascii="宋体" w:hAnsi="宋体" w:eastAsia="宋体" w:cs="宋体"/>
          <w:bCs/>
          <w:kern w:val="0"/>
          <w:sz w:val="28"/>
          <w:szCs w:val="28"/>
          <w:lang w:val="zh-CN" w:eastAsia="zh-CN" w:bidi="ar-SA"/>
        </w:rPr>
        <w:t>投标人应就该项目完整投标，否则为无效投标。</w:t>
      </w:r>
    </w:p>
    <w:p>
      <w:pPr>
        <w:spacing w:line="360" w:lineRule="auto"/>
        <w:ind w:firstLine="420" w:firstLineChars="0"/>
        <w:contextualSpacing/>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 xml:space="preserve">1.4 </w:t>
      </w:r>
      <w:r>
        <w:rPr>
          <w:rFonts w:hint="eastAsia" w:ascii="宋体" w:hAnsi="宋体" w:eastAsia="宋体" w:cs="宋体"/>
          <w:bCs/>
          <w:kern w:val="0"/>
          <w:sz w:val="28"/>
          <w:szCs w:val="28"/>
          <w:lang w:val="zh-CN" w:eastAsia="zh-CN" w:bidi="ar-SA"/>
        </w:rPr>
        <w:t>本招标文件所列需求为最低要求，投标产品不得低于最低要求，否则为无效投标。</w:t>
      </w:r>
    </w:p>
    <w:p>
      <w:pPr>
        <w:spacing w:line="360" w:lineRule="auto"/>
        <w:ind w:firstLine="420" w:firstLineChars="0"/>
        <w:contextualSpacing/>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1.5</w:t>
      </w:r>
      <w:r>
        <w:rPr>
          <w:rFonts w:hint="eastAsia" w:ascii="宋体" w:hAnsi="宋体" w:eastAsia="宋体" w:cs="宋体"/>
          <w:bCs/>
          <w:kern w:val="0"/>
          <w:sz w:val="28"/>
          <w:szCs w:val="28"/>
          <w:lang w:val="zh-CN" w:eastAsia="zh-CN" w:bidi="ar-SA"/>
        </w:rPr>
        <w:t>付款方式：经验收合格后无质量问题一次付清。不响应者为无效投标。</w:t>
      </w:r>
    </w:p>
    <w:p>
      <w:pPr>
        <w:spacing w:line="360" w:lineRule="auto"/>
        <w:ind w:firstLine="420" w:firstLineChars="0"/>
        <w:contextualSpacing/>
        <w:outlineLvl w:val="9"/>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1.6核心产品：庭院灯。</w:t>
      </w:r>
    </w:p>
    <w:p>
      <w:pPr>
        <w:outlineLvl w:val="9"/>
        <w:rPr>
          <w:rFonts w:hint="eastAsia"/>
          <w:color w:val="auto"/>
          <w:lang w:val="zh-CN"/>
        </w:rPr>
      </w:pPr>
      <w:r>
        <w:rPr>
          <w:rFonts w:hint="eastAsia"/>
          <w:b/>
          <w:bCs/>
          <w:color w:val="auto"/>
          <w:sz w:val="28"/>
          <w:szCs w:val="28"/>
          <w:lang w:val="en-US" w:eastAsia="zh-CN"/>
        </w:rPr>
        <w:t>2、售后服务：</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2.1</w:t>
      </w:r>
      <w:r>
        <w:rPr>
          <w:rFonts w:hint="eastAsia" w:ascii="宋体" w:hAnsi="宋体" w:eastAsia="宋体" w:cs="宋体"/>
          <w:bCs/>
          <w:kern w:val="0"/>
          <w:sz w:val="28"/>
          <w:szCs w:val="28"/>
          <w:lang w:val="zh-CN" w:eastAsia="zh-CN" w:bidi="ar-SA"/>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2.2</w:t>
      </w:r>
      <w:r>
        <w:rPr>
          <w:rFonts w:hint="eastAsia" w:ascii="宋体" w:hAnsi="宋体" w:eastAsia="宋体" w:cs="宋体"/>
          <w:bCs/>
          <w:kern w:val="0"/>
          <w:sz w:val="28"/>
          <w:szCs w:val="28"/>
          <w:lang w:val="zh-CN" w:eastAsia="zh-CN" w:bidi="ar-SA"/>
        </w:rPr>
        <w:t>投标人必须须明确维修点地址、负责人、联系人和联系电话，维修点具备什么样的维修能力等详细资料。</w:t>
      </w:r>
    </w:p>
    <w:p>
      <w:pPr>
        <w:outlineLvl w:val="9"/>
        <w:rPr>
          <w:color w:val="auto"/>
          <w:lang w:val="zh-CN"/>
        </w:rPr>
      </w:pPr>
      <w:r>
        <w:rPr>
          <w:rFonts w:hint="eastAsia"/>
          <w:b/>
          <w:bCs/>
          <w:color w:val="auto"/>
          <w:sz w:val="28"/>
          <w:szCs w:val="28"/>
          <w:lang w:val="en-US" w:eastAsia="zh-CN"/>
        </w:rPr>
        <w:t>3、验收标准：</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zh-CN" w:eastAsia="zh-CN" w:bidi="ar-SA"/>
        </w:rPr>
        <w:t>3.1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440" w:lineRule="exact"/>
        <w:ind w:firstLine="420" w:firstLineChars="0"/>
        <w:outlineLvl w:val="9"/>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3.2</w:t>
      </w:r>
      <w:r>
        <w:rPr>
          <w:rFonts w:hint="eastAsia" w:ascii="宋体" w:hAnsi="宋体" w:eastAsia="宋体" w:cs="宋体"/>
          <w:bCs/>
          <w:kern w:val="0"/>
          <w:sz w:val="28"/>
          <w:szCs w:val="28"/>
          <w:lang w:val="zh-CN" w:eastAsia="zh-CN" w:bidi="ar-SA"/>
        </w:rPr>
        <w:t>按照招标文件要求、投标文件响应和承诺验收；</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zh-CN" w:eastAsia="zh-CN" w:bidi="ar-SA"/>
        </w:rPr>
        <w:t>3.</w:t>
      </w:r>
      <w:r>
        <w:rPr>
          <w:rFonts w:hint="eastAsia" w:ascii="宋体" w:hAnsi="宋体" w:eastAsia="宋体" w:cs="宋体"/>
          <w:bCs/>
          <w:kern w:val="0"/>
          <w:sz w:val="28"/>
          <w:szCs w:val="28"/>
          <w:lang w:val="en-US" w:eastAsia="zh-CN" w:bidi="ar-SA"/>
        </w:rPr>
        <w:t>3</w:t>
      </w:r>
      <w:r>
        <w:rPr>
          <w:rFonts w:hint="eastAsia" w:ascii="宋体" w:hAnsi="宋体" w:eastAsia="宋体" w:cs="宋体"/>
          <w:bCs/>
          <w:kern w:val="0"/>
          <w:sz w:val="28"/>
          <w:szCs w:val="28"/>
          <w:lang w:val="zh-CN" w:eastAsia="zh-CN" w:bidi="ar-SA"/>
        </w:rPr>
        <w:t>本项目为交钥匙工程（包括制作、运输、验收等产生的所有费用）。</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zh-CN" w:eastAsia="zh-CN" w:bidi="ar-SA"/>
        </w:rPr>
        <w:t>3.</w:t>
      </w:r>
      <w:r>
        <w:rPr>
          <w:rFonts w:hint="eastAsia" w:ascii="宋体" w:hAnsi="宋体" w:eastAsia="宋体" w:cs="宋体"/>
          <w:bCs/>
          <w:kern w:val="0"/>
          <w:sz w:val="28"/>
          <w:szCs w:val="28"/>
          <w:lang w:val="en-US" w:eastAsia="zh-CN" w:bidi="ar-SA"/>
        </w:rPr>
        <w:t>4</w:t>
      </w:r>
      <w:r>
        <w:rPr>
          <w:rFonts w:hint="eastAsia" w:ascii="宋体" w:hAnsi="宋体" w:eastAsia="宋体" w:cs="宋体"/>
          <w:bCs/>
          <w:kern w:val="0"/>
          <w:sz w:val="28"/>
          <w:szCs w:val="28"/>
          <w:lang w:val="zh-CN" w:eastAsia="zh-CN" w:bidi="ar-SA"/>
        </w:rPr>
        <w:t>交货时须同时提供与招标技术规格要求相符的服装面料质量检测报告，如不提供，采购人有权拒绝收货。</w:t>
      </w:r>
    </w:p>
    <w:p>
      <w:pPr>
        <w:numPr>
          <w:ilvl w:val="0"/>
          <w:numId w:val="0"/>
        </w:numPr>
        <w:spacing w:line="440" w:lineRule="exact"/>
        <w:ind w:firstLine="241" w:firstLineChars="100"/>
        <w:outlineLvl w:val="9"/>
        <w:rPr>
          <w:rFonts w:hint="eastAsia" w:ascii="宋体" w:cs="宋体"/>
          <w:b/>
          <w:color w:val="auto"/>
          <w:sz w:val="24"/>
          <w:lang w:val="zh-CN"/>
        </w:rPr>
      </w:pPr>
      <w:r>
        <w:rPr>
          <w:rFonts w:hint="eastAsia" w:ascii="宋体" w:cs="宋体"/>
          <w:b/>
          <w:color w:val="auto"/>
          <w:sz w:val="24"/>
          <w:lang w:val="en-US" w:eastAsia="zh-CN"/>
        </w:rPr>
        <w:t>4.</w:t>
      </w:r>
      <w:r>
        <w:rPr>
          <w:rFonts w:hint="eastAsia" w:ascii="宋体" w:cs="宋体"/>
          <w:b/>
          <w:color w:val="auto"/>
          <w:sz w:val="24"/>
          <w:lang w:val="zh-CN"/>
        </w:rPr>
        <w:t>特别提示</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1、</w:t>
      </w:r>
      <w:r>
        <w:rPr>
          <w:rFonts w:hint="eastAsia" w:ascii="宋体" w:hAnsi="宋体" w:eastAsia="宋体" w:cs="宋体"/>
          <w:bCs/>
          <w:kern w:val="0"/>
          <w:sz w:val="28"/>
          <w:szCs w:val="28"/>
          <w:lang w:val="zh-CN" w:eastAsia="zh-CN" w:bidi="ar-SA"/>
        </w:rPr>
        <w:t>专利权：投标人应保证用户在使用该货物或其任何一部分时不受第三方提出侵犯其专利权、商标权和工业设计权等的起诉。</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2</w:t>
      </w:r>
      <w:r>
        <w:rPr>
          <w:rFonts w:hint="eastAsia" w:ascii="宋体" w:hAnsi="宋体" w:eastAsia="宋体" w:cs="宋体"/>
          <w:bCs/>
          <w:kern w:val="0"/>
          <w:sz w:val="28"/>
          <w:szCs w:val="28"/>
          <w:lang w:val="zh-CN" w:eastAsia="zh-CN" w:bidi="ar-SA"/>
        </w:rPr>
        <w:t>、各供应商在报价时，应充分考虑供货及售后服务所发生的费用，如果中标，不得再以任何理由要求追加费用。</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3</w:t>
      </w:r>
      <w:r>
        <w:rPr>
          <w:rFonts w:hint="eastAsia" w:ascii="宋体" w:hAnsi="宋体" w:eastAsia="宋体" w:cs="宋体"/>
          <w:bCs/>
          <w:kern w:val="0"/>
          <w:sz w:val="28"/>
          <w:szCs w:val="28"/>
          <w:lang w:val="zh-CN" w:eastAsia="zh-CN" w:bidi="ar-SA"/>
        </w:rPr>
        <w:t>、本招标文件的最终解释权归山东天马招标代理有限公司所有。</w:t>
      </w:r>
    </w:p>
    <w:p>
      <w:pPr>
        <w:pStyle w:val="2"/>
        <w:numPr>
          <w:ilvl w:val="0"/>
          <w:numId w:val="0"/>
        </w:numPr>
        <w:rPr>
          <w:rFonts w:hint="eastAsia" w:cs="宋体" w:asciiTheme="majorEastAsia" w:hAnsiTheme="majorEastAsia" w:eastAsiaTheme="majorEastAsia"/>
          <w:b/>
          <w:kern w:val="0"/>
          <w:sz w:val="32"/>
          <w:szCs w:val="32"/>
          <w:lang w:val="en-US" w:eastAsia="zh-CN" w:bidi="ar-SA"/>
        </w:rPr>
      </w:pPr>
      <w:r>
        <w:rPr>
          <w:rFonts w:hint="eastAsia" w:cs="宋体" w:asciiTheme="majorEastAsia" w:hAnsiTheme="majorEastAsia" w:eastAsiaTheme="majorEastAsia"/>
          <w:b/>
          <w:kern w:val="0"/>
          <w:sz w:val="32"/>
          <w:szCs w:val="32"/>
          <w:lang w:val="en-US" w:eastAsia="zh-CN" w:bidi="ar-SA"/>
        </w:rPr>
        <w:t>六、资格审查与评标办法、评标标准</w:t>
      </w:r>
    </w:p>
    <w:p>
      <w:pPr>
        <w:pStyle w:val="4"/>
        <w:keepNext w:val="0"/>
        <w:keepLines w:val="0"/>
        <w:pageBreakBefore w:val="0"/>
        <w:widowControl w:val="0"/>
        <w:kinsoku/>
        <w:wordWrap/>
        <w:overflowPunct/>
        <w:topLinePunct w:val="0"/>
        <w:bidi w:val="0"/>
        <w:spacing w:line="440" w:lineRule="exact"/>
        <w:ind w:left="0" w:leftChars="0" w:right="0" w:rightChars="0" w:firstLine="482" w:firstLineChars="200"/>
        <w:contextualSpacing/>
        <w:jc w:val="both"/>
        <w:textAlignment w:val="auto"/>
        <w:rPr>
          <w:rFonts w:cs="仿宋_GB2312" w:asciiTheme="minorEastAsia" w:hAnsiTheme="minorEastAsia"/>
          <w:b/>
          <w:color w:val="000000" w:themeColor="text1"/>
          <w:sz w:val="24"/>
          <w:szCs w:val="24"/>
          <w:highlight w:val="none"/>
          <w:lang w:val="zh-CN"/>
          <w14:textFill>
            <w14:solidFill>
              <w14:schemeClr w14:val="tx1"/>
            </w14:solidFill>
          </w14:textFill>
        </w:rPr>
      </w:pPr>
      <w:r>
        <w:rPr>
          <w:rFonts w:hint="eastAsia" w:cs="仿宋_GB2312" w:asciiTheme="minorEastAsia" w:hAnsiTheme="minorEastAsia"/>
          <w:b/>
          <w:color w:val="000000" w:themeColor="text1"/>
          <w:sz w:val="24"/>
          <w:szCs w:val="24"/>
          <w:highlight w:val="none"/>
          <w:lang w:val="en-US" w:eastAsia="zh-CN"/>
          <w14:textFill>
            <w14:solidFill>
              <w14:schemeClr w14:val="tx1"/>
            </w14:solidFill>
          </w14:textFill>
        </w:rPr>
        <w:t>(一）</w:t>
      </w:r>
      <w:r>
        <w:rPr>
          <w:rFonts w:hint="eastAsia" w:cs="仿宋_GB2312" w:asciiTheme="minorEastAsia" w:hAnsiTheme="minorEastAsia"/>
          <w:b/>
          <w:color w:val="000000" w:themeColor="text1"/>
          <w:sz w:val="24"/>
          <w:szCs w:val="24"/>
          <w:highlight w:val="none"/>
          <w:lang w:val="zh-CN"/>
          <w14:textFill>
            <w14:solidFill>
              <w14:schemeClr w14:val="tx1"/>
            </w14:solidFill>
          </w14:textFill>
        </w:rPr>
        <w:t>评分方法</w:t>
      </w:r>
    </w:p>
    <w:p>
      <w:pPr>
        <w:pStyle w:val="4"/>
        <w:keepNext w:val="0"/>
        <w:keepLines w:val="0"/>
        <w:pageBreakBefore w:val="0"/>
        <w:widowControl w:val="0"/>
        <w:kinsoku/>
        <w:wordWrap/>
        <w:overflowPunct/>
        <w:topLinePunct w:val="0"/>
        <w:bidi w:val="0"/>
        <w:spacing w:line="440" w:lineRule="exact"/>
        <w:ind w:left="0" w:leftChars="0" w:right="0" w:rightChars="0" w:firstLine="560" w:firstLineChars="200"/>
        <w:contextualSpacing/>
        <w:jc w:val="both"/>
        <w:textAlignment w:val="auto"/>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zh-CN" w:eastAsia="zh-CN" w:bidi="ar-SA"/>
        </w:rPr>
        <w:t>本项目采用综合评分法。总分为100分。</w:t>
      </w:r>
    </w:p>
    <w:p>
      <w:pPr>
        <w:pStyle w:val="4"/>
        <w:keepNext w:val="0"/>
        <w:keepLines w:val="0"/>
        <w:pageBreakBefore w:val="0"/>
        <w:widowControl w:val="0"/>
        <w:kinsoku/>
        <w:wordWrap/>
        <w:overflowPunct/>
        <w:topLinePunct w:val="0"/>
        <w:bidi w:val="0"/>
        <w:spacing w:line="440" w:lineRule="exact"/>
        <w:ind w:left="0" w:leftChars="0" w:right="0" w:rightChars="0" w:firstLine="482" w:firstLineChars="200"/>
        <w:contextualSpacing/>
        <w:jc w:val="both"/>
        <w:textAlignment w:val="auto"/>
        <w:rPr>
          <w:rFonts w:hint="eastAsia" w:ascii="宋体" w:hAnsi="宋体" w:cs="仿宋_GB2312"/>
          <w:b/>
          <w:color w:val="000000" w:themeColor="text1"/>
          <w:sz w:val="24"/>
          <w:szCs w:val="24"/>
          <w:lang w:val="zh-CN"/>
          <w14:textFill>
            <w14:solidFill>
              <w14:schemeClr w14:val="tx1"/>
            </w14:solidFill>
          </w14:textFill>
        </w:rPr>
      </w:pPr>
      <w:r>
        <w:rPr>
          <w:rFonts w:hint="eastAsia" w:ascii="宋体" w:hAnsi="宋体" w:cs="仿宋_GB2312"/>
          <w:b/>
          <w:color w:val="000000" w:themeColor="text1"/>
          <w:sz w:val="24"/>
          <w:szCs w:val="24"/>
          <w:lang w:val="zh-CN"/>
          <w14:textFill>
            <w14:solidFill>
              <w14:schemeClr w14:val="tx1"/>
            </w14:solidFill>
          </w14:textFill>
        </w:rPr>
        <w:t>（二）评标标准</w:t>
      </w:r>
    </w:p>
    <w:p>
      <w:pPr>
        <w:keepNext w:val="0"/>
        <w:keepLines w:val="0"/>
        <w:pageBreakBefore w:val="0"/>
        <w:widowControl w:val="0"/>
        <w:kinsoku/>
        <w:wordWrap/>
        <w:overflowPunct/>
        <w:topLinePunct w:val="0"/>
        <w:bidi w:val="0"/>
        <w:spacing w:line="440" w:lineRule="exact"/>
        <w:ind w:left="0" w:leftChars="0" w:right="0" w:rightChars="0" w:firstLine="482" w:firstLineChars="200"/>
        <w:jc w:val="both"/>
        <w:textAlignment w:val="auto"/>
        <w:outlineLvl w:val="9"/>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1.1</w:t>
      </w:r>
      <w:r>
        <w:rPr>
          <w:rFonts w:hint="eastAsia" w:ascii="宋体" w:hAnsi="宋体"/>
          <w:b/>
          <w:color w:val="000000" w:themeColor="text1"/>
          <w:sz w:val="24"/>
          <w:szCs w:val="24"/>
          <w14:textFill>
            <w14:solidFill>
              <w14:schemeClr w14:val="tx1"/>
            </w14:solidFill>
          </w14:textFill>
        </w:rPr>
        <w:t>信誉</w:t>
      </w: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5</w:t>
      </w:r>
      <w:r>
        <w:rPr>
          <w:rFonts w:hint="eastAsia" w:ascii="宋体" w:hAnsi="宋体"/>
          <w:b/>
          <w:color w:val="000000" w:themeColor="text1"/>
          <w:sz w:val="24"/>
          <w:szCs w:val="24"/>
          <w14:textFill>
            <w14:solidFill>
              <w14:schemeClr w14:val="tx1"/>
            </w14:solidFill>
          </w14:textFill>
        </w:rPr>
        <w:t>分</w:t>
      </w:r>
      <w:r>
        <w:rPr>
          <w:rFonts w:hint="eastAsia" w:ascii="宋体" w:hAnsi="宋体"/>
          <w:b/>
          <w:color w:val="000000" w:themeColor="text1"/>
          <w:sz w:val="24"/>
          <w:szCs w:val="24"/>
          <w:lang w:eastAsia="zh-CN"/>
          <w14:textFill>
            <w14:solidFill>
              <w14:schemeClr w14:val="tx1"/>
            </w14:solidFill>
          </w14:textFill>
        </w:rPr>
        <w:t>）</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1.1.</w:t>
      </w:r>
      <w:r>
        <w:rPr>
          <w:rFonts w:hint="eastAsia" w:ascii="宋体" w:hAnsi="宋体" w:eastAsia="宋体" w:cs="宋体"/>
          <w:bCs/>
          <w:kern w:val="0"/>
          <w:sz w:val="28"/>
          <w:szCs w:val="28"/>
          <w:lang w:val="zh-CN" w:eastAsia="zh-CN" w:bidi="ar-SA"/>
        </w:rPr>
        <w:t>1</w:t>
      </w:r>
      <w:r>
        <w:rPr>
          <w:rFonts w:hint="eastAsia" w:ascii="宋体" w:hAnsi="宋体" w:eastAsia="宋体" w:cs="宋体"/>
          <w:bCs/>
          <w:kern w:val="0"/>
          <w:sz w:val="28"/>
          <w:szCs w:val="28"/>
          <w:lang w:val="en-US" w:eastAsia="zh-CN" w:bidi="ar-SA"/>
        </w:rPr>
        <w:t xml:space="preserve"> </w:t>
      </w:r>
      <w:r>
        <w:rPr>
          <w:rFonts w:hint="eastAsia" w:ascii="宋体" w:hAnsi="宋体" w:eastAsia="宋体" w:cs="宋体"/>
          <w:bCs/>
          <w:kern w:val="0"/>
          <w:sz w:val="28"/>
          <w:szCs w:val="28"/>
          <w:lang w:val="zh-CN" w:eastAsia="zh-CN" w:bidi="ar-SA"/>
        </w:rPr>
        <w:t>投标人具有ISO9001质量管理体系认证、ISO14001环境管理体系认证、OHSAS18001职业健康安全管理体系认证者，每个得</w:t>
      </w:r>
      <w:r>
        <w:rPr>
          <w:rFonts w:hint="eastAsia" w:ascii="宋体" w:hAnsi="宋体" w:eastAsia="宋体" w:cs="宋体"/>
          <w:bCs/>
          <w:kern w:val="0"/>
          <w:sz w:val="28"/>
          <w:szCs w:val="28"/>
          <w:lang w:val="en-US" w:eastAsia="zh-CN" w:bidi="ar-SA"/>
        </w:rPr>
        <w:t>1分，本项最高得3分。</w:t>
      </w:r>
      <w:r>
        <w:rPr>
          <w:rFonts w:hint="eastAsia" w:ascii="宋体" w:hAnsi="宋体" w:eastAsia="宋体" w:cs="宋体"/>
          <w:bCs/>
          <w:kern w:val="0"/>
          <w:sz w:val="28"/>
          <w:szCs w:val="28"/>
          <w:lang w:val="zh-CN" w:eastAsia="zh-CN" w:bidi="ar-SA"/>
        </w:rPr>
        <w:t>（查询地址：http//cx.cnca.cn）。</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1.1</w:t>
      </w:r>
      <w:r>
        <w:rPr>
          <w:rFonts w:hint="eastAsia" w:ascii="宋体" w:hAnsi="宋体" w:eastAsia="宋体" w:cs="宋体"/>
          <w:bCs/>
          <w:kern w:val="0"/>
          <w:sz w:val="28"/>
          <w:szCs w:val="28"/>
          <w:lang w:val="zh-CN" w:eastAsia="zh-CN" w:bidi="ar-SA"/>
        </w:rPr>
        <w:t>.</w:t>
      </w:r>
      <w:r>
        <w:rPr>
          <w:rFonts w:hint="eastAsia" w:ascii="宋体" w:hAnsi="宋体" w:eastAsia="宋体" w:cs="宋体"/>
          <w:bCs/>
          <w:kern w:val="0"/>
          <w:sz w:val="28"/>
          <w:szCs w:val="28"/>
          <w:lang w:val="en-US" w:eastAsia="zh-CN" w:bidi="ar-SA"/>
        </w:rPr>
        <w:t xml:space="preserve">2 </w:t>
      </w:r>
      <w:r>
        <w:rPr>
          <w:rFonts w:hint="eastAsia" w:ascii="宋体" w:hAnsi="宋体" w:eastAsia="宋体" w:cs="宋体"/>
          <w:bCs/>
          <w:kern w:val="0"/>
          <w:sz w:val="28"/>
          <w:szCs w:val="28"/>
          <w:lang w:val="zh-CN" w:eastAsia="zh-CN" w:bidi="ar-SA"/>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满分2分。</w:t>
      </w:r>
    </w:p>
    <w:p>
      <w:pPr>
        <w:keepNext w:val="0"/>
        <w:keepLines w:val="0"/>
        <w:pageBreakBefore w:val="0"/>
        <w:widowControl w:val="0"/>
        <w:kinsoku/>
        <w:wordWrap/>
        <w:overflowPunct/>
        <w:topLinePunct w:val="0"/>
        <w:bidi w:val="0"/>
        <w:spacing w:line="440" w:lineRule="exact"/>
        <w:ind w:left="0" w:leftChars="0" w:right="0" w:rightChars="0" w:firstLine="482" w:firstLineChars="200"/>
        <w:jc w:val="both"/>
        <w:textAlignment w:val="auto"/>
        <w:outlineLvl w:val="9"/>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2.2</w:t>
      </w:r>
      <w:r>
        <w:rPr>
          <w:rFonts w:hint="eastAsia" w:ascii="宋体" w:hAnsi="宋体"/>
          <w:b/>
          <w:color w:val="000000" w:themeColor="text1"/>
          <w:sz w:val="24"/>
          <w:szCs w:val="24"/>
          <w:lang w:val="zh-CN"/>
          <w14:textFill>
            <w14:solidFill>
              <w14:schemeClr w14:val="tx1"/>
            </w14:solidFill>
          </w14:textFill>
        </w:rPr>
        <w:t>服务承诺</w:t>
      </w: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6</w:t>
      </w:r>
      <w:r>
        <w:rPr>
          <w:rFonts w:hint="eastAsia" w:ascii="宋体" w:hAnsi="宋体"/>
          <w:b/>
          <w:color w:val="000000" w:themeColor="text1"/>
          <w:sz w:val="24"/>
          <w:szCs w:val="24"/>
          <w14:textFill>
            <w14:solidFill>
              <w14:schemeClr w14:val="tx1"/>
            </w14:solidFill>
          </w14:textFill>
        </w:rPr>
        <w:t>分</w:t>
      </w:r>
      <w:r>
        <w:rPr>
          <w:rFonts w:hint="eastAsia" w:ascii="宋体" w:hAnsi="宋体"/>
          <w:b/>
          <w:color w:val="000000" w:themeColor="text1"/>
          <w:sz w:val="24"/>
          <w:szCs w:val="24"/>
          <w:lang w:eastAsia="zh-CN"/>
          <w14:textFill>
            <w14:solidFill>
              <w14:schemeClr w14:val="tx1"/>
            </w14:solidFill>
          </w14:textFill>
        </w:rPr>
        <w:t>）</w:t>
      </w:r>
    </w:p>
    <w:p>
      <w:pPr>
        <w:spacing w:line="440" w:lineRule="exact"/>
        <w:ind w:firstLine="420" w:firstLineChars="0"/>
        <w:outlineLvl w:val="9"/>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zh-CN" w:eastAsia="zh-CN" w:bidi="ar-SA"/>
        </w:rPr>
        <w:t>投标人向招标人承诺服务保障措施是否制定、承诺服务标准及售后服务承诺是否完善合理横向比较，</w:t>
      </w:r>
      <w:r>
        <w:rPr>
          <w:rFonts w:hint="eastAsia" w:ascii="宋体" w:hAnsi="宋体" w:eastAsia="宋体" w:cs="宋体"/>
          <w:bCs/>
          <w:kern w:val="0"/>
          <w:sz w:val="28"/>
          <w:szCs w:val="28"/>
          <w:lang w:val="en-US" w:eastAsia="zh-CN" w:bidi="ar-SA"/>
        </w:rPr>
        <w:t>好6分，较好4分，一般2分，不提供者不得分。</w:t>
      </w:r>
    </w:p>
    <w:p>
      <w:pPr>
        <w:keepNext w:val="0"/>
        <w:keepLines w:val="0"/>
        <w:pageBreakBefore w:val="0"/>
        <w:widowControl w:val="0"/>
        <w:kinsoku/>
        <w:wordWrap/>
        <w:overflowPunct/>
        <w:topLinePunct w:val="0"/>
        <w:bidi w:val="0"/>
        <w:spacing w:line="440" w:lineRule="exact"/>
        <w:ind w:left="0" w:leftChars="0" w:right="0" w:rightChars="0" w:firstLine="482" w:firstLineChars="200"/>
        <w:jc w:val="both"/>
        <w:textAlignment w:val="auto"/>
        <w:outlineLvl w:val="9"/>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2.3</w:t>
      </w:r>
      <w:r>
        <w:rPr>
          <w:rFonts w:hint="eastAsia" w:ascii="宋体" w:hAnsi="宋体"/>
          <w:b/>
          <w:color w:val="000000" w:themeColor="text1"/>
          <w:sz w:val="24"/>
          <w:szCs w:val="24"/>
          <w14:textFill>
            <w14:solidFill>
              <w14:schemeClr w14:val="tx1"/>
            </w14:solidFill>
          </w14:textFill>
        </w:rPr>
        <w:t xml:space="preserve"> 业绩</w:t>
      </w: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6</w:t>
      </w:r>
      <w:r>
        <w:rPr>
          <w:rFonts w:hint="eastAsia" w:ascii="宋体" w:hAnsi="宋体"/>
          <w:b/>
          <w:color w:val="000000" w:themeColor="text1"/>
          <w:sz w:val="24"/>
          <w:szCs w:val="24"/>
          <w14:textFill>
            <w14:solidFill>
              <w14:schemeClr w14:val="tx1"/>
            </w14:solidFill>
          </w14:textFill>
        </w:rPr>
        <w:t>分</w:t>
      </w:r>
      <w:r>
        <w:rPr>
          <w:rFonts w:hint="eastAsia" w:ascii="宋体" w:hAnsi="宋体"/>
          <w:b/>
          <w:color w:val="000000" w:themeColor="text1"/>
          <w:sz w:val="24"/>
          <w:szCs w:val="24"/>
          <w:lang w:eastAsia="zh-CN"/>
          <w14:textFill>
            <w14:solidFill>
              <w14:schemeClr w14:val="tx1"/>
            </w14:solidFill>
          </w14:textFill>
        </w:rPr>
        <w:t>）</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zh-CN" w:eastAsia="zh-CN" w:bidi="ar-SA"/>
        </w:rPr>
        <w:t>投标人2014年以来具有类似项目业绩：单项合同金额在</w:t>
      </w:r>
      <w:r>
        <w:rPr>
          <w:rFonts w:hint="eastAsia" w:ascii="宋体" w:hAnsi="宋体" w:eastAsia="宋体" w:cs="宋体"/>
          <w:bCs/>
          <w:kern w:val="0"/>
          <w:sz w:val="28"/>
          <w:szCs w:val="28"/>
          <w:lang w:val="en-US" w:eastAsia="zh-CN" w:bidi="ar-SA"/>
        </w:rPr>
        <w:t>70</w:t>
      </w:r>
      <w:r>
        <w:rPr>
          <w:rFonts w:hint="eastAsia" w:ascii="宋体" w:hAnsi="宋体" w:eastAsia="宋体" w:cs="宋体"/>
          <w:bCs/>
          <w:kern w:val="0"/>
          <w:sz w:val="28"/>
          <w:szCs w:val="28"/>
          <w:lang w:val="zh-CN" w:eastAsia="zh-CN" w:bidi="ar-SA"/>
        </w:rPr>
        <w:t>万元（含）以上者，每个合同得</w:t>
      </w:r>
      <w:r>
        <w:rPr>
          <w:rFonts w:hint="eastAsia" w:ascii="宋体" w:hAnsi="宋体" w:eastAsia="宋体" w:cs="宋体"/>
          <w:bCs/>
          <w:kern w:val="0"/>
          <w:sz w:val="28"/>
          <w:szCs w:val="28"/>
          <w:lang w:val="en-US" w:eastAsia="zh-CN" w:bidi="ar-SA"/>
        </w:rPr>
        <w:t>2</w:t>
      </w:r>
      <w:r>
        <w:rPr>
          <w:rFonts w:hint="eastAsia" w:ascii="宋体" w:hAnsi="宋体" w:eastAsia="宋体" w:cs="宋体"/>
          <w:bCs/>
          <w:kern w:val="0"/>
          <w:sz w:val="28"/>
          <w:szCs w:val="28"/>
          <w:lang w:val="zh-CN" w:eastAsia="zh-CN" w:bidi="ar-SA"/>
        </w:rPr>
        <w:t>分。满分为</w:t>
      </w:r>
      <w:r>
        <w:rPr>
          <w:rFonts w:hint="eastAsia" w:ascii="宋体" w:hAnsi="宋体" w:eastAsia="宋体" w:cs="宋体"/>
          <w:bCs/>
          <w:kern w:val="0"/>
          <w:sz w:val="28"/>
          <w:szCs w:val="28"/>
          <w:lang w:val="en-US" w:eastAsia="zh-CN" w:bidi="ar-SA"/>
        </w:rPr>
        <w:t>6</w:t>
      </w:r>
      <w:r>
        <w:rPr>
          <w:rFonts w:hint="eastAsia" w:ascii="宋体" w:hAnsi="宋体" w:eastAsia="宋体" w:cs="宋体"/>
          <w:bCs/>
          <w:kern w:val="0"/>
          <w:sz w:val="28"/>
          <w:szCs w:val="28"/>
          <w:lang w:val="zh-CN" w:eastAsia="zh-CN" w:bidi="ar-SA"/>
        </w:rPr>
        <w:t>分。</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firstLine="480"/>
        <w:jc w:val="both"/>
        <w:textAlignment w:val="auto"/>
        <w:outlineLvl w:val="9"/>
        <w:rPr>
          <w:rFonts w:hint="eastAsia" w:ascii="宋体" w:cs="宋体"/>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2.4 项目班子配备（7分）</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2.4.1根据项目班子配备及相关人员能力，按合理性对比分档打分，</w:t>
      </w:r>
      <w:r>
        <w:rPr>
          <w:rFonts w:hint="eastAsia" w:ascii="宋体" w:hAnsi="宋体" w:eastAsia="宋体" w:cs="宋体"/>
          <w:bCs/>
          <w:kern w:val="0"/>
          <w:sz w:val="28"/>
          <w:szCs w:val="28"/>
          <w:lang w:val="zh-CN" w:eastAsia="zh-CN" w:bidi="ar-SA"/>
        </w:rPr>
        <w:t>好</w:t>
      </w:r>
      <w:r>
        <w:rPr>
          <w:rFonts w:hint="eastAsia" w:ascii="宋体" w:hAnsi="宋体" w:eastAsia="宋体" w:cs="宋体"/>
          <w:bCs/>
          <w:kern w:val="0"/>
          <w:sz w:val="28"/>
          <w:szCs w:val="28"/>
          <w:lang w:val="en-US" w:eastAsia="zh-CN" w:bidi="ar-SA"/>
        </w:rPr>
        <w:t>3</w:t>
      </w:r>
      <w:r>
        <w:rPr>
          <w:rFonts w:hint="eastAsia" w:ascii="宋体" w:hAnsi="宋体" w:eastAsia="宋体" w:cs="宋体"/>
          <w:bCs/>
          <w:kern w:val="0"/>
          <w:sz w:val="28"/>
          <w:szCs w:val="28"/>
          <w:lang w:val="zh-CN" w:eastAsia="zh-CN" w:bidi="ar-SA"/>
        </w:rPr>
        <w:t>分，较好</w:t>
      </w:r>
      <w:r>
        <w:rPr>
          <w:rFonts w:hint="eastAsia" w:ascii="宋体" w:hAnsi="宋体" w:eastAsia="宋体" w:cs="宋体"/>
          <w:bCs/>
          <w:kern w:val="0"/>
          <w:sz w:val="28"/>
          <w:szCs w:val="28"/>
          <w:lang w:val="en-US" w:eastAsia="zh-CN" w:bidi="ar-SA"/>
        </w:rPr>
        <w:t>2</w:t>
      </w:r>
      <w:r>
        <w:rPr>
          <w:rFonts w:hint="eastAsia" w:ascii="宋体" w:hAnsi="宋体" w:eastAsia="宋体" w:cs="宋体"/>
          <w:bCs/>
          <w:kern w:val="0"/>
          <w:sz w:val="28"/>
          <w:szCs w:val="28"/>
          <w:lang w:val="zh-CN" w:eastAsia="zh-CN" w:bidi="ar-SA"/>
        </w:rPr>
        <w:t>分，一般</w:t>
      </w:r>
      <w:r>
        <w:rPr>
          <w:rFonts w:hint="eastAsia" w:ascii="宋体" w:hAnsi="宋体" w:eastAsia="宋体" w:cs="宋体"/>
          <w:bCs/>
          <w:kern w:val="0"/>
          <w:sz w:val="28"/>
          <w:szCs w:val="28"/>
          <w:lang w:val="en-US" w:eastAsia="zh-CN" w:bidi="ar-SA"/>
        </w:rPr>
        <w:t>1</w:t>
      </w:r>
      <w:r>
        <w:rPr>
          <w:rFonts w:hint="eastAsia" w:ascii="宋体" w:hAnsi="宋体" w:eastAsia="宋体" w:cs="宋体"/>
          <w:bCs/>
          <w:kern w:val="0"/>
          <w:sz w:val="28"/>
          <w:szCs w:val="28"/>
          <w:lang w:val="zh-CN" w:eastAsia="zh-CN" w:bidi="ar-SA"/>
        </w:rPr>
        <w:t>分，差0分。</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2.4.2根据主要专业技术管理人员及项目组成人员专业配备及数量是否合理进行打分，好4分，较好3分，一般2分，</w:t>
      </w:r>
      <w:r>
        <w:rPr>
          <w:rFonts w:hint="eastAsia" w:ascii="宋体" w:hAnsi="宋体" w:eastAsia="宋体" w:cs="宋体"/>
          <w:bCs/>
          <w:kern w:val="0"/>
          <w:sz w:val="28"/>
          <w:szCs w:val="28"/>
          <w:lang w:val="zh-CN" w:eastAsia="zh-CN" w:bidi="ar-SA"/>
        </w:rPr>
        <w:t>差</w:t>
      </w:r>
      <w:r>
        <w:rPr>
          <w:rFonts w:hint="eastAsia" w:ascii="宋体" w:hAnsi="宋体" w:eastAsia="宋体" w:cs="宋体"/>
          <w:bCs/>
          <w:kern w:val="0"/>
          <w:sz w:val="28"/>
          <w:szCs w:val="28"/>
          <w:lang w:val="en-US" w:eastAsia="zh-CN" w:bidi="ar-SA"/>
        </w:rPr>
        <w:t>0分。</w:t>
      </w:r>
    </w:p>
    <w:p>
      <w:pPr>
        <w:keepNext w:val="0"/>
        <w:keepLines w:val="0"/>
        <w:pageBreakBefore w:val="0"/>
        <w:widowControl w:val="0"/>
        <w:kinsoku/>
        <w:wordWrap/>
        <w:overflowPunct/>
        <w:topLinePunct w:val="0"/>
        <w:bidi w:val="0"/>
        <w:spacing w:line="440" w:lineRule="exact"/>
        <w:ind w:left="0" w:leftChars="0" w:right="0" w:rightChars="0" w:firstLine="482" w:firstLineChars="200"/>
        <w:jc w:val="both"/>
        <w:textAlignment w:val="auto"/>
        <w:rPr>
          <w:rFonts w:hint="eastAsia" w:ascii="宋体" w:hAnsi="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2.5企业规章</w:t>
      </w:r>
      <w:r>
        <w:rPr>
          <w:rFonts w:hint="eastAsia" w:ascii="宋体" w:hAnsi="宋体"/>
          <w:b/>
          <w:color w:val="000000" w:themeColor="text1"/>
          <w:sz w:val="24"/>
          <w:szCs w:val="24"/>
          <w14:textFill>
            <w14:solidFill>
              <w14:schemeClr w14:val="tx1"/>
            </w14:solidFill>
          </w14:textFill>
        </w:rPr>
        <w:t>制度与措施</w:t>
      </w: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6分）</w:t>
      </w:r>
    </w:p>
    <w:p>
      <w:pPr>
        <w:spacing w:line="440" w:lineRule="exact"/>
        <w:ind w:firstLine="420" w:firstLineChars="0"/>
        <w:outlineLvl w:val="9"/>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根据企业规章制度是否精细、严谨程度、可操作性及完善程度进行分档打分，好6分，较好，4分，一般2分，不提供者不得分。</w:t>
      </w:r>
    </w:p>
    <w:p>
      <w:pPr>
        <w:keepNext w:val="0"/>
        <w:keepLines w:val="0"/>
        <w:pageBreakBefore w:val="0"/>
        <w:widowControl w:val="0"/>
        <w:kinsoku/>
        <w:wordWrap/>
        <w:overflowPunct/>
        <w:topLinePunct w:val="0"/>
        <w:bidi w:val="0"/>
        <w:spacing w:line="440" w:lineRule="exact"/>
        <w:ind w:left="0" w:leftChars="0" w:right="0" w:rightChars="0" w:firstLine="482" w:firstLineChars="200"/>
        <w:jc w:val="both"/>
        <w:textAlignment w:val="auto"/>
        <w:outlineLvl w:val="9"/>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2.6</w:t>
      </w:r>
      <w:r>
        <w:rPr>
          <w:rFonts w:hint="eastAsia" w:ascii="宋体" w:hAnsi="宋体"/>
          <w:b/>
          <w:color w:val="000000" w:themeColor="text1"/>
          <w:sz w:val="24"/>
          <w:szCs w:val="24"/>
          <w14:textFill>
            <w14:solidFill>
              <w14:schemeClr w14:val="tx1"/>
            </w14:solidFill>
          </w14:textFill>
        </w:rPr>
        <w:t>对招标文件的响应程度</w:t>
      </w: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b/>
          <w:color w:val="000000" w:themeColor="text1"/>
          <w:sz w:val="24"/>
          <w:szCs w:val="24"/>
          <w14:textFill>
            <w14:solidFill>
              <w14:schemeClr w14:val="tx1"/>
            </w14:solidFill>
          </w14:textFill>
        </w:rPr>
        <w:t>分</w:t>
      </w:r>
      <w:r>
        <w:rPr>
          <w:rFonts w:hint="eastAsia" w:ascii="宋体" w:hAnsi="宋体"/>
          <w:b/>
          <w:color w:val="000000" w:themeColor="text1"/>
          <w:sz w:val="24"/>
          <w:szCs w:val="24"/>
          <w:lang w:eastAsia="zh-CN"/>
          <w14:textFill>
            <w14:solidFill>
              <w14:schemeClr w14:val="tx1"/>
            </w14:solidFill>
          </w14:textFill>
        </w:rPr>
        <w:t>）</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2.6.</w:t>
      </w:r>
      <w:r>
        <w:rPr>
          <w:rFonts w:hint="eastAsia" w:ascii="宋体" w:hAnsi="宋体" w:eastAsia="宋体" w:cs="宋体"/>
          <w:bCs/>
          <w:kern w:val="0"/>
          <w:sz w:val="28"/>
          <w:szCs w:val="28"/>
          <w:lang w:val="zh-CN" w:eastAsia="zh-CN" w:bidi="ar-SA"/>
        </w:rPr>
        <w:t>1根据投标人提供投标产品图册、质量等成分说明、外观、工艺水平等横向比较，好15分，较好</w:t>
      </w:r>
      <w:r>
        <w:rPr>
          <w:rFonts w:hint="eastAsia" w:ascii="宋体" w:hAnsi="宋体" w:eastAsia="宋体" w:cs="宋体"/>
          <w:bCs/>
          <w:kern w:val="0"/>
          <w:sz w:val="28"/>
          <w:szCs w:val="28"/>
          <w:lang w:val="en-US" w:eastAsia="zh-CN" w:bidi="ar-SA"/>
        </w:rPr>
        <w:t>10</w:t>
      </w:r>
      <w:r>
        <w:rPr>
          <w:rFonts w:hint="eastAsia" w:ascii="宋体" w:hAnsi="宋体" w:eastAsia="宋体" w:cs="宋体"/>
          <w:bCs/>
          <w:kern w:val="0"/>
          <w:sz w:val="28"/>
          <w:szCs w:val="28"/>
          <w:lang w:val="zh-CN" w:eastAsia="zh-CN" w:bidi="ar-SA"/>
        </w:rPr>
        <w:t>分，一般</w:t>
      </w:r>
      <w:r>
        <w:rPr>
          <w:rFonts w:hint="eastAsia" w:ascii="宋体" w:hAnsi="宋体" w:eastAsia="宋体" w:cs="宋体"/>
          <w:bCs/>
          <w:kern w:val="0"/>
          <w:sz w:val="28"/>
          <w:szCs w:val="28"/>
          <w:lang w:val="en-US" w:eastAsia="zh-CN" w:bidi="ar-SA"/>
        </w:rPr>
        <w:t>5</w:t>
      </w:r>
      <w:r>
        <w:rPr>
          <w:rFonts w:hint="eastAsia" w:ascii="宋体" w:hAnsi="宋体" w:eastAsia="宋体" w:cs="宋体"/>
          <w:bCs/>
          <w:kern w:val="0"/>
          <w:sz w:val="28"/>
          <w:szCs w:val="28"/>
          <w:lang w:val="zh-CN" w:eastAsia="zh-CN" w:bidi="ar-SA"/>
        </w:rPr>
        <w:t>分，不响应者不得分。</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en-US" w:eastAsia="zh-CN" w:bidi="ar-SA"/>
        </w:rPr>
        <w:t>2.6</w:t>
      </w:r>
      <w:r>
        <w:rPr>
          <w:rFonts w:hint="eastAsia" w:ascii="宋体" w:hAnsi="宋体" w:eastAsia="宋体" w:cs="宋体"/>
          <w:bCs/>
          <w:kern w:val="0"/>
          <w:sz w:val="28"/>
          <w:szCs w:val="28"/>
          <w:lang w:val="zh-CN" w:eastAsia="zh-CN" w:bidi="ar-SA"/>
        </w:rPr>
        <w:t>.2</w:t>
      </w:r>
      <w:r>
        <w:rPr>
          <w:rFonts w:hint="eastAsia" w:ascii="宋体" w:hAnsi="宋体" w:eastAsia="宋体" w:cs="宋体"/>
          <w:bCs/>
          <w:kern w:val="0"/>
          <w:sz w:val="28"/>
          <w:szCs w:val="28"/>
          <w:lang w:val="en-US" w:eastAsia="zh-CN" w:bidi="ar-SA"/>
        </w:rPr>
        <w:t>针对本项目的技术服务方案及工艺流程说明分档打分，</w:t>
      </w:r>
      <w:r>
        <w:rPr>
          <w:rFonts w:hint="eastAsia" w:ascii="宋体" w:hAnsi="宋体" w:eastAsia="宋体" w:cs="宋体"/>
          <w:bCs/>
          <w:kern w:val="0"/>
          <w:sz w:val="28"/>
          <w:szCs w:val="28"/>
          <w:lang w:val="zh-CN" w:eastAsia="zh-CN" w:bidi="ar-SA"/>
        </w:rPr>
        <w:t>好15分，较好</w:t>
      </w:r>
      <w:r>
        <w:rPr>
          <w:rFonts w:hint="eastAsia" w:ascii="宋体" w:hAnsi="宋体" w:eastAsia="宋体" w:cs="宋体"/>
          <w:bCs/>
          <w:kern w:val="0"/>
          <w:sz w:val="28"/>
          <w:szCs w:val="28"/>
          <w:lang w:val="en-US" w:eastAsia="zh-CN" w:bidi="ar-SA"/>
        </w:rPr>
        <w:t>10</w:t>
      </w:r>
      <w:r>
        <w:rPr>
          <w:rFonts w:hint="eastAsia" w:ascii="宋体" w:hAnsi="宋体" w:eastAsia="宋体" w:cs="宋体"/>
          <w:bCs/>
          <w:kern w:val="0"/>
          <w:sz w:val="28"/>
          <w:szCs w:val="28"/>
          <w:lang w:val="zh-CN" w:eastAsia="zh-CN" w:bidi="ar-SA"/>
        </w:rPr>
        <w:t>分，一般</w:t>
      </w:r>
      <w:r>
        <w:rPr>
          <w:rFonts w:hint="eastAsia" w:ascii="宋体" w:hAnsi="宋体" w:eastAsia="宋体" w:cs="宋体"/>
          <w:bCs/>
          <w:kern w:val="0"/>
          <w:sz w:val="28"/>
          <w:szCs w:val="28"/>
          <w:lang w:val="en-US" w:eastAsia="zh-CN" w:bidi="ar-SA"/>
        </w:rPr>
        <w:t>5</w:t>
      </w:r>
      <w:r>
        <w:rPr>
          <w:rFonts w:hint="eastAsia" w:ascii="宋体" w:hAnsi="宋体" w:eastAsia="宋体" w:cs="宋体"/>
          <w:bCs/>
          <w:kern w:val="0"/>
          <w:sz w:val="28"/>
          <w:szCs w:val="28"/>
          <w:lang w:val="zh-CN" w:eastAsia="zh-CN" w:bidi="ar-SA"/>
        </w:rPr>
        <w:t>分，不响应者不得分。</w:t>
      </w:r>
    </w:p>
    <w:p>
      <w:pPr>
        <w:keepNext w:val="0"/>
        <w:keepLines w:val="0"/>
        <w:pageBreakBefore w:val="0"/>
        <w:widowControl w:val="0"/>
        <w:kinsoku/>
        <w:wordWrap/>
        <w:overflowPunct/>
        <w:topLinePunct w:val="0"/>
        <w:bidi w:val="0"/>
        <w:spacing w:line="440" w:lineRule="exact"/>
        <w:ind w:left="0" w:leftChars="0" w:right="0" w:rightChars="0" w:firstLine="482" w:firstLineChars="200"/>
        <w:jc w:val="both"/>
        <w:textAlignment w:val="auto"/>
        <w:outlineLvl w:val="9"/>
        <w:rPr>
          <w:rFonts w:hint="eastAsia" w:ascii="宋体" w:hAnsi="宋体"/>
          <w:b/>
          <w:color w:val="auto"/>
          <w:sz w:val="24"/>
          <w:szCs w:val="24"/>
        </w:rPr>
      </w:pPr>
      <w:r>
        <w:rPr>
          <w:rFonts w:hint="eastAsia" w:ascii="宋体" w:hAnsi="宋体"/>
          <w:b/>
          <w:color w:val="auto"/>
          <w:sz w:val="24"/>
          <w:szCs w:val="24"/>
          <w:lang w:val="en-US" w:eastAsia="zh-CN"/>
        </w:rPr>
        <w:t>2.7</w:t>
      </w:r>
      <w:r>
        <w:rPr>
          <w:rFonts w:hint="eastAsia" w:ascii="宋体" w:hAnsi="宋体"/>
          <w:b/>
          <w:color w:val="auto"/>
          <w:sz w:val="24"/>
          <w:szCs w:val="24"/>
        </w:rPr>
        <w:t>投标报价</w:t>
      </w:r>
      <w:r>
        <w:rPr>
          <w:rFonts w:hint="eastAsia" w:ascii="宋体" w:hAnsi="宋体"/>
          <w:b/>
          <w:color w:val="auto"/>
          <w:sz w:val="24"/>
          <w:szCs w:val="24"/>
          <w:lang w:val="en-US" w:eastAsia="zh-CN"/>
        </w:rPr>
        <w:t>4</w:t>
      </w:r>
      <w:r>
        <w:rPr>
          <w:rFonts w:hint="eastAsia" w:ascii="宋体" w:hAnsi="宋体"/>
          <w:b/>
          <w:color w:val="auto"/>
          <w:sz w:val="24"/>
          <w:szCs w:val="24"/>
        </w:rPr>
        <w:t>0分</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zh-CN" w:eastAsia="zh-CN" w:bidi="ar-SA"/>
        </w:rPr>
        <w:t>投标报价得分计算公式：</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zh-CN" w:eastAsia="zh-CN" w:bidi="ar-SA"/>
        </w:rPr>
        <w:t>（1）评标价=投标报价按政策规定折扣后的价格；</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zh-CN" w:eastAsia="zh-CN" w:bidi="ar-SA"/>
        </w:rPr>
        <w:t>（2）评标价得分=（评标基准价/评标价）×</w:t>
      </w:r>
      <w:r>
        <w:rPr>
          <w:rFonts w:hint="eastAsia" w:ascii="宋体" w:hAnsi="宋体" w:eastAsia="宋体" w:cs="宋体"/>
          <w:bCs/>
          <w:kern w:val="0"/>
          <w:sz w:val="28"/>
          <w:szCs w:val="28"/>
          <w:lang w:val="en-US" w:eastAsia="zh-CN" w:bidi="ar-SA"/>
        </w:rPr>
        <w:t>4</w:t>
      </w:r>
      <w:r>
        <w:rPr>
          <w:rFonts w:hint="eastAsia" w:ascii="宋体" w:hAnsi="宋体" w:eastAsia="宋体" w:cs="宋体"/>
          <w:bCs/>
          <w:kern w:val="0"/>
          <w:sz w:val="28"/>
          <w:szCs w:val="28"/>
          <w:lang w:val="zh-CN" w:eastAsia="zh-CN" w:bidi="ar-SA"/>
        </w:rPr>
        <w:t>0。</w:t>
      </w:r>
    </w:p>
    <w:p>
      <w:pPr>
        <w:spacing w:line="440" w:lineRule="exact"/>
        <w:ind w:firstLine="420" w:firstLineChars="0"/>
        <w:outlineLvl w:val="9"/>
        <w:rPr>
          <w:rFonts w:hint="eastAsia" w:ascii="宋体" w:hAnsi="宋体" w:eastAsia="宋体" w:cs="宋体"/>
          <w:bCs/>
          <w:kern w:val="0"/>
          <w:sz w:val="28"/>
          <w:szCs w:val="28"/>
          <w:lang w:val="zh-CN" w:eastAsia="zh-CN" w:bidi="ar-SA"/>
        </w:rPr>
      </w:pPr>
      <w:r>
        <w:rPr>
          <w:rFonts w:hint="eastAsia" w:ascii="宋体" w:hAnsi="宋体" w:eastAsia="宋体" w:cs="宋体"/>
          <w:bCs/>
          <w:kern w:val="0"/>
          <w:sz w:val="28"/>
          <w:szCs w:val="28"/>
          <w:lang w:val="zh-CN" w:eastAsia="zh-CN" w:bidi="ar-SA"/>
        </w:rPr>
        <w:t>评标基准价：满足招标文件要求的有效投标报价中，最低的投标报价为评标基准价。</w:t>
      </w:r>
      <w:bookmarkStart w:id="0" w:name="_GoBack"/>
      <w:bookmarkEnd w:id="0"/>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jc w:val="both"/>
        <w:textAlignment w:val="auto"/>
        <w:rPr>
          <w:rFonts w:ascii="宋体" w:hAnsi="宋体" w:eastAsia="宋体" w:cs="仿宋_GB2312"/>
          <w:b/>
          <w:bCs/>
          <w:color w:val="auto"/>
          <w:sz w:val="24"/>
          <w:szCs w:val="24"/>
        </w:rPr>
      </w:pPr>
      <w:r>
        <w:rPr>
          <w:rFonts w:hint="eastAsia" w:ascii="宋体" w:hAnsi="宋体" w:eastAsia="宋体" w:cs="仿宋_GB2312"/>
          <w:b/>
          <w:bCs/>
          <w:color w:val="auto"/>
          <w:sz w:val="24"/>
          <w:szCs w:val="24"/>
        </w:rPr>
        <w:t>注：1、各投标人的最终得分：评标委员会成员对上述各项分别打分、汇总后的算术平均值，采用四舍五入法，保留小数点后二位。</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jc w:val="both"/>
        <w:textAlignment w:val="auto"/>
        <w:rPr>
          <w:rFonts w:ascii="宋体" w:hAnsi="宋体" w:eastAsia="宋体" w:cs="仿宋_GB2312"/>
          <w:b/>
          <w:bCs/>
          <w:color w:val="auto"/>
          <w:sz w:val="24"/>
          <w:szCs w:val="24"/>
        </w:rPr>
      </w:pPr>
      <w:r>
        <w:rPr>
          <w:rFonts w:hint="eastAsia" w:ascii="宋体" w:hAnsi="宋体" w:eastAsia="宋体" w:cs="仿宋_GB2312"/>
          <w:b/>
          <w:bCs/>
          <w:color w:val="auto"/>
          <w:sz w:val="24"/>
          <w:szCs w:val="24"/>
        </w:rPr>
        <w:t>2、本评分办法中的各种有效证明材料，投标人必须在投标文件中提供完整的复印件，且在评标时须同时提供与复印件一致的原件，否则不得分。</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jc w:val="both"/>
        <w:textAlignment w:val="auto"/>
        <w:rPr>
          <w:rFonts w:hint="eastAsia" w:cs="宋体" w:asciiTheme="majorEastAsia" w:hAnsiTheme="majorEastAsia" w:eastAsiaTheme="majorEastAsia"/>
          <w:b/>
          <w:kern w:val="0"/>
          <w:sz w:val="24"/>
          <w:szCs w:val="24"/>
          <w:highlight w:val="none"/>
        </w:rPr>
      </w:pPr>
      <w:r>
        <w:rPr>
          <w:rFonts w:hint="eastAsia" w:ascii="宋体" w:hAnsi="宋体" w:eastAsia="宋体" w:cs="仿宋_GB2312"/>
          <w:b/>
          <w:bCs/>
          <w:color w:val="auto"/>
          <w:sz w:val="24"/>
          <w:szCs w:val="24"/>
        </w:rPr>
        <w:t>3、本评分办法中涉及提供人员相关情况的，均须同时提供投标截止时间前三个月内任何一个月本单位为其缴纳社会保险的证明材料，否则不得分。</w:t>
      </w:r>
    </w:p>
    <w:p>
      <w:pPr>
        <w:rPr>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长城楷体">
    <w:altName w:val="宋体"/>
    <w:panose1 w:val="02070309020205020404"/>
    <w:charset w:val="00"/>
    <w:family w:val="moder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Trebuchet MS">
    <w:panose1 w:val="020B0603020202020204"/>
    <w:charset w:val="00"/>
    <w:family w:val="auto"/>
    <w:pitch w:val="default"/>
    <w:sig w:usb0="00000287" w:usb1="00000000" w:usb2="00000000" w:usb3="00000000" w:csb0="2000009F" w:csb1="00000000"/>
  </w:font>
  <w:font w:name="仿宋_GB2312">
    <w:altName w:val="仿宋"/>
    <w:panose1 w:val="00000000000000000000"/>
    <w:charset w:val="00"/>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MS Gothic">
    <w:panose1 w:val="020B0609070205080204"/>
    <w:charset w:val="80"/>
    <w:family w:val="modern"/>
    <w:pitch w:val="default"/>
    <w:sig w:usb0="E00002FF" w:usb1="6AC7FDFB" w:usb2="00000012" w:usb3="00000000" w:csb0="4002009F" w:csb1="DFD70000"/>
  </w:font>
  <w:font w:name="Lucida Grande">
    <w:altName w:val="Microsoft Sans Serif"/>
    <w:panose1 w:val="020B0600040502020204"/>
    <w:charset w:val="00"/>
    <w:family w:val="auto"/>
    <w:pitch w:val="default"/>
    <w:sig w:usb0="00000000" w:usb1="00000000" w:usb2="00000000" w:usb3="00000000" w:csb0="000001BF" w:csb1="00000000"/>
  </w:font>
  <w:font w:name="MinionPro-Regular">
    <w:altName w:val="Times New Roman"/>
    <w:panose1 w:val="00000000000000000000"/>
    <w:charset w:val="00"/>
    <w:family w:val="auto"/>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73B4"/>
    <w:multiLevelType w:val="multilevel"/>
    <w:tmpl w:val="14BB73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BF37A5"/>
    <w:multiLevelType w:val="singleLevel"/>
    <w:tmpl w:val="59BF37A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A3319"/>
    <w:rsid w:val="07685A17"/>
    <w:rsid w:val="092506EC"/>
    <w:rsid w:val="09A21732"/>
    <w:rsid w:val="0E751494"/>
    <w:rsid w:val="198A3319"/>
    <w:rsid w:val="219C0102"/>
    <w:rsid w:val="28A82512"/>
    <w:rsid w:val="305F6EF1"/>
    <w:rsid w:val="32502E34"/>
    <w:rsid w:val="33EC56B0"/>
    <w:rsid w:val="392566C7"/>
    <w:rsid w:val="3B801791"/>
    <w:rsid w:val="4C834C44"/>
    <w:rsid w:val="549973AD"/>
    <w:rsid w:val="54E76EDD"/>
    <w:rsid w:val="59713FA7"/>
    <w:rsid w:val="5FFF3849"/>
    <w:rsid w:val="79B216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style>
  <w:style w:type="paragraph" w:styleId="4">
    <w:name w:val="Plain Text"/>
    <w:basedOn w:val="1"/>
    <w:qFormat/>
    <w:uiPriority w:val="0"/>
    <w:rPr>
      <w:rFonts w:eastAsia="宋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2017-12-11T06:20:00Z</dcterms:created>
  <dc:creator>冰封的爱</dc:creator>
  <cp:lastModifiedBy>冰封的爱</cp:lastModifiedBy>
  <cp:lastPrinted>2017-12-12T02:08:44Z</cp:lastPrinted>
  <dcterms:modified xsi:type="dcterms:W3CDTF">2017-12-12T02:24:09Z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