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b/>
          <w:bCs/>
          <w:sz w:val="40"/>
          <w:szCs w:val="22"/>
        </w:rPr>
      </w:pPr>
    </w:p>
    <w:p>
      <w:pPr>
        <w:jc w:val="center"/>
        <w:rPr>
          <w:rFonts w:hint="eastAsia"/>
          <w:b/>
          <w:bCs/>
          <w:sz w:val="40"/>
          <w:szCs w:val="22"/>
        </w:rPr>
      </w:pPr>
    </w:p>
    <w:p>
      <w:pPr>
        <w:jc w:val="center"/>
        <w:rPr>
          <w:b/>
          <w:bCs/>
          <w:sz w:val="40"/>
          <w:szCs w:val="22"/>
        </w:rPr>
      </w:pPr>
      <w:r>
        <w:rPr>
          <w:rFonts w:hint="eastAsia"/>
          <w:b/>
          <w:bCs/>
          <w:sz w:val="40"/>
          <w:szCs w:val="22"/>
        </w:rPr>
        <w:t>许昌市建设路小学天宝路校区（中、小学部）项目施工</w:t>
      </w:r>
    </w:p>
    <w:p/>
    <w:p>
      <w:r>
        <w:rPr>
          <w:rFonts w:hint="eastAsia"/>
        </w:rPr>
        <w:t xml:space="preserve">        </w:t>
      </w:r>
    </w:p>
    <w:p>
      <w:pPr>
        <w:jc w:val="center"/>
        <w:rPr>
          <w:rFonts w:hint="eastAsia"/>
          <w:b/>
          <w:bCs/>
          <w:sz w:val="96"/>
          <w:szCs w:val="44"/>
        </w:rPr>
      </w:pPr>
    </w:p>
    <w:p>
      <w:pPr>
        <w:jc w:val="center"/>
        <w:rPr>
          <w:b/>
          <w:bCs/>
          <w:sz w:val="96"/>
          <w:szCs w:val="44"/>
        </w:rPr>
      </w:pPr>
      <w:r>
        <w:rPr>
          <w:rFonts w:hint="eastAsia"/>
          <w:b/>
          <w:bCs/>
          <w:sz w:val="96"/>
          <w:szCs w:val="44"/>
        </w:rPr>
        <w:t>招标文件</w:t>
      </w:r>
    </w:p>
    <w:p>
      <w:pPr>
        <w:ind w:firstLine="2200" w:firstLineChars="500"/>
        <w:jc w:val="left"/>
        <w:rPr>
          <w:sz w:val="44"/>
          <w:szCs w:val="24"/>
        </w:rPr>
      </w:pPr>
      <w:r>
        <w:rPr>
          <w:rFonts w:hint="eastAsia"/>
          <w:sz w:val="44"/>
          <w:szCs w:val="24"/>
        </w:rPr>
        <w:t>项目编号：XCGC-F2017250</w:t>
      </w:r>
    </w:p>
    <w:p/>
    <w:p/>
    <w:p/>
    <w:p/>
    <w:p/>
    <w:p/>
    <w:p>
      <w:pPr>
        <w:rPr>
          <w:sz w:val="36"/>
          <w:szCs w:val="21"/>
        </w:rPr>
      </w:pPr>
    </w:p>
    <w:p>
      <w:pPr>
        <w:ind w:firstLine="723" w:firstLineChars="200"/>
        <w:rPr>
          <w:b/>
          <w:bCs/>
          <w:sz w:val="36"/>
          <w:szCs w:val="21"/>
        </w:rPr>
      </w:pPr>
      <w:r>
        <w:rPr>
          <w:rFonts w:hint="eastAsia"/>
          <w:b/>
          <w:bCs/>
          <w:sz w:val="36"/>
          <w:szCs w:val="21"/>
        </w:rPr>
        <w:t>招   标   人：许昌市建设路小学</w:t>
      </w:r>
    </w:p>
    <w:p>
      <w:pPr>
        <w:ind w:firstLine="723" w:firstLineChars="200"/>
        <w:rPr>
          <w:b/>
          <w:bCs/>
          <w:sz w:val="36"/>
          <w:szCs w:val="21"/>
        </w:rPr>
      </w:pPr>
      <w:r>
        <w:rPr>
          <w:rFonts w:hint="eastAsia"/>
          <w:b/>
          <w:bCs/>
          <w:sz w:val="36"/>
          <w:szCs w:val="21"/>
        </w:rPr>
        <w:t>招标代理机构：北京建智达工程管理股份有限公司</w:t>
      </w:r>
    </w:p>
    <w:p>
      <w:pPr>
        <w:jc w:val="center"/>
        <w:rPr>
          <w:b/>
          <w:bCs/>
          <w:sz w:val="36"/>
          <w:szCs w:val="21"/>
        </w:rPr>
      </w:pPr>
      <w:r>
        <w:rPr>
          <w:rFonts w:hint="eastAsia"/>
          <w:b/>
          <w:bCs/>
          <w:sz w:val="36"/>
          <w:szCs w:val="21"/>
        </w:rPr>
        <w:t>二〇一七年十二月</w:t>
      </w:r>
    </w:p>
    <w:p>
      <w:pPr>
        <w:rPr>
          <w:sz w:val="36"/>
          <w:szCs w:val="21"/>
        </w:rPr>
      </w:pPr>
    </w:p>
    <w:p>
      <w:pPr>
        <w:rPr>
          <w:rFonts w:hint="eastAsia"/>
        </w:rPr>
        <w:sectPr>
          <w:footerReference r:id="rId6" w:type="first"/>
          <w:headerReference r:id="rId3" w:type="default"/>
          <w:headerReference r:id="rId4" w:type="even"/>
          <w:footerReference r:id="rId5" w:type="even"/>
          <w:pgSz w:w="11906" w:h="16838"/>
          <w:pgMar w:top="1440" w:right="1080" w:bottom="1440" w:left="1080" w:header="851" w:footer="992" w:gutter="0"/>
          <w:cols w:space="425" w:num="1"/>
          <w:docGrid w:type="lines" w:linePitch="312" w:charSpace="0"/>
        </w:sectPr>
      </w:pPr>
    </w:p>
    <w:sdt>
      <w:sdtPr>
        <w:rPr>
          <w:rFonts w:ascii="宋体" w:hAnsi="宋体" w:eastAsia="宋体"/>
          <w:sz w:val="21"/>
        </w:rPr>
        <w:id w:val="147481008"/>
        <w:docPartObj>
          <w:docPartGallery w:val="Table of Contents"/>
          <w:docPartUnique/>
        </w:docPartObj>
      </w:sdtPr>
      <w:sdtEndPr>
        <w:rPr>
          <w:rFonts w:asciiTheme="minorHAnsi" w:hAnsiTheme="minorHAnsi" w:eastAsiaTheme="minorEastAsia" w:cstheme="minorBidi"/>
          <w:sz w:val="20"/>
          <w:szCs w:val="20"/>
        </w:rPr>
      </w:sdtEndPr>
      <w:sdtContent>
        <w:p>
          <w:pPr>
            <w:jc w:val="center"/>
          </w:pPr>
          <w:r>
            <w:rPr>
              <w:rFonts w:ascii="宋体" w:hAnsi="宋体" w:eastAsia="宋体"/>
              <w:sz w:val="21"/>
            </w:rPr>
            <w:t>目录</w:t>
          </w:r>
        </w:p>
        <w:p>
          <w:pPr>
            <w:pStyle w:val="99"/>
            <w:tabs>
              <w:tab w:val="right" w:leader="dot" w:pos="9746"/>
            </w:tabs>
          </w:pPr>
          <w:r>
            <w:fldChar w:fldCharType="begin"/>
          </w:r>
          <w:r>
            <w:instrText xml:space="preserve"> HYPERLINK \l _Toc16752 </w:instrText>
          </w:r>
          <w:r>
            <w:fldChar w:fldCharType="separate"/>
          </w:r>
          <w:sdt>
            <w:sdtPr>
              <w:rPr>
                <w:rFonts w:ascii="宋体" w:hAnsi="Times New Roman" w:eastAsia="宋体" w:cs="Times New Roman"/>
                <w:sz w:val="34"/>
                <w:lang w:val="en-US" w:eastAsia="zh-CN" w:bidi="ar-SA"/>
              </w:rPr>
              <w:id w:val="147481008"/>
              <w:placeholder>
                <w:docPart w:val="{f162b266-c14e-4bef-83d7-84263ab7b2b1}"/>
              </w:placeholder>
            </w:sdtPr>
            <w:sdtEndPr>
              <w:rPr>
                <w:rFonts w:ascii="宋体" w:hAnsi="Times New Roman" w:eastAsia="宋体" w:cs="Times New Roman"/>
                <w:sz w:val="34"/>
                <w:lang w:val="en-US" w:eastAsia="zh-CN" w:bidi="ar-SA"/>
              </w:rPr>
            </w:sdtEndPr>
            <w:sdtContent>
              <w:r>
                <w:rPr>
                  <w:rFonts w:hint="eastAsia" w:ascii="Times New Roman" w:hAnsi="Times New Roman" w:eastAsia="宋体" w:cs="Times New Roman"/>
                </w:rPr>
                <w:t>第一章  招标公告</w:t>
              </w:r>
            </w:sdtContent>
          </w:sdt>
          <w:r>
            <w:tab/>
          </w:r>
          <w:r>
            <w:t>1</w:t>
          </w:r>
          <w:r>
            <w:fldChar w:fldCharType="end"/>
          </w:r>
        </w:p>
        <w:p>
          <w:pPr>
            <w:pStyle w:val="99"/>
            <w:tabs>
              <w:tab w:val="right" w:leader="dot" w:pos="9746"/>
            </w:tabs>
          </w:pPr>
          <w:r>
            <w:fldChar w:fldCharType="begin"/>
          </w:r>
          <w:r>
            <w:instrText xml:space="preserve"> HYPERLINK \l _Toc15788 </w:instrText>
          </w:r>
          <w:r>
            <w:fldChar w:fldCharType="separate"/>
          </w:r>
          <w:sdt>
            <w:sdtPr>
              <w:rPr>
                <w:rFonts w:ascii="宋体" w:hAnsi="Times New Roman" w:eastAsia="宋体" w:cs="Times New Roman"/>
                <w:sz w:val="34"/>
                <w:lang w:val="en-US" w:eastAsia="zh-CN" w:bidi="ar-SA"/>
              </w:rPr>
              <w:id w:val="147481008"/>
              <w:placeholder>
                <w:docPart w:val="{671cb806-7409-4d5c-bbc5-9920d54b2ab8}"/>
              </w:placeholder>
            </w:sdtPr>
            <w:sdtEndPr>
              <w:rPr>
                <w:rFonts w:ascii="宋体" w:hAnsi="Times New Roman" w:eastAsia="宋体" w:cs="Times New Roman"/>
                <w:sz w:val="34"/>
                <w:lang w:val="en-US" w:eastAsia="zh-CN" w:bidi="ar-SA"/>
              </w:rPr>
            </w:sdtEndPr>
            <w:sdtContent>
              <w:r>
                <w:rPr>
                  <w:rFonts w:hint="eastAsia" w:ascii="Times New Roman" w:hAnsi="Times New Roman" w:eastAsia="宋体" w:cs="Times New Roman"/>
                </w:rPr>
                <w:t>第二章  投标人须知</w:t>
              </w:r>
            </w:sdtContent>
          </w:sdt>
          <w:r>
            <w:tab/>
          </w:r>
          <w:r>
            <w:t>5</w:t>
          </w:r>
          <w:r>
            <w:fldChar w:fldCharType="end"/>
          </w:r>
        </w:p>
        <w:p>
          <w:pPr>
            <w:pStyle w:val="99"/>
            <w:tabs>
              <w:tab w:val="right" w:leader="dot" w:pos="9746"/>
            </w:tabs>
          </w:pPr>
          <w:r>
            <w:fldChar w:fldCharType="begin"/>
          </w:r>
          <w:r>
            <w:instrText xml:space="preserve"> HYPERLINK \l _Toc8907 </w:instrText>
          </w:r>
          <w:r>
            <w:fldChar w:fldCharType="separate"/>
          </w:r>
          <w:sdt>
            <w:sdtPr>
              <w:rPr>
                <w:rFonts w:ascii="宋体" w:hAnsi="Times New Roman" w:eastAsia="宋体" w:cs="Times New Roman"/>
                <w:sz w:val="34"/>
                <w:lang w:val="en-US" w:eastAsia="zh-CN" w:bidi="ar-SA"/>
              </w:rPr>
              <w:id w:val="147481008"/>
              <w:placeholder>
                <w:docPart w:val="{bbd80fd6-a7c8-45fa-b35b-9308bc976517}"/>
              </w:placeholder>
            </w:sdtPr>
            <w:sdtEndPr>
              <w:rPr>
                <w:rFonts w:ascii="宋体" w:hAnsi="Times New Roman" w:eastAsia="宋体" w:cs="Times New Roman"/>
                <w:sz w:val="34"/>
                <w:lang w:val="en-US" w:eastAsia="zh-CN" w:bidi="ar-SA"/>
              </w:rPr>
            </w:sdtEndPr>
            <w:sdtContent>
              <w:r>
                <w:rPr>
                  <w:rFonts w:hint="eastAsia" w:ascii="Times New Roman" w:hAnsi="Times New Roman" w:eastAsia="宋体" w:cs="Times New Roman"/>
                </w:rPr>
                <w:t>第三章 评标办法（综合计分法）</w:t>
              </w:r>
            </w:sdtContent>
          </w:sdt>
          <w:r>
            <w:tab/>
          </w:r>
          <w:r>
            <w:t>48</w:t>
          </w:r>
          <w:r>
            <w:fldChar w:fldCharType="end"/>
          </w:r>
        </w:p>
        <w:p>
          <w:pPr>
            <w:pStyle w:val="99"/>
            <w:tabs>
              <w:tab w:val="right" w:leader="dot" w:pos="9746"/>
            </w:tabs>
          </w:pPr>
          <w:r>
            <w:fldChar w:fldCharType="begin"/>
          </w:r>
          <w:r>
            <w:instrText xml:space="preserve"> HYPERLINK \l _Toc21945 </w:instrText>
          </w:r>
          <w:r>
            <w:fldChar w:fldCharType="separate"/>
          </w:r>
          <w:sdt>
            <w:sdtPr>
              <w:rPr>
                <w:rFonts w:ascii="宋体" w:hAnsi="Times New Roman" w:eastAsia="宋体" w:cs="Times New Roman"/>
                <w:sz w:val="34"/>
                <w:lang w:val="en-US" w:eastAsia="zh-CN" w:bidi="ar-SA"/>
              </w:rPr>
              <w:id w:val="147481008"/>
              <w:placeholder>
                <w:docPart w:val="{03b973ca-5e23-4dd3-805e-bd7da48f63b0}"/>
              </w:placeholder>
            </w:sdtPr>
            <w:sdtEndPr>
              <w:rPr>
                <w:rFonts w:ascii="宋体" w:hAnsi="Times New Roman" w:eastAsia="宋体" w:cs="Times New Roman"/>
                <w:sz w:val="34"/>
                <w:lang w:val="en-US" w:eastAsia="zh-CN" w:bidi="ar-SA"/>
              </w:rPr>
            </w:sdtEndPr>
            <w:sdtContent>
              <w:r>
                <w:rPr>
                  <w:rFonts w:hint="eastAsia" w:ascii="Times New Roman" w:hAnsi="Times New Roman" w:eastAsia="宋体" w:cs="Times New Roman"/>
                </w:rPr>
                <w:t>第四章 合同条款及格式</w:t>
              </w:r>
            </w:sdtContent>
          </w:sdt>
          <w:r>
            <w:tab/>
          </w:r>
          <w:r>
            <w:t>63</w:t>
          </w:r>
          <w:r>
            <w:fldChar w:fldCharType="end"/>
          </w:r>
        </w:p>
        <w:p>
          <w:pPr>
            <w:pStyle w:val="99"/>
            <w:tabs>
              <w:tab w:val="right" w:leader="dot" w:pos="9746"/>
            </w:tabs>
          </w:pPr>
          <w:r>
            <w:fldChar w:fldCharType="begin"/>
          </w:r>
          <w:r>
            <w:instrText xml:space="preserve"> HYPERLINK \l _Toc13887 </w:instrText>
          </w:r>
          <w:r>
            <w:fldChar w:fldCharType="separate"/>
          </w:r>
          <w:sdt>
            <w:sdtPr>
              <w:rPr>
                <w:rFonts w:ascii="宋体" w:hAnsi="Times New Roman" w:eastAsia="宋体" w:cs="Times New Roman"/>
                <w:sz w:val="34"/>
                <w:lang w:val="en-US" w:eastAsia="zh-CN" w:bidi="ar-SA"/>
              </w:rPr>
              <w:id w:val="147481008"/>
              <w:placeholder>
                <w:docPart w:val="{c08037ae-bf04-461f-b4a8-85eee07f49a2}"/>
              </w:placeholder>
            </w:sdtPr>
            <w:sdtEndPr>
              <w:rPr>
                <w:rFonts w:ascii="宋体" w:hAnsi="Times New Roman" w:eastAsia="宋体" w:cs="Times New Roman"/>
                <w:sz w:val="34"/>
                <w:lang w:val="en-US" w:eastAsia="zh-CN" w:bidi="ar-SA"/>
              </w:rPr>
            </w:sdtEndPr>
            <w:sdtContent>
              <w:r>
                <w:rPr>
                  <w:rFonts w:hint="eastAsia" w:ascii="Times New Roman" w:hAnsi="Times New Roman" w:eastAsia="宋体" w:cs="Times New Roman"/>
                </w:rPr>
                <w:t>第五章 工程量清单</w:t>
              </w:r>
            </w:sdtContent>
          </w:sdt>
          <w:r>
            <w:tab/>
          </w:r>
          <w:r>
            <w:t>217</w:t>
          </w:r>
          <w:r>
            <w:fldChar w:fldCharType="end"/>
          </w:r>
        </w:p>
        <w:p>
          <w:pPr>
            <w:pStyle w:val="99"/>
            <w:tabs>
              <w:tab w:val="right" w:leader="dot" w:pos="9746"/>
            </w:tabs>
          </w:pPr>
          <w:r>
            <w:fldChar w:fldCharType="begin"/>
          </w:r>
          <w:r>
            <w:instrText xml:space="preserve"> HYPERLINK \l _Toc2091 </w:instrText>
          </w:r>
          <w:r>
            <w:fldChar w:fldCharType="separate"/>
          </w:r>
          <w:sdt>
            <w:sdtPr>
              <w:rPr>
                <w:rFonts w:ascii="宋体" w:hAnsi="Times New Roman" w:eastAsia="宋体" w:cs="Times New Roman"/>
                <w:sz w:val="34"/>
                <w:lang w:val="en-US" w:eastAsia="zh-CN" w:bidi="ar-SA"/>
              </w:rPr>
              <w:id w:val="147481008"/>
              <w:placeholder>
                <w:docPart w:val="{b088b5a4-32e7-4606-a0f6-24fa1cd9e140}"/>
              </w:placeholder>
            </w:sdtPr>
            <w:sdtEndPr>
              <w:rPr>
                <w:rFonts w:ascii="宋体" w:hAnsi="Times New Roman" w:eastAsia="宋体" w:cs="Times New Roman"/>
                <w:sz w:val="34"/>
                <w:lang w:val="en-US" w:eastAsia="zh-CN" w:bidi="ar-SA"/>
              </w:rPr>
            </w:sdtEndPr>
            <w:sdtContent>
              <w:r>
                <w:rPr>
                  <w:rFonts w:hint="eastAsia" w:ascii="Times New Roman" w:hAnsi="Times New Roman" w:eastAsia="宋体" w:cs="Times New Roman"/>
                </w:rPr>
                <w:t>第六章图纸</w:t>
              </w:r>
            </w:sdtContent>
          </w:sdt>
          <w:r>
            <w:tab/>
          </w:r>
          <w:r>
            <w:t>228</w:t>
          </w:r>
          <w:r>
            <w:fldChar w:fldCharType="end"/>
          </w:r>
        </w:p>
        <w:p>
          <w:pPr>
            <w:pStyle w:val="99"/>
            <w:tabs>
              <w:tab w:val="right" w:leader="dot" w:pos="9746"/>
            </w:tabs>
          </w:pPr>
          <w:r>
            <w:fldChar w:fldCharType="begin"/>
          </w:r>
          <w:r>
            <w:instrText xml:space="preserve"> HYPERLINK \l _Toc22944 </w:instrText>
          </w:r>
          <w:r>
            <w:fldChar w:fldCharType="separate"/>
          </w:r>
          <w:sdt>
            <w:sdtPr>
              <w:rPr>
                <w:rFonts w:ascii="宋体" w:hAnsi="Times New Roman" w:eastAsia="宋体" w:cs="Times New Roman"/>
                <w:sz w:val="34"/>
                <w:lang w:val="en-US" w:eastAsia="zh-CN" w:bidi="ar-SA"/>
              </w:rPr>
              <w:id w:val="147481008"/>
              <w:placeholder>
                <w:docPart w:val="{633a2ac4-34d7-4fe5-b579-819821d14349}"/>
              </w:placeholder>
            </w:sdtPr>
            <w:sdtEndPr>
              <w:rPr>
                <w:rFonts w:ascii="宋体" w:hAnsi="Times New Roman" w:eastAsia="宋体" w:cs="Times New Roman"/>
                <w:sz w:val="34"/>
                <w:lang w:val="en-US" w:eastAsia="zh-CN" w:bidi="ar-SA"/>
              </w:rPr>
            </w:sdtEndPr>
            <w:sdtContent>
              <w:r>
                <w:rPr>
                  <w:rFonts w:hint="eastAsia" w:ascii="Times New Roman" w:hAnsi="Times New Roman" w:eastAsia="宋体" w:cs="Times New Roman"/>
                </w:rPr>
                <w:t>第七章技术标准和要求</w:t>
              </w:r>
            </w:sdtContent>
          </w:sdt>
          <w:r>
            <w:tab/>
          </w:r>
          <w:r>
            <w:t>228</w:t>
          </w:r>
          <w:r>
            <w:fldChar w:fldCharType="end"/>
          </w:r>
        </w:p>
        <w:p>
          <w:pPr>
            <w:pStyle w:val="99"/>
            <w:tabs>
              <w:tab w:val="right" w:leader="dot" w:pos="9746"/>
            </w:tabs>
          </w:pPr>
          <w:r>
            <w:fldChar w:fldCharType="begin"/>
          </w:r>
          <w:r>
            <w:instrText xml:space="preserve"> HYPERLINK \l _Toc27266 </w:instrText>
          </w:r>
          <w:r>
            <w:fldChar w:fldCharType="separate"/>
          </w:r>
          <w:sdt>
            <w:sdtPr>
              <w:rPr>
                <w:rFonts w:ascii="宋体" w:hAnsi="Times New Roman" w:eastAsia="宋体" w:cs="Times New Roman"/>
                <w:sz w:val="34"/>
                <w:lang w:val="en-US" w:eastAsia="zh-CN" w:bidi="ar-SA"/>
              </w:rPr>
              <w:id w:val="147481008"/>
              <w:placeholder>
                <w:docPart w:val="{1a23412a-dc33-410d-940b-c5a9a980ebc4}"/>
              </w:placeholder>
            </w:sdtPr>
            <w:sdtEndPr>
              <w:rPr>
                <w:rFonts w:ascii="宋体" w:hAnsi="Times New Roman" w:eastAsia="宋体" w:cs="Times New Roman"/>
                <w:sz w:val="34"/>
                <w:lang w:val="en-US" w:eastAsia="zh-CN" w:bidi="ar-SA"/>
              </w:rPr>
            </w:sdtEndPr>
            <w:sdtContent>
              <w:r>
                <w:rPr>
                  <w:rFonts w:hint="eastAsia" w:ascii="Times New Roman" w:hAnsi="Times New Roman" w:eastAsia="宋体" w:cs="Times New Roman"/>
                </w:rPr>
                <w:t>第八章投标文件格式</w:t>
              </w:r>
            </w:sdtContent>
          </w:sdt>
          <w:r>
            <w:tab/>
          </w:r>
          <w:r>
            <w:t>229</w:t>
          </w:r>
          <w:r>
            <w:fldChar w:fldCharType="end"/>
          </w:r>
        </w:p>
        <w:p>
          <w:pPr>
            <w:pStyle w:val="99"/>
            <w:tabs>
              <w:tab w:val="right" w:leader="dot" w:pos="9746"/>
            </w:tabs>
          </w:pPr>
        </w:p>
      </w:sdtContent>
    </w:sdt>
    <w:p>
      <w:pPr>
        <w:rPr>
          <w:rFonts w:hint="eastAsia"/>
        </w:rPr>
        <w:sectPr>
          <w:footerReference r:id="rId7" w:type="default"/>
          <w:pgSz w:w="11906" w:h="16838"/>
          <w:pgMar w:top="1440" w:right="1080" w:bottom="1440" w:left="1080" w:header="851" w:footer="992" w:gutter="0"/>
          <w:pgNumType w:fmt="decimal" w:start="1"/>
          <w:cols w:space="425" w:num="1"/>
          <w:docGrid w:type="lines" w:linePitch="312" w:charSpace="0"/>
        </w:sectPr>
      </w:pPr>
    </w:p>
    <w:p>
      <w:pPr>
        <w:pStyle w:val="3"/>
        <w:jc w:val="center"/>
      </w:pPr>
      <w:bookmarkStart w:id="0" w:name="_Toc16752"/>
      <w:bookmarkStart w:id="1" w:name="_Toc4338"/>
      <w:r>
        <w:rPr>
          <w:rFonts w:hint="eastAsia"/>
        </w:rPr>
        <w:t>第一章  招标公告</w:t>
      </w:r>
      <w:bookmarkEnd w:id="0"/>
      <w:bookmarkEnd w:id="1"/>
    </w:p>
    <w:p>
      <w:pPr>
        <w:jc w:val="center"/>
        <w:rPr>
          <w:rFonts w:hint="eastAsia"/>
          <w:b/>
          <w:bCs/>
          <w:sz w:val="32"/>
          <w:szCs w:val="20"/>
        </w:rPr>
      </w:pPr>
      <w:r>
        <w:rPr>
          <w:rFonts w:hint="eastAsia"/>
          <w:b/>
          <w:bCs/>
          <w:sz w:val="32"/>
          <w:szCs w:val="20"/>
        </w:rPr>
        <w:t>许昌市建设路小学天宝路校区（中、小学部）项目施工及监理</w:t>
      </w:r>
    </w:p>
    <w:p>
      <w:pPr>
        <w:jc w:val="center"/>
        <w:rPr>
          <w:b/>
          <w:bCs/>
          <w:sz w:val="32"/>
          <w:szCs w:val="20"/>
        </w:rPr>
      </w:pPr>
      <w:r>
        <w:rPr>
          <w:rFonts w:hint="eastAsia"/>
          <w:b/>
          <w:bCs/>
          <w:sz w:val="32"/>
          <w:szCs w:val="20"/>
        </w:rPr>
        <w:t>招标公告</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rPr>
          <w:rFonts w:hint="eastAsia"/>
        </w:rPr>
        <w:t>1、招标条件</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许昌市建设路小学天宝校路校区（中、小学部）项目，已由许魏发改【2017】36号文件批准建设，招标人为许昌市建设路小学，建设资金为财政资金，项目出资比例为100%。项目已具备招标条件，现对该项目的施工进行公开招标。</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rPr>
          <w:rFonts w:hint="eastAsia"/>
        </w:rPr>
        <w:t>2、项目概况与招标内容</w:t>
      </w:r>
      <w:r>
        <w:rPr>
          <w:rFonts w:hint="eastAsia"/>
        </w:rPr>
        <w:tab/>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2.1项目编号：</w:t>
      </w:r>
      <w:r>
        <w:rPr>
          <w:rFonts w:hint="eastAsia"/>
          <w:lang w:val="en-US" w:eastAsia="zh-CN"/>
        </w:rPr>
        <w:t>施工：</w:t>
      </w:r>
      <w:r>
        <w:rPr>
          <w:rFonts w:hint="eastAsia"/>
        </w:rPr>
        <w:t>XCGC-F2017250</w:t>
      </w:r>
      <w:r>
        <w:rPr>
          <w:rFonts w:hint="eastAsia"/>
          <w:lang w:val="en-US" w:eastAsia="zh-CN"/>
        </w:rPr>
        <w:t>-SG  监理：XCGC-F2017250-JL</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rPr>
          <w:rFonts w:hint="eastAsia"/>
          <w:lang w:val="en-US" w:eastAsia="zh-CN"/>
        </w:rPr>
      </w:pPr>
      <w:r>
        <w:rPr>
          <w:rFonts w:hint="eastAsia"/>
        </w:rPr>
        <w:t>2.2项目概况：  许昌市建设路小学天宝路校区（中</w:t>
      </w:r>
      <w:r>
        <w:rPr>
          <w:rFonts w:hint="eastAsia"/>
          <w:lang w:eastAsia="zh-CN"/>
        </w:rPr>
        <w:t>、</w:t>
      </w:r>
      <w:r>
        <w:rPr>
          <w:rFonts w:hint="eastAsia"/>
        </w:rPr>
        <w:t>小学部）项目</w:t>
      </w:r>
      <w:r>
        <w:rPr>
          <w:rFonts w:hint="eastAsia"/>
          <w:lang w:val="en-US" w:eastAsia="zh-CN"/>
        </w:rPr>
        <w:t>占地面积66685平方米，总建筑面积69739平方米，其中地上建筑面积50939平方米，地下建筑面积18800平方米，基地面积13705平方米，同时建设有篮球场、足球场、乒乓球场和环形跑道等配套设施。</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2.3招标控制价：</w:t>
      </w:r>
      <w:r>
        <w:rPr>
          <w:rFonts w:hint="eastAsia"/>
          <w:lang w:val="en-US" w:eastAsia="zh-CN"/>
        </w:rPr>
        <w:t>施工</w:t>
      </w:r>
      <w:r>
        <w:rPr>
          <w:rFonts w:hint="eastAsia"/>
        </w:rPr>
        <w:t>标段：236465943.05元；</w:t>
      </w:r>
      <w:r>
        <w:rPr>
          <w:rFonts w:hint="eastAsia"/>
          <w:lang w:val="en-US" w:eastAsia="zh-CN"/>
        </w:rPr>
        <w:t>监理</w:t>
      </w:r>
      <w:r>
        <w:rPr>
          <w:rFonts w:hint="eastAsia"/>
        </w:rPr>
        <w:t xml:space="preserve">标段：2364659.00元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2.4招标范围：施工招标范围为招标文件、施工图纸、工程量清单、答疑纪要和补充文件（如有）范围内的所有建设内容。监理招标范围为本项目施工阶段和保修期的监理工作。</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2.5标段划分：本项目共划分为2个标段。</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2.6计划工期:540日历天</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2.7质量要求：合格（符合图纸设计及国家、地方现行的验收规范和标准）。</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rPr>
          <w:rFonts w:hint="eastAsia"/>
        </w:rPr>
        <w:t xml:space="preserve">3、投标人资格要求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3.1施工标段：投标单位须具备独立的法人资格，具备建设行政主管部门颁发的建筑工程施工总承包叁级及以上资质，具有安全生产许可证，具有独立法人资格，并在人员、设备、资金等方面具有相应的施工能力。拟派项目经理具有建筑工程专业二级以上（含二级）注册建造师证和有效的安全生产考核合格证，且未担任其它在施建设工程的项目经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监理标段：投标人应具备工程监理企业综合资质或房屋建筑工程监理乙级以上（含乙级）资质，具有独立法人资格。拟派项目总监须具有房屋建筑工程专业注册监理工程师资格。</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3.2本次招标不接受联合体投标。</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3.3本次招标实行资格后审。</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rPr>
          <w:rFonts w:hint="eastAsia"/>
        </w:rPr>
        <w:t>4、网上下载招标文件</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4.1投标人持CA数字认证证书，登录【全国公共资源交易平台（河南省·许昌市）】“系统用户注册”入口（http://221.14.6.70:8088/ggzy/eps/public/RegistAllJcxx.html）进行免费注册登记（详见“常见问题解答-诚信库网上注册相关资料下载”）；</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4.2在投标截止时间前登录【全国公共资源交易平台（河南省·许昌市）】“投标人/供应商登录”入口（http://221.14.6.70:8088/ggzy/）自行下载招标文件（详见“常见问题解答-交易系统操作手册”）。</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rPr>
          <w:rFonts w:hint="eastAsia"/>
        </w:rPr>
        <w:t>5.招标文件和施工图纸的获取</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5.1招标文件和工程量清单的获取：投标人于投标文件递交截止时间前均可登录【全国公共资源交易平台(河南省▪许昌市)】（http://www.xczbtb.com/），通过“投标人/供应商登录” 入口自行下载。</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5.2施工图纸下载：按照施工招标文件中第二章投标人须知前附表第2.1项所给的网址自行下载。</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5.3招标文件每套售价300元，于递交投标文件时缴纳给招标代理机构，售后不退。</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rPr>
          <w:rFonts w:hint="eastAsia"/>
        </w:rPr>
        <w:t>6.投标文件的递交</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6.1投标文件递交的截止时间及开标时间：2017年</w:t>
      </w:r>
      <w:r>
        <w:rPr>
          <w:rFonts w:hint="eastAsia"/>
          <w:lang w:val="en-US" w:eastAsia="zh-CN"/>
        </w:rPr>
        <w:t>12</w:t>
      </w:r>
      <w:r>
        <w:rPr>
          <w:rFonts w:hint="eastAsia"/>
        </w:rPr>
        <w:t xml:space="preserve">月  </w:t>
      </w:r>
      <w:r>
        <w:rPr>
          <w:rFonts w:hint="eastAsia"/>
          <w:lang w:val="en-US" w:eastAsia="zh-CN"/>
        </w:rPr>
        <w:t>28</w:t>
      </w:r>
      <w:r>
        <w:rPr>
          <w:rFonts w:hint="eastAsia"/>
        </w:rPr>
        <w:t>日</w:t>
      </w:r>
      <w:r>
        <w:rPr>
          <w:rFonts w:hint="eastAsia"/>
          <w:lang w:val="en-US" w:eastAsia="zh-CN"/>
        </w:rPr>
        <w:t>9</w:t>
      </w:r>
      <w:r>
        <w:rPr>
          <w:rFonts w:hint="eastAsia"/>
        </w:rPr>
        <w:t>时</w:t>
      </w:r>
      <w:r>
        <w:rPr>
          <w:rFonts w:hint="eastAsia"/>
          <w:lang w:val="en-US" w:eastAsia="zh-CN"/>
        </w:rPr>
        <w:t>30</w:t>
      </w:r>
      <w:r>
        <w:rPr>
          <w:rFonts w:hint="eastAsia"/>
        </w:rPr>
        <w:t>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6.2投标文件递交地点：许昌市公共资源交易中心（许昌市龙兴路竹林路交汇处公共资源大厦三楼）开标</w:t>
      </w:r>
      <w:r>
        <w:rPr>
          <w:rFonts w:hint="eastAsia"/>
          <w:lang w:val="en-US" w:eastAsia="zh-CN"/>
        </w:rPr>
        <w:t>二</w:t>
      </w:r>
      <w:r>
        <w:rPr>
          <w:rFonts w:hint="eastAsia"/>
        </w:rPr>
        <w:t>室。</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6.3逾期送达的或者未送达指定地点的投标文件，招标人不予受理。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6.4未通过【全国公共资源交易平台(河南省▪许昌市)】下载招标文件的投标人，其投标文件将拒收。</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rPr>
          <w:rFonts w:hint="eastAsia"/>
        </w:rPr>
        <w:t>7.发布公告的媒介</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本公告同时在《中国采购与招标网》、《河南招标采购综合网》和《【全国公共资源交易平台（河南省·许昌市）】》上发布。</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rPr>
          <w:rFonts w:hint="eastAsia"/>
        </w:rPr>
        <w:t>8、联系方式</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招 标  人：许昌市建设路小学</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地    址：许昌市魏都区许继大道</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联  系 人：陈先生</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联系方式：13569902013</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招标代理机构名称：北京建智达工程管理股份有限公司</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地     址： 郑州市金水区姚寨路133号金成时代广场6号楼801室</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联  系 人： 陈先生</w:t>
      </w:r>
      <w:r>
        <w:rPr>
          <w:rFonts w:hint="eastAsia"/>
        </w:rPr>
        <w:tab/>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电    话：0371-55212153</w:t>
      </w:r>
    </w:p>
    <w:p>
      <w:r>
        <w:br w:type="page"/>
      </w:r>
    </w:p>
    <w:p/>
    <w:p>
      <w:pPr>
        <w:pStyle w:val="3"/>
        <w:spacing w:line="240" w:lineRule="auto"/>
        <w:jc w:val="center"/>
      </w:pPr>
      <w:bookmarkStart w:id="2" w:name="_Toc15788"/>
      <w:bookmarkStart w:id="3" w:name="_Toc15086"/>
      <w:r>
        <w:rPr>
          <w:rFonts w:hint="eastAsia"/>
        </w:rPr>
        <w:t>第二章  投标人须知</w:t>
      </w:r>
      <w:bookmarkEnd w:id="2"/>
      <w:bookmarkEnd w:id="3"/>
    </w:p>
    <w:p>
      <w:bookmarkStart w:id="4" w:name="_Toc283559940"/>
      <w:r>
        <w:rPr>
          <w:rFonts w:hint="eastAsia"/>
        </w:rPr>
        <w:t>投标人须知前附表</w:t>
      </w:r>
      <w:bookmarkEnd w:id="4"/>
    </w:p>
    <w:tbl>
      <w:tblPr>
        <w:tblStyle w:val="42"/>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113"/>
        <w:gridCol w:w="7972"/>
        <w:gridCol w:w="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69" w:type="dxa"/>
          <w:trHeight w:val="15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条款号</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条款名</w:t>
            </w:r>
            <w:r>
              <w:rPr>
                <w:rFonts w:hint="eastAsia"/>
                <w:lang w:val="en-US" w:eastAsia="zh-CN"/>
              </w:rPr>
              <w:t xml:space="preserve"> </w:t>
            </w:r>
            <w:r>
              <w:rPr>
                <w:rFonts w:hint="eastAsia"/>
              </w:rPr>
              <w:t>称</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90"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1.1.</w:t>
            </w:r>
            <w:r>
              <w:rPr>
                <w:rFonts w:hint="eastAsia"/>
              </w:rPr>
              <w:t>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招标人</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 标 人：许昌市建设路小学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地   址：许昌市魏都区许继大道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联 系人：陈先生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联系方式：13569902013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90"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1.1.3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招标代理机</w:t>
            </w:r>
            <w:r>
              <w:rPr>
                <w:rFonts w:hint="eastAsia"/>
                <w:lang w:val="en-US" w:eastAsia="zh-CN"/>
              </w:rPr>
              <w:t xml:space="preserve"> </w:t>
            </w:r>
            <w:r>
              <w:rPr>
                <w:rFonts w:hint="eastAsia"/>
              </w:rPr>
              <w:t>构</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招标代理机构名称：北京建智达工程管理股份有限公司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地址：郑州市金水区姚寨路133号金成时代广场6号楼801室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联系人：陈先生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电话：0371-55212153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39"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1.1.</w:t>
            </w:r>
            <w:r>
              <w:rPr>
                <w:rFonts w:hint="eastAsia"/>
              </w:rPr>
              <w:t>4</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项目名</w:t>
            </w:r>
            <w:r>
              <w:rPr>
                <w:rFonts w:hint="eastAsia"/>
                <w:lang w:val="en-US" w:eastAsia="zh-CN"/>
              </w:rPr>
              <w:t xml:space="preserve"> </w:t>
            </w:r>
            <w:r>
              <w:rPr>
                <w:rFonts w:hint="eastAsia"/>
              </w:rPr>
              <w:t>称</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许昌市建设路小学天宝路校区（中、小学部）项目施工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561"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1.1.</w:t>
            </w:r>
            <w:r>
              <w:rPr>
                <w:rFonts w:hint="eastAsia"/>
              </w:rPr>
              <w:t>5</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建设地</w:t>
            </w:r>
            <w:r>
              <w:rPr>
                <w:rFonts w:hint="eastAsia"/>
                <w:lang w:val="en-US" w:eastAsia="zh-CN"/>
              </w:rPr>
              <w:t xml:space="preserve"> </w:t>
            </w:r>
            <w:r>
              <w:rPr>
                <w:rFonts w:hint="eastAsia"/>
              </w:rPr>
              <w:t>点</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许昌市魏都区天宝路以北</w:t>
            </w:r>
            <w:r>
              <w:rPr>
                <w:rFonts w:hint="eastAsia"/>
              </w:rPr>
              <w:t>、龙祥路以东，西苑路以南，营水路以西地块。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1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1.2.1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资金来</w:t>
            </w:r>
            <w:r>
              <w:rPr>
                <w:rFonts w:hint="eastAsia"/>
                <w:lang w:val="en-US" w:eastAsia="zh-CN"/>
              </w:rPr>
              <w:t xml:space="preserve"> </w:t>
            </w:r>
            <w:r>
              <w:rPr>
                <w:rFonts w:hint="eastAsia"/>
              </w:rPr>
              <w:t>源</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02"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1.2.2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出资比</w:t>
            </w:r>
            <w:r>
              <w:rPr>
                <w:rFonts w:hint="eastAsia"/>
                <w:lang w:val="en-US" w:eastAsia="zh-CN"/>
              </w:rPr>
              <w:t xml:space="preserve"> </w:t>
            </w:r>
            <w:r>
              <w:rPr>
                <w:rFonts w:hint="eastAsia"/>
              </w:rPr>
              <w:t>例</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8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1.2.3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资金落实情</w:t>
            </w:r>
            <w:r>
              <w:rPr>
                <w:rFonts w:hint="eastAsia"/>
                <w:lang w:val="en-US" w:eastAsia="zh-CN"/>
              </w:rPr>
              <w:t xml:space="preserve"> </w:t>
            </w:r>
            <w:r>
              <w:rPr>
                <w:rFonts w:hint="eastAsia"/>
              </w:rPr>
              <w:t>况</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5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1.3.1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招标范</w:t>
            </w:r>
            <w:r>
              <w:rPr>
                <w:rFonts w:hint="eastAsia"/>
                <w:lang w:val="en-US" w:eastAsia="zh-CN"/>
              </w:rPr>
              <w:t xml:space="preserve"> </w:t>
            </w:r>
            <w:r>
              <w:rPr>
                <w:rFonts w:hint="eastAsia"/>
              </w:rPr>
              <w:t>围</w:t>
            </w:r>
          </w:p>
        </w:tc>
        <w:tc>
          <w:tcPr>
            <w:tcW w:w="7972"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558"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1.3.2</w:t>
            </w:r>
          </w:p>
        </w:tc>
        <w:tc>
          <w:tcPr>
            <w:tcW w:w="1113"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计划工</w:t>
            </w:r>
            <w:r>
              <w:rPr>
                <w:rFonts w:hint="eastAsia"/>
                <w:lang w:val="en-US" w:eastAsia="zh-CN"/>
              </w:rPr>
              <w:t xml:space="preserve"> </w:t>
            </w:r>
            <w:r>
              <w:rPr>
                <w:rFonts w:hint="eastAsia"/>
              </w:rPr>
              <w:t>期</w:t>
            </w:r>
          </w:p>
        </w:tc>
        <w:tc>
          <w:tcPr>
            <w:tcW w:w="7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lang w:val="en-US" w:eastAsia="zh-CN"/>
              </w:rPr>
              <w:t>5</w:t>
            </w:r>
            <w:r>
              <w:rPr>
                <w:rFonts w:hint="eastAsia"/>
              </w:rPr>
              <w:t>40日历天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599"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1.3.3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质量要</w:t>
            </w:r>
            <w:r>
              <w:rPr>
                <w:rFonts w:hint="eastAsia"/>
                <w:lang w:val="en-US" w:eastAsia="zh-CN"/>
              </w:rPr>
              <w:t xml:space="preserve"> </w:t>
            </w:r>
            <w:r>
              <w:rPr>
                <w:rFonts w:hint="eastAsia"/>
              </w:rPr>
              <w:t>求</w:t>
            </w:r>
          </w:p>
        </w:tc>
        <w:tc>
          <w:tcPr>
            <w:tcW w:w="797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质量要求：合格（符合图纸设计及国家、地方现行的验收规范和标准）。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99"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1.4.1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投标人资质条件</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施工标段：投标单位须具备独立的法人资格，具备建设行政主管部门颁发的建筑工程施工总承包叁级及以上资质，具有安全生产许可证，具有独立法人资格，并在人员、设备、资金等方面具有相应的施工能力。拟派项目经理具有建筑工程专业二级以上（含二级）注册建造师证和有效的安全生产考核合格证，且未担任其它在施建设工程的项目经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注：工商营业执照、资质证书、安全生产许可证、注册建造师证书、安全生产考核合格证不再提交以原件，投标书中必须附复印件加盖公章，以备查阅。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64"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1.4.2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是否接受联合体投标</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370"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1.4．3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资格审查方式</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370"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w:t>
            </w:r>
            <w:r>
              <w:rPr>
                <w:rFonts w:hint="eastAsia"/>
              </w:rPr>
              <w:t>9</w:t>
            </w:r>
            <w:r>
              <w:t>.1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踏勘现</w:t>
            </w:r>
            <w:r>
              <w:rPr>
                <w:rFonts w:hint="eastAsia"/>
                <w:lang w:val="en-US" w:eastAsia="zh-CN"/>
              </w:rPr>
              <w:t xml:space="preserve"> </w:t>
            </w:r>
            <w:r>
              <w:rPr>
                <w:rFonts w:hint="eastAsia"/>
              </w:rPr>
              <w:t>场</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05"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w:t>
            </w:r>
            <w:r>
              <w:rPr>
                <w:rFonts w:hint="eastAsia"/>
              </w:rPr>
              <w:t>10</w:t>
            </w:r>
            <w:r>
              <w:t>.1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投标预备会</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860"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w:t>
            </w:r>
            <w:r>
              <w:rPr>
                <w:rFonts w:hint="eastAsia"/>
              </w:rPr>
              <w:t>.10</w:t>
            </w:r>
            <w:r>
              <w:t>.</w:t>
            </w:r>
            <w:r>
              <w:rPr>
                <w:rFonts w:hint="eastAsia"/>
              </w:rPr>
              <w:t>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投标人提出问题的截止时</w:t>
            </w:r>
            <w:r>
              <w:rPr>
                <w:rFonts w:hint="eastAsia"/>
                <w:lang w:val="en-US" w:eastAsia="zh-CN"/>
              </w:rPr>
              <w:t xml:space="preserve"> </w:t>
            </w:r>
            <w:r>
              <w:rPr>
                <w:rFonts w:hint="eastAsia"/>
              </w:rPr>
              <w:t>间</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投标截止时间10日</w:t>
            </w:r>
            <w: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67"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1.10.3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招标人澄清的时</w:t>
            </w:r>
            <w:r>
              <w:rPr>
                <w:rFonts w:hint="eastAsia"/>
                <w:lang w:val="en-US" w:eastAsia="zh-CN"/>
              </w:rPr>
              <w:t xml:space="preserve"> </w:t>
            </w:r>
            <w:r>
              <w:rPr>
                <w:rFonts w:hint="eastAsia"/>
              </w:rPr>
              <w:t>间</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投标截止时间15日</w:t>
            </w:r>
            <w: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5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w:t>
            </w:r>
            <w:r>
              <w:rPr>
                <w:rFonts w:hint="eastAsia"/>
              </w:rPr>
              <w:t>11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分包</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5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1.1</w:t>
            </w:r>
            <w:r>
              <w:rPr>
                <w:rFonts w:hint="eastAsia"/>
              </w:rPr>
              <w:t>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偏离</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235"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 xml:space="preserve">2.1 </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招标文件及图纸的获取</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招标文件和工程量清单的获取及图纸下载地址：投标人于投标文件递交截止时间前均可登录【全国公共资源交易平台(河南省▪许昌市)】（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rPr>
              <w:t>http://www.xczbtb.com/</w:t>
            </w:r>
            <w:r>
              <w:rPr>
                <w:rFonts w:hint="eastAsia"/>
              </w:rPr>
              <w:fldChar w:fldCharType="end"/>
            </w:r>
            <w:r>
              <w:rPr>
                <w:rFonts w:hint="eastAsia"/>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5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2.1.1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构成招标文件的其他材料</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5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2.2.1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投标人要求澄清招标文件的截止时</w:t>
            </w:r>
            <w:r>
              <w:rPr>
                <w:rFonts w:hint="eastAsia"/>
                <w:lang w:val="en-US" w:eastAsia="zh-CN"/>
              </w:rPr>
              <w:t xml:space="preserve"> </w:t>
            </w:r>
            <w:r>
              <w:rPr>
                <w:rFonts w:hint="eastAsia"/>
              </w:rPr>
              <w:t>间</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5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2.2.2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投标截止时</w:t>
            </w:r>
            <w:r>
              <w:rPr>
                <w:rFonts w:hint="eastAsia"/>
                <w:lang w:val="en-US" w:eastAsia="zh-CN"/>
              </w:rPr>
              <w:t xml:space="preserve"> </w:t>
            </w:r>
            <w:r>
              <w:rPr>
                <w:rFonts w:hint="eastAsia"/>
              </w:rPr>
              <w:t>间</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2017年</w:t>
            </w:r>
            <w:r>
              <w:rPr>
                <w:rFonts w:hint="eastAsia"/>
                <w:lang w:val="en-US" w:eastAsia="zh-CN"/>
              </w:rPr>
              <w:t>12</w:t>
            </w:r>
            <w:r>
              <w:rPr>
                <w:rFonts w:hint="eastAsia"/>
              </w:rPr>
              <w:t>月</w:t>
            </w:r>
            <w:r>
              <w:rPr>
                <w:rFonts w:hint="eastAsia"/>
                <w:lang w:val="en-US" w:eastAsia="zh-CN"/>
              </w:rPr>
              <w:t>28</w:t>
            </w:r>
            <w:r>
              <w:rPr>
                <w:rFonts w:hint="eastAsia"/>
              </w:rPr>
              <w:t>日</w:t>
            </w:r>
            <w:r>
              <w:rPr>
                <w:rFonts w:hint="eastAsia"/>
                <w:lang w:val="en-US" w:eastAsia="zh-CN"/>
              </w:rPr>
              <w:t>9</w:t>
            </w:r>
            <w:r>
              <w:rPr>
                <w:rFonts w:hint="eastAsia"/>
              </w:rPr>
              <w:t>时</w:t>
            </w:r>
            <w:r>
              <w:rPr>
                <w:rFonts w:hint="eastAsia"/>
                <w:lang w:val="en-US" w:eastAsia="zh-CN"/>
              </w:rPr>
              <w:t>30</w:t>
            </w:r>
            <w:r>
              <w:rPr>
                <w:rFonts w:hint="eastAsia"/>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062"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2.2.3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投标人确认收到招标文件澄清的时</w:t>
            </w:r>
            <w:r>
              <w:rPr>
                <w:rFonts w:hint="eastAsia"/>
                <w:lang w:val="en-US" w:eastAsia="zh-CN"/>
              </w:rPr>
              <w:t xml:space="preserve"> </w:t>
            </w:r>
            <w:r>
              <w:rPr>
                <w:rFonts w:hint="eastAsia"/>
              </w:rPr>
              <w:t>间</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53"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2.</w:t>
            </w:r>
            <w:r>
              <w:rPr>
                <w:rFonts w:hint="eastAsia"/>
              </w:rPr>
              <w:t>3</w:t>
            </w:r>
            <w:r>
              <w:t>.</w:t>
            </w:r>
            <w:r>
              <w:rPr>
                <w:rFonts w:hint="eastAsia"/>
              </w:rPr>
              <w:t>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投标人确认收到招标文件修改的时</w:t>
            </w:r>
            <w:r>
              <w:rPr>
                <w:rFonts w:hint="eastAsia"/>
                <w:lang w:val="en-US" w:eastAsia="zh-CN"/>
              </w:rPr>
              <w:t xml:space="preserve"> </w:t>
            </w:r>
            <w:r>
              <w:rPr>
                <w:rFonts w:hint="eastAsia"/>
              </w:rPr>
              <w:t>间</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111"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3.1.1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构成投标文件的其他材料</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347"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3</w:t>
            </w:r>
            <w:r>
              <w:rPr>
                <w:rFonts w:hint="eastAsia"/>
              </w:rPr>
              <w:t>.3</w:t>
            </w:r>
            <w:r>
              <w:t>.</w:t>
            </w:r>
            <w:r>
              <w:rPr>
                <w:rFonts w:hint="eastAsia"/>
              </w:rPr>
              <w:t>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投标有效期</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618"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3.4.1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投标保证金须知</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1、因投标人的原因无法及时退还投标（竞买）保证金、滞留三年以上的，投标（竞买）保证金上缴财政。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2、自文件发布之日起，投标人需进行基本户备案（建设工程项目），已备案的基本户开户银行、账户发生变化的，须重新办理备案手续。备案后方可提交投标（竞买）保证金。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 xml:space="preserve">3、基本户备案流程：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4、特殊情况处理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 xml:space="preserve">  投标人投标过程中因账户开户银行、银行账号发生变化，不能按照来款途径原路返还投标保证金的，投标人须提供原账户开户银行相关证明及新开账户开户许可证，到中心五楼交易见证部办理退款手续（0374-2968027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765"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bookmarkStart w:id="5" w:name="_Hlk424659721"/>
            <w:bookmarkStart w:id="6" w:name="OLE_LINK3" w:colFirst="0" w:colLast="2"/>
            <w:bookmarkStart w:id="7" w:name="OLE_LINK4" w:colFirst="0" w:colLast="2"/>
            <w:r>
              <w:rPr>
                <w:rFonts w:hint="eastAsia"/>
              </w:rPr>
              <w:t>3.4.2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投标保证金</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投标保证金递交截止时间：同投标截止时间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施工标段投标保证金的金额：大写：捌拾万元整，小写：800000.00元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lang w:val="zh-CN"/>
              </w:rPr>
            </w:pPr>
            <w:r>
              <w:rPr>
                <w:rFonts w:hint="eastAsia"/>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lang w:val="zh-CN"/>
              </w:rPr>
            </w:pPr>
            <w:r>
              <w:rPr>
                <w:rFonts w:hint="eastAsia"/>
                <w:lang w:val="zh-CN"/>
              </w:rPr>
              <w:t>2、投标保证金缴纳方式：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lang w:val="zh-CN"/>
              </w:rPr>
              <w:t>2.</w:t>
            </w:r>
            <w:r>
              <w:rPr>
                <w:rFonts w:hint="eastAsia"/>
              </w:rPr>
              <w:t>1</w:t>
            </w:r>
            <w:r>
              <w:rPr>
                <w:rFonts w:hint="eastAsia"/>
                <w:lang w:val="zh-CN"/>
              </w:rPr>
              <w:t>投标人网上报名后</w:t>
            </w:r>
            <w:r>
              <w:rPr>
                <w:rFonts w:hint="eastAsia"/>
              </w:rPr>
              <w:t>，</w:t>
            </w:r>
            <w:r>
              <w:rPr>
                <w:rFonts w:hint="eastAsia"/>
                <w:lang w:val="zh-CN"/>
              </w:rPr>
              <w:t>登录</w:t>
            </w:r>
            <w:r>
              <w:fldChar w:fldCharType="begin"/>
            </w:r>
            <w:r>
              <w:instrText xml:space="preserve"> HYPERLINK "http://221.14.6.70:8088/ggzy" </w:instrText>
            </w:r>
            <w:r>
              <w:fldChar w:fldCharType="separate"/>
            </w:r>
            <w:r>
              <w:rPr>
                <w:rFonts w:hint="eastAsia"/>
              </w:rPr>
              <w:t>http://221.14.6.70:8088/ggzy</w:t>
            </w:r>
            <w:r>
              <w:rPr>
                <w:rFonts w:hint="eastAsia"/>
              </w:rPr>
              <w:fldChar w:fldCharType="end"/>
            </w:r>
            <w:r>
              <w:rPr>
                <w:rFonts w:hint="eastAsia"/>
                <w:lang w:val="zh-CN"/>
              </w:rPr>
              <w:t>系统</w:t>
            </w:r>
            <w:r>
              <w:rPr>
                <w:rFonts w:hint="eastAsia"/>
              </w:rPr>
              <w:t>，</w:t>
            </w:r>
            <w:r>
              <w:rPr>
                <w:rFonts w:hint="eastAsia"/>
                <w:lang w:val="zh-CN"/>
              </w:rPr>
              <w:t>依次点击</w:t>
            </w:r>
            <w:r>
              <w:rPr>
                <w:rFonts w:hint="eastAsia"/>
              </w:rPr>
              <w:t>“</w:t>
            </w:r>
            <w:r>
              <w:rPr>
                <w:rFonts w:hint="eastAsia"/>
                <w:lang w:val="zh-CN"/>
              </w:rPr>
              <w:t>会员向导</w:t>
            </w:r>
            <w:r>
              <w:rPr>
                <w:rFonts w:hint="eastAsia"/>
              </w:rPr>
              <w:t>”→“</w:t>
            </w:r>
            <w:r>
              <w:rPr>
                <w:rFonts w:hint="eastAsia"/>
                <w:lang w:val="zh-CN"/>
              </w:rPr>
              <w:t>参与投标</w:t>
            </w:r>
            <w:r>
              <w:rPr>
                <w:rFonts w:hint="eastAsia"/>
              </w:rPr>
              <w:t>”→“</w:t>
            </w:r>
            <w:r>
              <w:rPr>
                <w:rFonts w:hint="eastAsia"/>
                <w:lang w:val="zh-CN"/>
              </w:rPr>
              <w:t>费用缴纳说明</w:t>
            </w:r>
            <w:r>
              <w:rPr>
                <w:rFonts w:hint="eastAsia"/>
              </w:rPr>
              <w:t>”→“</w:t>
            </w:r>
            <w:r>
              <w:rPr>
                <w:rFonts w:hint="eastAsia"/>
                <w:lang w:val="zh-CN"/>
              </w:rPr>
              <w:t>保证金缴纳说明单</w:t>
            </w:r>
            <w:r>
              <w:rPr>
                <w:rFonts w:hint="eastAsia"/>
              </w:rPr>
              <w:t>”，</w:t>
            </w:r>
            <w:r>
              <w:rPr>
                <w:rFonts w:hint="eastAsia"/>
                <w:lang w:val="zh-CN"/>
              </w:rPr>
              <w:t>获取缴费说明单</w:t>
            </w:r>
            <w:r>
              <w:rPr>
                <w:rFonts w:hint="eastAsia"/>
              </w:rPr>
              <w:t>，</w:t>
            </w:r>
            <w:r>
              <w:rPr>
                <w:rFonts w:hint="eastAsia"/>
                <w:lang w:val="zh-CN"/>
              </w:rPr>
              <w:t>根据每个标段的缴纳说明单在缴纳截止时间前缴纳</w:t>
            </w:r>
            <w:r>
              <w:rPr>
                <w:rFonts w:hint="eastAsia"/>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2.2</w:t>
            </w:r>
            <w:r>
              <w:rPr>
                <w:rFonts w:hint="eastAsia"/>
                <w:lang w:val="zh-CN"/>
              </w:rPr>
              <w:t>成功缴纳后重新登录前述系统</w:t>
            </w:r>
            <w:r>
              <w:rPr>
                <w:rFonts w:hint="eastAsia"/>
              </w:rPr>
              <w:t>，</w:t>
            </w:r>
            <w:r>
              <w:rPr>
                <w:rFonts w:hint="eastAsia"/>
                <w:lang w:val="zh-CN"/>
              </w:rPr>
              <w:t>依次点击</w:t>
            </w:r>
            <w:r>
              <w:rPr>
                <w:rFonts w:hint="eastAsia"/>
              </w:rPr>
              <w:t>“</w:t>
            </w:r>
            <w:r>
              <w:rPr>
                <w:rFonts w:hint="eastAsia"/>
                <w:lang w:val="zh-CN"/>
              </w:rPr>
              <w:t>会员向导</w:t>
            </w:r>
            <w:r>
              <w:rPr>
                <w:rFonts w:hint="eastAsia"/>
              </w:rPr>
              <w:t>”→“</w:t>
            </w:r>
            <w:r>
              <w:rPr>
                <w:rFonts w:hint="eastAsia"/>
                <w:lang w:val="zh-CN"/>
              </w:rPr>
              <w:t>参与投标</w:t>
            </w:r>
            <w:r>
              <w:rPr>
                <w:rFonts w:hint="eastAsia"/>
              </w:rPr>
              <w:t>”→“</w:t>
            </w:r>
            <w:r>
              <w:rPr>
                <w:rFonts w:hint="eastAsia"/>
                <w:lang w:val="zh-CN"/>
              </w:rPr>
              <w:t>保证金绑定</w:t>
            </w:r>
            <w:r>
              <w:rPr>
                <w:rFonts w:hint="eastAsia"/>
              </w:rPr>
              <w:t>”→“</w:t>
            </w:r>
            <w:r>
              <w:rPr>
                <w:rFonts w:hint="eastAsia"/>
                <w:lang w:val="zh-CN"/>
              </w:rPr>
              <w:t>绑定</w:t>
            </w:r>
            <w:r>
              <w:rPr>
                <w:rFonts w:hint="eastAsia"/>
              </w:rPr>
              <w:t>”</w:t>
            </w:r>
            <w:r>
              <w:rPr>
                <w:rFonts w:hint="eastAsia"/>
                <w:lang w:val="zh-CN"/>
              </w:rPr>
              <w:t>进行投标保证金绑定。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lang w:val="zh-CN"/>
              </w:rPr>
            </w:pPr>
            <w:r>
              <w:rPr>
                <w:rFonts w:hint="eastAsia"/>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lang w:val="zh-CN"/>
              </w:rPr>
            </w:pPr>
            <w:r>
              <w:rPr>
                <w:rFonts w:hint="eastAsia"/>
                <w:lang w:val="zh-CN"/>
              </w:rPr>
              <w:t>2.4 每个投标人每个项目每个标段只有唯一缴纳账号，</w:t>
            </w:r>
            <w:r>
              <w:rPr>
                <w:rFonts w:hint="eastAsia"/>
              </w:rPr>
              <w:t>切勿重复缴纳或错误缴纳。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3、未按上述规定操作引起的无效投标，由投标人自行负责。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lang w:val="zh-CN"/>
              </w:rPr>
            </w:pPr>
            <w:r>
              <w:rPr>
                <w:rFonts w:hint="eastAsia"/>
                <w:lang w:val="zh-CN"/>
              </w:rPr>
              <w:t>4、汇款凭证无须备注项目编号和项目名称。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5、出现以下情形造成的投标保证金无效，由投标人自行负责。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(1)投标保证金未从投标人的基本账户转出；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(2)投标保证金未按照招标文件划分的标段依次转账。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lang w:val="zh-CN"/>
              </w:rPr>
            </w:pPr>
            <w:r>
              <w:rPr>
                <w:rFonts w:hint="eastAsia"/>
                <w:lang w:val="zh-CN"/>
              </w:rPr>
              <w:t>6、《保证金缴纳绑定操作指南》获取方法：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lang w:val="zh-CN"/>
              </w:rPr>
            </w:pPr>
            <w:r>
              <w:rPr>
                <w:rFonts w:hint="eastAsia"/>
                <w:lang w:val="zh-CN"/>
              </w:rPr>
              <w:t>登录许昌公共资源交易系统-组件下载-《保证金缴纳绑定操作指南》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lang w:val="zh-CN"/>
              </w:rPr>
            </w:pPr>
            <w:r>
              <w:rPr>
                <w:rFonts w:hint="eastAsia"/>
                <w:lang w:val="zh-CN"/>
              </w:rPr>
              <w:t>7、</w:t>
            </w:r>
            <w:r>
              <w:rPr>
                <w:rFonts w:hint="eastAsia"/>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5"/>
      <w:bookmarkEnd w:id="6"/>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52"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3.5.2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近年财务状况要</w:t>
            </w:r>
            <w:r>
              <w:rPr>
                <w:rFonts w:hint="eastAsia"/>
                <w:lang w:val="en-US" w:eastAsia="zh-CN"/>
              </w:rPr>
              <w:t xml:space="preserve"> </w:t>
            </w:r>
            <w:r>
              <w:rPr>
                <w:rFonts w:hint="eastAsia"/>
              </w:rPr>
              <w:t>求</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近年，指2014、2015、2016年。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577"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3.5.3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近年完成的类似项目</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近年，指2014年12月1日至今，以合同</w:t>
            </w:r>
            <w:r>
              <w:rPr>
                <w:rFonts w:hint="eastAsia"/>
                <w:lang w:eastAsia="zh-CN"/>
              </w:rPr>
              <w:t>、</w:t>
            </w:r>
            <w:r>
              <w:rPr>
                <w:rFonts w:hint="eastAsia"/>
                <w:lang w:val="en-US" w:eastAsia="zh-CN"/>
              </w:rPr>
              <w:t>中标通知书、竣工验收日期</w:t>
            </w:r>
            <w:r>
              <w:rPr>
                <w:rFonts w:hint="eastAsia"/>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26"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3.5.5</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近年发生的诉讼及仲</w:t>
            </w:r>
            <w:r>
              <w:rPr>
                <w:rFonts w:hint="eastAsia"/>
                <w:lang w:val="en-US" w:eastAsia="zh-CN"/>
              </w:rPr>
              <w:t xml:space="preserve"> </w:t>
            </w:r>
            <w:r>
              <w:rPr>
                <w:rFonts w:hint="eastAsia"/>
              </w:rPr>
              <w:t>裁</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（1）有效时间以2014年12月1日到投标截止日期为准。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（2）今年发生的诉讼和仲裁情况仅限于认定投标人有违法行为的，且与履行施工承包合同有关的案件，不包括调解结案以及未裁决的仲裁或未终审判决的诉讼。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500"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3.6</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是否允许递交备选投标方</w:t>
            </w:r>
            <w:r>
              <w:rPr>
                <w:rFonts w:hint="eastAsia"/>
                <w:lang w:val="en-US" w:eastAsia="zh-CN"/>
              </w:rPr>
              <w:t xml:space="preserve"> </w:t>
            </w:r>
            <w:r>
              <w:rPr>
                <w:rFonts w:hint="eastAsia"/>
              </w:rPr>
              <w:t>案</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532"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3.7.3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签字或盖章要求</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692"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3.7.4</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投标文件份</w:t>
            </w:r>
            <w:r>
              <w:rPr>
                <w:rFonts w:hint="eastAsia"/>
                <w:lang w:val="en-US" w:eastAsia="zh-CN"/>
              </w:rPr>
              <w:t xml:space="preserve"> </w:t>
            </w:r>
            <w:r>
              <w:rPr>
                <w:rFonts w:hint="eastAsia"/>
              </w:rPr>
              <w:t>数</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商务标：正本一份，副本</w:t>
            </w:r>
            <w:r>
              <w:rPr>
                <w:rFonts w:hint="eastAsia"/>
                <w:lang w:val="en-US" w:eastAsia="zh-CN"/>
              </w:rPr>
              <w:t>八</w:t>
            </w:r>
            <w:r>
              <w:rPr>
                <w:rFonts w:hint="eastAsia"/>
              </w:rPr>
              <w:t>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综合（信用）标：正本一份，副本</w:t>
            </w:r>
            <w:r>
              <w:rPr>
                <w:rFonts w:hint="eastAsia"/>
                <w:lang w:val="en-US" w:eastAsia="zh-CN"/>
              </w:rPr>
              <w:t>八</w:t>
            </w:r>
            <w:r>
              <w:rPr>
                <w:rFonts w:hint="eastAsia"/>
              </w:rPr>
              <w:t xml:space="preserve">份；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技术标：正本一份，副本</w:t>
            </w:r>
            <w:r>
              <w:rPr>
                <w:rFonts w:hint="eastAsia"/>
                <w:lang w:val="en-US" w:eastAsia="zh-CN"/>
              </w:rPr>
              <w:t>八</w:t>
            </w:r>
            <w:r>
              <w:rPr>
                <w:rFonts w:hint="eastAsia"/>
              </w:rPr>
              <w:t>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另附：采用专用制作工具编制成功的电子商务标投标文件（已标价工程量清单）光盘（附带水印码）一份。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 xml:space="preserve">  注：投标单位在投标截止时间前上传电子版商务标投标文件（已标价工程量清单），且在递交投标文件时提供内容一致的纸质版商务标投标文件。纸质版商务标投标文件中的已标价工程量清单部分和电子商务标投标文件内容一致，并附带一致的水印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投标单位必须使用在全国公共资源交易平台(河南省▪许昌市)交易系统下载的“许昌投标文件制作系统SEARUN V1.0”进行商务标投标文件的编制。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21"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3.7.5</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装订要</w:t>
            </w:r>
            <w:r>
              <w:rPr>
                <w:rFonts w:hint="eastAsia"/>
                <w:lang w:val="en-US" w:eastAsia="zh-CN"/>
              </w:rPr>
              <w:t xml:space="preserve"> </w:t>
            </w:r>
            <w:r>
              <w:rPr>
                <w:rFonts w:hint="eastAsia"/>
              </w:rPr>
              <w:t>求</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按照投标人须知第3.1项规定的投标文件组成内容，投标文件应按以下要求装订：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共分 三 种标书，分别为：商务标、综合（信用）标、技术标。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三种标书均采用胶装方式装订，装订应牢固、不易拆散和换页，不得采用活页装订。U盘需单独密封。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22"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4.1.2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封套上写明</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招标人地址：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招标人名称：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 xml:space="preserve">         （</w:t>
            </w:r>
            <w:r>
              <w:rPr>
                <w:rFonts w:hint="eastAsia"/>
                <w:lang w:val="en-US" w:eastAsia="zh-CN"/>
              </w:rPr>
              <w:t>项目</w:t>
            </w:r>
            <w:r>
              <w:rPr>
                <w:rFonts w:hint="eastAsia"/>
              </w:rPr>
              <w:t>名称）    投标文件在   年  月  日  时  分前不得开启。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投标人名称：（盖单位章）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投标人法定代表人和其委托代理人：（签字）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57"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4.2.2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递交投标文件地</w:t>
            </w:r>
            <w:r>
              <w:rPr>
                <w:rFonts w:hint="eastAsia"/>
                <w:lang w:val="en-US" w:eastAsia="zh-CN"/>
              </w:rPr>
              <w:t xml:space="preserve"> </w:t>
            </w:r>
            <w:r>
              <w:rPr>
                <w:rFonts w:hint="eastAsia"/>
              </w:rPr>
              <w:t>点</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许昌市公共资源交易中心开标</w:t>
            </w:r>
            <w:r>
              <w:rPr>
                <w:rFonts w:hint="eastAsia"/>
                <w:lang w:val="en-US" w:eastAsia="zh-CN"/>
              </w:rPr>
              <w:t>二</w:t>
            </w:r>
            <w:r>
              <w:rPr>
                <w:rFonts w:hint="eastAsia"/>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15"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4.2.3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是否退还投标文</w:t>
            </w:r>
            <w:r>
              <w:rPr>
                <w:rFonts w:hint="eastAsia"/>
                <w:lang w:val="en-US" w:eastAsia="zh-CN"/>
              </w:rPr>
              <w:t xml:space="preserve"> </w:t>
            </w:r>
            <w:r>
              <w:rPr>
                <w:rFonts w:hint="eastAsia"/>
              </w:rPr>
              <w:t>件</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58"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5.1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开标时间和地点</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开标时间：同投标截止时间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开标地点：许昌市公共资源交易中心开标室(许昌市龙兴路竹林路交汇处公共资源大厦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70"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 xml:space="preserve">5.2 </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开标程</w:t>
            </w:r>
            <w:r>
              <w:rPr>
                <w:rFonts w:hint="eastAsia"/>
                <w:lang w:val="en-US" w:eastAsia="zh-CN"/>
              </w:rPr>
              <w:t xml:space="preserve"> </w:t>
            </w:r>
            <w:r>
              <w:rPr>
                <w:rFonts w:hint="eastAsia"/>
              </w:rPr>
              <w:t>序</w:t>
            </w:r>
          </w:p>
        </w:tc>
        <w:tc>
          <w:tcPr>
            <w:tcW w:w="79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1015"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6.1.</w:t>
            </w:r>
            <w:r>
              <w:rPr>
                <w:rFonts w:hint="eastAsia"/>
              </w:rPr>
              <w:t>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评标委员会的组</w:t>
            </w:r>
            <w:r>
              <w:rPr>
                <w:rFonts w:hint="eastAsia"/>
                <w:lang w:val="en-US" w:eastAsia="zh-CN"/>
              </w:rPr>
              <w:t xml:space="preserve"> </w:t>
            </w:r>
            <w:r>
              <w:rPr>
                <w:rFonts w:hint="eastAsia"/>
              </w:rPr>
              <w:t>建</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评标委员会构成：由评标专家6人和招标人代表3人组成，其中注册造价工程师不少于3人。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35"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t>7.1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是否授权评标委员会确定中标</w:t>
            </w:r>
            <w:r>
              <w:rPr>
                <w:rFonts w:hint="eastAsia"/>
                <w:lang w:val="en-US" w:eastAsia="zh-CN"/>
              </w:rPr>
              <w:t xml:space="preserve"> </w:t>
            </w:r>
            <w:r>
              <w:rPr>
                <w:rFonts w:hint="eastAsia"/>
              </w:rPr>
              <w:t>人</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35"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7.</w:t>
            </w:r>
            <w:r>
              <w:rPr>
                <w:rFonts w:hint="eastAsia"/>
                <w:lang w:val="en-US" w:eastAsia="zh-CN"/>
              </w:rPr>
              <w:t>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履约保证金</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履约保证金金额：合同金额的3%；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递交时间和形式：中标通知书领取之日起十个工作日内，合同签订前采用现金转账方式从中标人基本账户转入招标人指定账户。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75" w:hRule="atLeast"/>
        </w:trPr>
        <w:tc>
          <w:tcPr>
            <w:tcW w:w="9962" w:type="dxa"/>
            <w:gridSpan w:val="3"/>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37" w:hRule="atLeast"/>
        </w:trPr>
        <w:tc>
          <w:tcPr>
            <w:tcW w:w="9962" w:type="dxa"/>
            <w:gridSpan w:val="3"/>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75"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10.1.1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类似项</w:t>
            </w:r>
            <w:r>
              <w:rPr>
                <w:rFonts w:hint="eastAsia"/>
                <w:lang w:val="en-US" w:eastAsia="zh-CN"/>
              </w:rPr>
              <w:t xml:space="preserve"> </w:t>
            </w:r>
            <w:r>
              <w:rPr>
                <w:rFonts w:hint="eastAsia"/>
              </w:rPr>
              <w:t>目</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2014年12月1日以来建筑面积不低于6.5万平米的类似建筑工程。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75" w:hRule="atLeast"/>
        </w:trPr>
        <w:tc>
          <w:tcPr>
            <w:tcW w:w="9962" w:type="dxa"/>
            <w:gridSpan w:val="3"/>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475" w:hRule="atLeast"/>
        </w:trPr>
        <w:tc>
          <w:tcPr>
            <w:tcW w:w="8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10.2.1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招标控制价</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本工程设招标控制价：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施工标段：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大写：贰亿叁仟陆佰肆拾陆万伍仟玖佰肆拾叁元零伍分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小写：236465943.05元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招标控制价由招标人依据国家计价规范、《河南省建设工程工程量清单招标控制价管理规定》、河南省现行计价依据的规定编制。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83" w:hRule="atLeast"/>
        </w:trPr>
        <w:tc>
          <w:tcPr>
            <w:tcW w:w="9962" w:type="dxa"/>
            <w:gridSpan w:val="3"/>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80" w:hRule="atLeast"/>
        </w:trPr>
        <w:tc>
          <w:tcPr>
            <w:tcW w:w="199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技术标是否采用“暗标”评审方式</w:t>
            </w:r>
          </w:p>
        </w:tc>
        <w:tc>
          <w:tcPr>
            <w:tcW w:w="79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开标时各投标人的法定代表人或授权委托人持身份证及授权委托书，到开标现场签到，缺席或逾期不到者视为放弃。各投标单位参加会议人数不得多于三人。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项目经理携带本人身份证参加开标会议。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1、在中标通知书发出前，招标人将中标候选人的情况在《中国采购与招标网》、《河南招标采购综合网》和《全国公共资源交易平台(河南省▪许昌市)》予以公示，公示期不少于3日。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构成本招标文件的各个组成文件应互为解释，互为说明；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1、如有不明确或不一致，构成合同文件组成内容，以合同文件约定内容为准，且以专用合同条款约定的合同文件优先顺序解释；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2、除招标文件中有特别规定外，仅适用于招标投标阶段的规定，按招标公告（投标邀请书）、投标人须知、评标办法、投标文件格式的先后顺序解释；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3、同一组成文件中就同一事项的规定或约定不一致的，以编排顺序在后者为准；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4、同一组成文件不同版本之间有不一致的，以形成时间在后者为准。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bookmarkStart w:id="8" w:name="_Toc283559965"/>
            <w:bookmarkStart w:id="9" w:name="_Toc225243456"/>
            <w:r>
              <w:rPr>
                <w:rFonts w:hint="eastAsia"/>
              </w:rPr>
              <w:t>10.11.1 投标文件的拒收</w:t>
            </w:r>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1、逾期送达的或者未送达指定地点的投标文件；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2、投标文件未按招标文件要求密封的；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3、未按招标文件要求缴纳投标保证金的；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4、开标时法人或授权委托人（持有效的授权委托书）未携带本人身份证到开标现场并签到的；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5、开标时拟派项目经理未携带本人身份证到开标现场并签到的；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6、未通过【全国公共资源交易平台（河南省·许昌市）】上下载招标文件的。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10031"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1、潜在投标人应仔细阅读招标文件、工程量清单，若发现工程量清单中项目特征描述错误等或工程量清单与图纸存在差异，请在规定时间内在许昌市公共资源交易系统平台上提出。若投标人未提出异议，视为投标总价已经包含了为完成图纸对应工程总量的全部工程价款，即便项目实施过程中发现招标工程量清单存在漏项，竣工结算不再调整。因招标工程量清单漏项导致中标工程完整工程量与施工图纸不一致的，应由承包人承担相应的价款风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2、潜在投标人如对招标文件有异议，请在规定时间内在公共资源交易平台(河南省▪许昌市)交易系统平台上提出，以其他方式递交的异议不予接受。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3、投标人在投标截止时间前应随时关注公共资源交易平台(河南省▪许昌市)交易系统平台发出的有关本工程的答疑、修改等相关内容。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4、本项目将使用“许昌公共资源交易系统评审子系统”进行商务标电子辅助清标。因“许昌公共资源交易电子辅助清标系统SEARUNV1.0”在试用期间，如在清标过程中系统异常无法完成电子清标时，将以手工方式进行清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5、商务标投标文件制作注意事项：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5.1使用“许昌投标文件制作系统SEARUNV1.0”编制商务标投标文件。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投标单位登录许昌公共资源交易系统，从“组件下载”中下载 “许昌投标文件制作系统 SEARUN V1.0”和操作手册（工程项目），进行商务标投标文件的编制。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5.2投标人须在投标文件递交截止时间前上传电子版商务标投标文件（已标价工程量清单），并提供内容一致的纸质版商务标投标文件。纸质版商务标投标文件中的已标价工程量清单部分和电子商务标的投标文件内容一致，并附带一致的水印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5.3依据最终的商务标招标文件进行编制。如果招标文件商务标部分发生变更，投标单位应以招标人最终发出的商务标招标文件为准，编制投标文件，请投标单位关注项目变更信息。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5.4投标单位应确保电子版商务标投标文件（已标价工程量清单）成功上传，并打印“商务标投标文件递交回执”现场备查。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pPr>
            <w:r>
              <w:rPr>
                <w:rFonts w:hint="eastAsia"/>
              </w:rPr>
              <w:t>5.5商务标投标文件制作过程中如遇操作或技术问题请咨询：0374-2961598。</w:t>
            </w:r>
          </w:p>
        </w:tc>
      </w:tr>
    </w:tbl>
    <w:p>
      <w:pPr>
        <w:rPr>
          <w:rFonts w:hint="eastAsia"/>
        </w:rPr>
      </w:pPr>
      <w:bookmarkStart w:id="10" w:name="_Toc283559947"/>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rPr>
          <w:rFonts w:hint="eastAsia"/>
        </w:rPr>
        <w:t>1. 总则</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1.1 项目概况</w:t>
      </w:r>
      <w:r>
        <w:rPr>
          <w:rFonts w:hint="eastAsia"/>
        </w:rPr>
        <w:tab/>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1.1.1根据《中华人民共和国招标投标法》等有关法律、法规和规章的规定，本招标项目已具备招标条件，现对本工程进行施工招标。</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1.1.2 本招标项目招标人：见投标人须知前附表。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1.1.3 本招标项目招标代理机构：见投标人须知前附表。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1.1.4 本招标项目名称：见投标人须知前附表。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1.1.5 本标段建设地点：见投标人须知前附表。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1.2 资金来源和落实情况</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1.2.1 本招标项目的资金来源：见投标人须知前附表。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1.2.2 本招标项目的出资比例：见投标人须知前附表。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1.2.2本招标项目的资金落实情况：见投标人须知前附表。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1.3 招标范围、工期和质量要求</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1.3.1 本招标项目的招标范围：见投标人须知前附表。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1.3.2 本招标项目的工期要求：见投标人须知前附表。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1.3.3 本招标项目的质量要求：见投标人须知前附表。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1.4 投标人及项目负责人资格要求</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1.4.1投标人、项目经理资格要求：见投标人须知前附表。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1.4.2 投标人资格要求（详见投标人须知前附表）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投标人不得存在下列情形之一：</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（1）为招标人不具有独立法人资格的附属机构（单位）；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（2）为本标段前期准备提供设计或咨询服务的；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（3）为本标段的监理人；</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（4）为本标段的代建人；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（5）为本标段提供招标代理服务的；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（6）与本标段的监理人或代建人或招标代理机构同为一个法定代表人的；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（7）与本标段的监理人或代建人或招标代理机构相互控股或参股的；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（8）与本标段的监理人或代建人或招标代理机构相互任职或工作的；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（9）被责令停业的；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（10）被暂停或取消投标资格的；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（11）财产被接管或冻结的；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（12）在最近三年内有骗取中标或严重违约或重大工程质量问题的。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11" w:name="_Toc144974503"/>
      <w:bookmarkStart w:id="12" w:name="_Toc152042311"/>
      <w:bookmarkStart w:id="13" w:name="_Toc152045535"/>
      <w:bookmarkStart w:id="14" w:name="_Toc179632552"/>
      <w:r>
        <w:rPr>
          <w:rFonts w:hint="eastAsia"/>
        </w:rPr>
        <w:t>1.5 费用承担</w:t>
      </w:r>
      <w:bookmarkEnd w:id="11"/>
      <w:bookmarkEnd w:id="12"/>
      <w:bookmarkEnd w:id="13"/>
      <w:bookmarkEnd w:id="14"/>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投标人准备和参加投标活动发生的费用自理，招标代理服务费按国家相关收费文件（计价格【2002】1980号、发改价格【2011】534号）收费标准收取，由中标人在领取中标通知书之前支付</w:t>
      </w:r>
      <w:r>
        <w:rPr>
          <w:rFonts w:hint="eastAsia"/>
          <w:lang w:val="en-US" w:eastAsia="zh-CN"/>
        </w:rPr>
        <w:t>给代理单位</w:t>
      </w:r>
      <w:r>
        <w:rPr>
          <w:rFonts w:hint="eastAsia"/>
        </w:rPr>
        <w:t>。</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15" w:name="_Toc179632553"/>
      <w:bookmarkStart w:id="16" w:name="_Toc144974504"/>
      <w:bookmarkStart w:id="17" w:name="_Toc152042312"/>
      <w:bookmarkStart w:id="18" w:name="_Toc152045536"/>
      <w:r>
        <w:rPr>
          <w:rFonts w:hint="eastAsia"/>
        </w:rPr>
        <w:t>1.6 保密</w:t>
      </w:r>
      <w:bookmarkEnd w:id="15"/>
      <w:bookmarkEnd w:id="16"/>
      <w:bookmarkEnd w:id="17"/>
      <w:bookmarkEnd w:id="18"/>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参与招标投标活动的各方应对招标文件和投标文件中的商业和技术等秘密保密，违者应对由此造成的后果承担法律责任。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19" w:name="_Toc144974505"/>
      <w:bookmarkStart w:id="20" w:name="_Toc179632554"/>
      <w:bookmarkStart w:id="21" w:name="_Toc152042313"/>
      <w:bookmarkStart w:id="22" w:name="_Toc152045537"/>
      <w:r>
        <w:rPr>
          <w:rFonts w:hint="eastAsia"/>
        </w:rPr>
        <w:t>1.7 语言</w:t>
      </w:r>
      <w:bookmarkEnd w:id="19"/>
      <w:r>
        <w:rPr>
          <w:rFonts w:hint="eastAsia"/>
        </w:rPr>
        <w:t>文字</w:t>
      </w:r>
      <w:bookmarkEnd w:id="20"/>
      <w:bookmarkEnd w:id="21"/>
      <w:bookmarkEnd w:id="22"/>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除专用术语外，与招标投标有关的语言均使用中文。必要时专用术语应附有中文注释。</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23" w:name="_Toc152042314"/>
      <w:bookmarkStart w:id="24" w:name="_Toc179632555"/>
      <w:bookmarkStart w:id="25" w:name="_Toc152045538"/>
      <w:bookmarkStart w:id="26" w:name="_Toc144974506"/>
      <w:r>
        <w:rPr>
          <w:rFonts w:hint="eastAsia"/>
        </w:rPr>
        <w:t>1.8 计量单位</w:t>
      </w:r>
      <w:bookmarkEnd w:id="23"/>
      <w:bookmarkEnd w:id="24"/>
      <w:bookmarkEnd w:id="25"/>
      <w:bookmarkEnd w:id="26"/>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所有计量均采用中华人民共和国法定计量单位。</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1.9 </w:t>
      </w:r>
      <w:r>
        <w:rPr>
          <w:rFonts w:hint="eastAsia"/>
        </w:rPr>
        <w:t>踏勘现场</w:t>
      </w:r>
      <w:bookmarkEnd w:id="10"/>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1.9.1 </w:t>
      </w:r>
      <w:r>
        <w:rPr>
          <w:rFonts w:hint="eastAsia"/>
        </w:rPr>
        <w:t xml:space="preserve">不组织。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1.9.2 </w:t>
      </w:r>
      <w:r>
        <w:rPr>
          <w:rFonts w:hint="eastAsia"/>
        </w:rPr>
        <w:t>投标人踏勘现场发生的费用自理。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1.9.3 </w:t>
      </w:r>
      <w:r>
        <w:rPr>
          <w:rFonts w:hint="eastAsia"/>
        </w:rPr>
        <w:t>除招标人的原因外，投标人自行负责在踏勘现场中所发生的人员伤亡和财产损失。</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1.9.4 </w:t>
      </w:r>
      <w:r>
        <w:rPr>
          <w:rFonts w:hint="eastAsia"/>
        </w:rPr>
        <w:t>招标人在踏勘现场中介绍的工程场地和相关的周边环境情况，供投标人在编制投标文件时参考，招标人不对投标人据此作出的判断和决策负责。</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27" w:name="_Toc283559948"/>
      <w:r>
        <w:t xml:space="preserve">1.10 </w:t>
      </w:r>
      <w:r>
        <w:rPr>
          <w:rFonts w:hint="eastAsia"/>
        </w:rPr>
        <w:t>投标预备会</w:t>
      </w:r>
      <w:bookmarkEnd w:id="27"/>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1.</w:t>
      </w:r>
      <w:r>
        <w:rPr>
          <w:rFonts w:hint="eastAsia"/>
        </w:rPr>
        <w:t>10</w:t>
      </w:r>
      <w:r>
        <w:t>.</w:t>
      </w:r>
      <w:r>
        <w:rPr>
          <w:rFonts w:hint="eastAsia"/>
        </w:rPr>
        <w:t>1 招标人不召开投标预备会。</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1.</w:t>
      </w:r>
      <w:r>
        <w:rPr>
          <w:rFonts w:hint="eastAsia"/>
        </w:rPr>
        <w:t>10</w:t>
      </w:r>
      <w:r>
        <w:t>.</w:t>
      </w:r>
      <w:r>
        <w:rPr>
          <w:rFonts w:hint="eastAsia"/>
        </w:rPr>
        <w:t>2 投标人应在投标人须知前附表规定的时间前，将问题在公共资源交易系统电子平台上提出。</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1.</w:t>
      </w:r>
      <w:r>
        <w:rPr>
          <w:rFonts w:hint="eastAsia"/>
        </w:rPr>
        <w:t>10</w:t>
      </w:r>
      <w:r>
        <w:t>.3</w:t>
      </w:r>
      <w:r>
        <w:rPr>
          <w:rFonts w:hint="eastAsia"/>
        </w:rPr>
        <w:t xml:space="preserve"> 招标人在投标人须知前附表规定的时间内，将对投标人所提问题的澄清，在公共资源交易系统电子平台上予以澄清。该澄清内容为招标文件的组成部分。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28" w:name="_Toc283559949"/>
      <w:r>
        <w:t xml:space="preserve">1.11 </w:t>
      </w:r>
      <w:r>
        <w:rPr>
          <w:rFonts w:hint="eastAsia"/>
        </w:rPr>
        <w:t>分包</w:t>
      </w:r>
      <w:bookmarkEnd w:id="28"/>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29" w:name="_Toc283559950"/>
      <w:r>
        <w:rPr>
          <w:rFonts w:hint="eastAsia"/>
        </w:rPr>
        <w:t>国家政策和法律不允许的，严禁分包。</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1.12 </w:t>
      </w:r>
      <w:r>
        <w:rPr>
          <w:rFonts w:hint="eastAsia"/>
        </w:rPr>
        <w:t>偏离</w:t>
      </w:r>
      <w:bookmarkEnd w:id="29"/>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投标人须知前附表允许投标文件偏离招标文件某些要求的，偏离应当符合招标文件规定的偏离范围和幅度。</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bookmarkStart w:id="30" w:name="_Toc283559951"/>
      <w:r>
        <w:t xml:space="preserve">2. </w:t>
      </w:r>
      <w:r>
        <w:rPr>
          <w:rFonts w:hint="eastAsia"/>
        </w:rPr>
        <w:t>招标文件</w:t>
      </w:r>
      <w:bookmarkEnd w:id="30"/>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31" w:name="_Toc283559952"/>
      <w:r>
        <w:t xml:space="preserve">2.1 </w:t>
      </w:r>
      <w:r>
        <w:rPr>
          <w:rFonts w:hint="eastAsia"/>
        </w:rPr>
        <w:t>招标文件的组成</w:t>
      </w:r>
      <w:bookmarkEnd w:id="31"/>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本招标文件包括：</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（1）招标公告；</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（2）投标人须知；</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（3）评标办法；</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（4）合同条款及格式；</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（5）工程量清单；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（6）图纸；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（7）技术标准和要求；</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（8）投标文件格式；</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（9）投标人须知前附表规定的其他材料；</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根据本章第</w:t>
      </w:r>
      <w:r>
        <w:t xml:space="preserve">2.2 </w:t>
      </w:r>
      <w:r>
        <w:rPr>
          <w:rFonts w:hint="eastAsia"/>
        </w:rPr>
        <w:t>款和第</w:t>
      </w:r>
      <w:r>
        <w:t xml:space="preserve">2.3 </w:t>
      </w:r>
      <w:r>
        <w:rPr>
          <w:rFonts w:hint="eastAsia"/>
        </w:rPr>
        <w:t>款对招标文件所作的澄清、修改，构成招标文件的组成部分。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32" w:name="_Toc283559953"/>
      <w:r>
        <w:t xml:space="preserve">2.2 </w:t>
      </w:r>
      <w:r>
        <w:rPr>
          <w:rFonts w:hint="eastAsia"/>
        </w:rPr>
        <w:t>招标文件的澄清</w:t>
      </w:r>
      <w:bookmarkEnd w:id="32"/>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33" w:name="_Toc283559954"/>
      <w:r>
        <w:t xml:space="preserve">2.2.1 </w:t>
      </w:r>
      <w:r>
        <w:rPr>
          <w:rFonts w:hint="eastAsia"/>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2.2.2 </w:t>
      </w:r>
      <w:r>
        <w:rPr>
          <w:rFonts w:hint="eastAsia"/>
        </w:rPr>
        <w:t>招标文件的澄清将在投标人须知前附表规定的投标截止时间</w:t>
      </w:r>
      <w:r>
        <w:t>15</w:t>
      </w:r>
      <w:r>
        <w:rPr>
          <w:rFonts w:hint="eastAsia"/>
        </w:rPr>
        <w:t>天前通过公共资源交易系统电子平台发出，但不指明澄清问题的来源。如果澄清发出的时间距投标截止时间不足</w:t>
      </w:r>
      <w:r>
        <w:t>15</w:t>
      </w:r>
      <w:r>
        <w:rPr>
          <w:rFonts w:hint="eastAsia"/>
        </w:rPr>
        <w:t>天，相应延长投标截止时间。</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2.2.3 </w:t>
      </w:r>
      <w:r>
        <w:rPr>
          <w:rFonts w:hint="eastAsia"/>
        </w:rPr>
        <w:t>所有澄清、答疑全部以公共资源交易系统电子平台发出的为准，不再接受书面形式的递交。</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2.3 </w:t>
      </w:r>
      <w:r>
        <w:rPr>
          <w:rFonts w:hint="eastAsia"/>
        </w:rPr>
        <w:t>招标文件的修改</w:t>
      </w:r>
      <w:bookmarkEnd w:id="33"/>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2.3.1 </w:t>
      </w:r>
      <w:r>
        <w:rPr>
          <w:rFonts w:hint="eastAsia"/>
        </w:rPr>
        <w:t>在投标截止时间</w:t>
      </w:r>
      <w:r>
        <w:t>15</w:t>
      </w:r>
      <w:r>
        <w:rPr>
          <w:rFonts w:hint="eastAsia"/>
        </w:rPr>
        <w:t>天前，招标人可以通过公共资源交易系统电子平台修改招标文件，如果修改招标文件的时间距投标截止时间不足</w:t>
      </w:r>
      <w:r>
        <w:t xml:space="preserve">15 </w:t>
      </w:r>
      <w:r>
        <w:rPr>
          <w:rFonts w:hint="eastAsia"/>
        </w:rPr>
        <w:t>天，相应延长投标截止时间。</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2.3.2 </w:t>
      </w:r>
      <w:r>
        <w:rPr>
          <w:rFonts w:hint="eastAsia"/>
        </w:rPr>
        <w:t>当招标文件、补充通知、答疑纪要，内容相互矛盾时，以最后发出的通知或纪要为准。</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bookmarkStart w:id="34" w:name="_Toc179632564"/>
      <w:bookmarkStart w:id="35" w:name="_Toc152045546"/>
      <w:bookmarkStart w:id="36" w:name="_Toc144974514"/>
      <w:bookmarkStart w:id="37" w:name="_Toc152042322"/>
      <w:r>
        <w:rPr>
          <w:rFonts w:hint="eastAsia"/>
        </w:rPr>
        <w:t>3. 投标文件</w:t>
      </w:r>
      <w:bookmarkEnd w:id="34"/>
      <w:bookmarkEnd w:id="35"/>
      <w:bookmarkEnd w:id="36"/>
      <w:bookmarkEnd w:id="37"/>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38" w:name="_Toc278443453"/>
      <w:r>
        <w:rPr>
          <w:rFonts w:hint="eastAsia"/>
        </w:rPr>
        <w:t>3.1投标文件由商务标、综合（信用）标和技术标三部分组成。</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3.1.1  商务标组成：</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已标价工程量清单</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3.1.2综合（信用）标组成：</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（1）投标函及投标函附录；</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（2）法定代表人身份证明、授权委托书、项目经理承诺书；</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（3）投标保证金；</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（4）项目管理机构配备情况；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（5）投标单位基本信息表；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（6）资格证明文件；</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（7）近年财务状况</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（8）近年发生的诉讼及仲裁情况；</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（9）近年完成的类似项目情况；</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（10）正在施工的和新承接的项目情况；</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（11）其它材料；</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3.1.3  技术标组成：</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（1）施工方案和技术措施；</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（2）质量管理体系与措施；</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（3）安全管理体系与措施；</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（4）环境保护管理体系与措施；</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（5）工程进度计划与措施；</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（6）拟投入资源配备计划；</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（7）施工进度表或施工网络图；</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（8）施工总平面布置图；</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（9）在节能减排、绿色施工（含扬尘治理）、工艺创新方面针对本工程有具体措施或企业自有创新技术；</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（10）新工艺、新技术、新设备、新材料的采用程度，其在确保质量、降低成本、缩短工期、减轻劳动强度、提高工效等方面的作用；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（11）企业具备信息化管理平台，能够使工程管理者对现场实施监控和数据处理。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3.2 投标报价</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39" w:name="OLE_LINK21"/>
      <w:r>
        <w:rPr>
          <w:rFonts w:hint="eastAsia"/>
        </w:rPr>
        <w:t>3.2.1 投标人应按第五章“工程量清单”的要求填写相应表格。</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3.2.2 投标人在投标截止时间前修改投标函中的投标总报价，应同时修改第五章“工程量清单”中的相应报价。此修改须符合本章第4.3款的有关要求。</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投标人编制投标报价时，同一投标文件综合工日应前后保持一致。</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不按照以上要求编制投标报价的，视为违反《许昌市建设工程工程量清单招标评标办法（试行）》第八条第3款之规定，按废标处理。”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3.2.5 根据《许昌市施工工地扬尘污染综合整治工作方案》许气联办【2016】21号文件计取施工现场扬尘污染防治费。</w:t>
      </w:r>
    </w:p>
    <w:bookmarkEnd w:id="39"/>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3.3 投标有效期</w:t>
      </w:r>
      <w:bookmarkEnd w:id="38"/>
      <w:r>
        <w:tab/>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3.3.1</w:t>
      </w:r>
      <w:r>
        <w:rPr>
          <w:rFonts w:hint="eastAsia"/>
        </w:rPr>
        <w:t xml:space="preserve"> 在投标人须知前附表规定的投标有效期内，投标人不得要求撤销或修改其投标文件。</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3.3.2</w:t>
      </w:r>
      <w:r>
        <w:rPr>
          <w:rFonts w:hint="eastAsia"/>
        </w:rPr>
        <w:t xml:space="preserve">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40" w:name="_Toc282436964"/>
      <w:bookmarkStart w:id="41" w:name="_Toc283559960"/>
      <w:r>
        <w:rPr>
          <w:rFonts w:hint="eastAsia"/>
        </w:rPr>
        <w:t>3.4 投标保证金</w:t>
      </w:r>
      <w:bookmarkEnd w:id="40"/>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3.4.1 投标保证金的递交</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3.4.1.1因投标人的原因无法及时退还投标（竞买）保证金、滞留三年以上的，投标（竞买）保证金上缴财政。</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3.4.1.2自文件发布之日起，投标人需进行基本户备案（建设工程项目），已备案的基本户开户银行、账户发生变化的，须重新办理备案手续。备案后方可提交投标（竞买）保证金。</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基本户备案流程：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特殊情况处理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3.4.2 投标人应按投标人须知前附表规定缴纳投标保证金。</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rPr>
          <w:lang w:val="zh-CN"/>
        </w:rPr>
      </w:pPr>
      <w:r>
        <w:rPr>
          <w:rFonts w:hint="eastAsia"/>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rPr>
          <w:lang w:val="zh-CN"/>
        </w:rPr>
      </w:pPr>
      <w:r>
        <w:rPr>
          <w:rFonts w:hint="eastAsia"/>
          <w:lang w:val="zh-CN"/>
        </w:rPr>
        <w:t>3.4.2.2 投标保证金缴纳方式：</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lang w:val="zh-CN"/>
        </w:rPr>
        <w:t>投标人网上</w:t>
      </w:r>
      <w:r>
        <w:rPr>
          <w:rFonts w:hint="eastAsia"/>
        </w:rPr>
        <w:t>下载招标文件</w:t>
      </w:r>
      <w:r>
        <w:rPr>
          <w:rFonts w:hint="eastAsia"/>
          <w:lang w:val="zh-CN"/>
        </w:rPr>
        <w:t>后</w:t>
      </w:r>
      <w:r>
        <w:rPr>
          <w:rFonts w:hint="eastAsia"/>
        </w:rPr>
        <w:t>，</w:t>
      </w:r>
      <w:r>
        <w:rPr>
          <w:rFonts w:hint="eastAsia"/>
          <w:lang w:val="zh-CN"/>
        </w:rPr>
        <w:t>登录</w:t>
      </w:r>
      <w:r>
        <w:fldChar w:fldCharType="begin"/>
      </w:r>
      <w:r>
        <w:instrText xml:space="preserve"> HYPERLINK "http://221.14.6.70:8088/ggzy" </w:instrText>
      </w:r>
      <w:r>
        <w:fldChar w:fldCharType="separate"/>
      </w:r>
      <w:r>
        <w:rPr>
          <w:rFonts w:hint="eastAsia"/>
        </w:rPr>
        <w:t>http://221.14.6.70:8088/ggzy</w:t>
      </w:r>
      <w:r>
        <w:rPr>
          <w:rFonts w:hint="eastAsia"/>
        </w:rPr>
        <w:fldChar w:fldCharType="end"/>
      </w:r>
      <w:r>
        <w:rPr>
          <w:rFonts w:hint="eastAsia"/>
          <w:lang w:val="zh-CN"/>
        </w:rPr>
        <w:t>系统</w:t>
      </w:r>
      <w:r>
        <w:rPr>
          <w:rFonts w:hint="eastAsia"/>
        </w:rPr>
        <w:t>，</w:t>
      </w:r>
      <w:r>
        <w:rPr>
          <w:rFonts w:hint="eastAsia"/>
          <w:lang w:val="zh-CN"/>
        </w:rPr>
        <w:t>依次点击</w:t>
      </w:r>
      <w:r>
        <w:rPr>
          <w:rFonts w:hint="eastAsia"/>
        </w:rPr>
        <w:t>“</w:t>
      </w:r>
      <w:r>
        <w:rPr>
          <w:rFonts w:hint="eastAsia"/>
          <w:lang w:val="zh-CN"/>
        </w:rPr>
        <w:t>会员向导</w:t>
      </w:r>
      <w:r>
        <w:rPr>
          <w:rFonts w:hint="eastAsia"/>
        </w:rPr>
        <w:t>”→“</w:t>
      </w:r>
      <w:r>
        <w:rPr>
          <w:rFonts w:hint="eastAsia"/>
          <w:lang w:val="zh-CN"/>
        </w:rPr>
        <w:t>参与投标</w:t>
      </w:r>
      <w:r>
        <w:rPr>
          <w:rFonts w:hint="eastAsia"/>
        </w:rPr>
        <w:t>”→“</w:t>
      </w:r>
      <w:r>
        <w:rPr>
          <w:rFonts w:hint="eastAsia"/>
          <w:lang w:val="zh-CN"/>
        </w:rPr>
        <w:t>费用缴纳说明</w:t>
      </w:r>
      <w:r>
        <w:rPr>
          <w:rFonts w:hint="eastAsia"/>
        </w:rPr>
        <w:t>”→“</w:t>
      </w:r>
      <w:r>
        <w:rPr>
          <w:rFonts w:hint="eastAsia"/>
          <w:lang w:val="zh-CN"/>
        </w:rPr>
        <w:t>保证金缴纳说明单</w:t>
      </w:r>
      <w:r>
        <w:rPr>
          <w:rFonts w:hint="eastAsia"/>
        </w:rPr>
        <w:t>”，</w:t>
      </w:r>
      <w:r>
        <w:rPr>
          <w:rFonts w:hint="eastAsia"/>
          <w:lang w:val="zh-CN"/>
        </w:rPr>
        <w:t>获取缴费说明单</w:t>
      </w:r>
      <w:r>
        <w:rPr>
          <w:rFonts w:hint="eastAsia"/>
        </w:rPr>
        <w:t>，</w:t>
      </w:r>
      <w:r>
        <w:rPr>
          <w:rFonts w:hint="eastAsia"/>
          <w:lang w:val="zh-CN"/>
        </w:rPr>
        <w:t>根据每个标段的缴纳说明单在缴纳截止时间前缴纳</w:t>
      </w:r>
      <w:r>
        <w:rPr>
          <w:rFonts w:hint="eastAsia"/>
        </w:rPr>
        <w:t>；</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lang w:val="zh-CN"/>
        </w:rPr>
        <w:t>成功缴纳后重新登录前述系统</w:t>
      </w:r>
      <w:r>
        <w:rPr>
          <w:rFonts w:hint="eastAsia"/>
        </w:rPr>
        <w:t>，</w:t>
      </w:r>
      <w:r>
        <w:rPr>
          <w:rFonts w:hint="eastAsia"/>
          <w:lang w:val="zh-CN"/>
        </w:rPr>
        <w:t>依次点击</w:t>
      </w:r>
      <w:r>
        <w:rPr>
          <w:rFonts w:hint="eastAsia"/>
        </w:rPr>
        <w:t>“</w:t>
      </w:r>
      <w:r>
        <w:rPr>
          <w:rFonts w:hint="eastAsia"/>
          <w:lang w:val="zh-CN"/>
        </w:rPr>
        <w:t>会员向导</w:t>
      </w:r>
      <w:r>
        <w:rPr>
          <w:rFonts w:hint="eastAsia"/>
        </w:rPr>
        <w:t>”→“</w:t>
      </w:r>
      <w:r>
        <w:rPr>
          <w:rFonts w:hint="eastAsia"/>
          <w:lang w:val="zh-CN"/>
        </w:rPr>
        <w:t>参与投标</w:t>
      </w:r>
      <w:r>
        <w:rPr>
          <w:rFonts w:hint="eastAsia"/>
        </w:rPr>
        <w:t>”→“</w:t>
      </w:r>
      <w:r>
        <w:rPr>
          <w:rFonts w:hint="eastAsia"/>
          <w:lang w:val="zh-CN"/>
        </w:rPr>
        <w:t>保证金绑定</w:t>
      </w:r>
      <w:r>
        <w:rPr>
          <w:rFonts w:hint="eastAsia"/>
        </w:rPr>
        <w:t>”→“</w:t>
      </w:r>
      <w:r>
        <w:rPr>
          <w:rFonts w:hint="eastAsia"/>
          <w:lang w:val="zh-CN"/>
        </w:rPr>
        <w:t>绑定</w:t>
      </w:r>
      <w:r>
        <w:rPr>
          <w:rFonts w:hint="eastAsia"/>
        </w:rPr>
        <w:t>”</w:t>
      </w:r>
      <w:r>
        <w:rPr>
          <w:rFonts w:hint="eastAsia"/>
          <w:lang w:val="zh-CN"/>
        </w:rPr>
        <w:t>进行投标保证金绑定。</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rPr>
          <w:lang w:val="zh-CN"/>
        </w:rPr>
      </w:pPr>
      <w:r>
        <w:rPr>
          <w:rFonts w:hint="eastAsia"/>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rPr>
          <w:lang w:val="zh-CN"/>
        </w:rPr>
      </w:pPr>
      <w:r>
        <w:rPr>
          <w:rFonts w:hint="eastAsia"/>
          <w:lang w:val="zh-CN"/>
        </w:rPr>
        <w:t>3.4.2.3 每个投标人每个项目每个标段只有唯一缴纳账号，</w:t>
      </w:r>
      <w:r>
        <w:rPr>
          <w:rFonts w:hint="eastAsia"/>
        </w:rPr>
        <w:t>切勿重复缴纳或错误缴纳。</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lang w:val="zh-CN"/>
        </w:rPr>
        <w:t>3.4.2.4</w:t>
      </w:r>
      <w:r>
        <w:rPr>
          <w:rFonts w:hint="eastAsia"/>
        </w:rPr>
        <w:t>未按上述规定操作引起的无效投标，由投标人自行负责。</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rPr>
          <w:lang w:val="zh-CN"/>
        </w:rPr>
      </w:pPr>
      <w:r>
        <w:rPr>
          <w:rFonts w:hint="eastAsia"/>
          <w:lang w:val="zh-CN"/>
        </w:rPr>
        <w:t>3.4.2.5汇款凭证无须备注项目编号和项目名称。</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lang w:val="zh-CN"/>
        </w:rPr>
        <w:t xml:space="preserve">3.4.2.6 </w:t>
      </w:r>
      <w:r>
        <w:rPr>
          <w:rFonts w:hint="eastAsia"/>
        </w:rPr>
        <w:t>出现以下情形造成的投标保证金无效，由投标人自行负责。</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(1)投标保证金未从投标人的基本账户转出；</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(2)投标保证金未按照招标文件划分的标段依次转账。</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rPr>
          <w:lang w:val="zh-CN"/>
        </w:rPr>
      </w:pPr>
      <w:r>
        <w:rPr>
          <w:rFonts w:hint="eastAsia"/>
          <w:lang w:val="zh-CN"/>
        </w:rPr>
        <w:t>3.4.2.7 《保证金缴纳绑定操作指南》获取方法：</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rPr>
          <w:lang w:val="zh-CN"/>
        </w:rPr>
      </w:pPr>
      <w:r>
        <w:rPr>
          <w:rFonts w:hint="eastAsia"/>
          <w:lang w:val="zh-CN"/>
        </w:rPr>
        <w:t>登录许昌公共资源交易系统-组件下载-《保证金缴纳绑定操作指南》</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3.4.3 投标人不按本章第3.4.2项要求提交投标保证金的，拒收其投标文件。</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3.4.4投标保证金的退还：</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（1）中标公示期满没有质疑或投诉的，5个工作日内退还非中标候选人投标保证金及银行同期活期存款利息。</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（2）在书面合同签订5日内向中标人和其他中标候选人退还投标保证金及银行同期活期存款利息；法定期限内未签订书面合同的，按照有关规定退还其投标保证金。及银行同期活期存款利息。</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（3）项目废标或招标人终止招标的，在此后5个工作日内退还投标保证金及银行同期活期存利息。</w:t>
      </w:r>
      <w:r>
        <w:rPr>
          <w:rFonts w:hint="eastAsia"/>
        </w:rPr>
        <w:br w:type="textWrapping"/>
      </w:r>
      <w:r>
        <w:rPr>
          <w:rFonts w:hint="eastAsia"/>
        </w:rPr>
        <w:t xml:space="preserve">    （4）投标活动中出现质疑、投诉的，中标候选人、质疑人和被质疑人、投诉人和被投诉人的投标保证金暂停退还。</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（5）相关投标人有违法违规行为的项目，其投标保证金暂不退还，待行政监督部门对相关情况处置后，按照有关规定办理。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（6）退还投标保证金，除另有规定外，一般以转账方式一次性退还至投标保证金的原提交账户。</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3.4.5投标人有下列情形之一的，不予退还投标保证金：</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（一）在招标文件要求提交投标文件的截止时间后至投标文件有效期满前撤回投标的；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（二）中标通知书发出后，中标人无故放弃中标项目或无正当理由在规定时间内不与招标人签订合同或未按招标文件规定提交履约担保的；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（三）将中标项目转让给他人，或者在投标文件中未说明，且未经招标人同意，将中标项目分包给他人的；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（四）投标人在招投标活动中弄虚作假、围标串标，骗取中标并经招投标行政监督部门调查核实的；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（五）拒绝履行合同义务的；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（六）相关法律、法规规定不予退还的其它情形。</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七）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3.5 资格审查资料</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3.5.1 “投标人基本情况表”应附投标人营业执照副本、资质证书副本和安全生产许可证等材料的复印件。</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3.5.2 “近年财务状况表”应附经会计师事务所或审计机构审计的财务会计报表，包括资产负债表、现金流量表、利润表和财务情况说明书的复印件，具体年份要求见投标人须知前附表。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3.5.3 “近年完成的类似项目情况表”应附中标通知书、合同协议书和工程竣工验收备案表（或工程竣工验收证书）的复印件，具体年份要求见投标人须知前附表。每张表格只填写一个项目，并标明序号。</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3.5.4 “正在施工和新承接的项目情况表”应附中标通知书和合同协议书复印件。每张表格只填写一个项目，并标明序号。</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    3.5.5 “近年发生的诉讼及仲裁情况”应说明相关情况，并附法院或仲裁机构作出的判决、裁决等有关法律文书复印件，具体年份要求见投标人须知前附表。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 xml:space="preserve">3.6 </w:t>
      </w:r>
      <w:bookmarkStart w:id="42" w:name="_Toc179632571"/>
      <w:bookmarkStart w:id="43" w:name="_Toc152045553"/>
      <w:bookmarkStart w:id="44" w:name="_Toc144974521"/>
      <w:bookmarkStart w:id="45" w:name="_Toc152042329"/>
      <w:r>
        <w:rPr>
          <w:rFonts w:hint="eastAsia"/>
        </w:rPr>
        <w:t>备选投标方案</w:t>
      </w:r>
    </w:p>
    <w:bookmarkEnd w:id="42"/>
    <w:bookmarkEnd w:id="43"/>
    <w:bookmarkEnd w:id="44"/>
    <w:bookmarkEnd w:id="45"/>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3.</w:t>
      </w:r>
      <w:r>
        <w:rPr>
          <w:rFonts w:hint="eastAsia"/>
        </w:rPr>
        <w:t>7 投标文件的编制</w:t>
      </w:r>
      <w:bookmarkEnd w:id="41"/>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3.7.1投标文件应按第八章“投标文件格式”进行编写，如有必要，可以增加附页，作为投标文件的组成部分。其中，投标函附录在满足招标文件要求的基础上，可以提出比招标文件要求更有利于招标人的承诺。</w:t>
      </w:r>
      <w:r>
        <w:t>投标人编制</w:t>
      </w:r>
      <w:r>
        <w:rPr>
          <w:rFonts w:hint="eastAsia"/>
        </w:rPr>
        <w:t>的投标文件</w:t>
      </w:r>
      <w:r>
        <w:t>应当满足招标文件规定的基本格式要求</w:t>
      </w:r>
      <w:r>
        <w:rPr>
          <w:rFonts w:hint="eastAsia"/>
        </w:rPr>
        <w:t>。</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3.</w:t>
      </w:r>
      <w:r>
        <w:rPr>
          <w:rFonts w:hint="eastAsia"/>
        </w:rPr>
        <w:t>7</w:t>
      </w:r>
      <w:r>
        <w:t xml:space="preserve">.2 </w:t>
      </w:r>
      <w:r>
        <w:rPr>
          <w:rFonts w:hint="eastAsia"/>
        </w:rPr>
        <w:t>投标文件应当对招标文件有关工期、投标有效期、质量要求、招标范围作出响应。</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3.</w:t>
      </w:r>
      <w:r>
        <w:rPr>
          <w:rFonts w:hint="eastAsia"/>
        </w:rPr>
        <w:t>7</w:t>
      </w:r>
      <w:r>
        <w:t xml:space="preserve">.3 </w:t>
      </w:r>
      <w:r>
        <w:rPr>
          <w:rFonts w:hint="eastAsia"/>
        </w:rPr>
        <w:t>投标文件应用不褪色的材料书双面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46" w:name="_Toc283559961"/>
      <w:r>
        <w:rPr>
          <w:rFonts w:hint="eastAsia"/>
        </w:rPr>
        <w:t>3.7.4 投标人编制的投标文件应分为商务标、综合（信用）标和技术标。投标文件的份数见投标人须知前附表，在正本和副本的封面上应清楚地标明“正本”、“副本”字样。投标文件正本按招标文件要求签字盖章（无需逐页签字盖章），副本应与正本保持一致（可为正本的复印件）。当副本和正本不一致时，以正本为准。当正本中大小写不一致时，以大写为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3.7.5 投标文件的正本与副本应分别装订成册，并编制目录，投标文件须印刷书脊，并在书脊上注明正副本字样、项目名称和投标人名称。</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3.7.6商务标投标文件制作注意事项：</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3.7.6.1使用“许昌投标文件制作系统SEARUN V1.0”编制商务标投标文件。</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投标单位登录许昌公共资源交易系统，从“组件下载”中下载 “许昌投标文件制作系统 SEARUN V1.0”和操作手册（工程项目），进行商务标投标文件的编制。</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3.7.6.2投标人须在投标文件递交截止时间前上传电子版商务标投标文件（已标价工程量清单），并提供内容一致的纸质版商务标投标文件。纸质版商务标投标文件中的已标价工程量清单部分和电子商务标的投标文件内容一致，并附带一致的水印码。</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3.7.6.3 依据最终的商务标招标文件进行编制。如果招标文件商务标部分发生变更，投标单位应以招标人最终发出的商务标招标文件为准，编制投标文件，请投标单位关注项目变更信息。</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3.7.6.4投标单位应确保电子版商务标投标文件（已标价工程量清单）成功上传，并打印“商务标投标文件递交回执”现场备查。</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3.7.6.5 商务标投标文件制作过程中如遇操作或技术问题请咨询：0374-2961598。</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t xml:space="preserve">4. </w:t>
      </w:r>
      <w:r>
        <w:rPr>
          <w:rFonts w:hint="eastAsia"/>
        </w:rPr>
        <w:t>投标</w:t>
      </w:r>
      <w:bookmarkEnd w:id="46"/>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47" w:name="_Toc283559962"/>
      <w:r>
        <w:t xml:space="preserve">4.1 </w:t>
      </w:r>
      <w:r>
        <w:rPr>
          <w:rFonts w:hint="eastAsia"/>
        </w:rPr>
        <w:t>投标文件的密封和标记</w:t>
      </w:r>
      <w:bookmarkEnd w:id="47"/>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48" w:name="_Toc283559963"/>
      <w:r>
        <w:t>4.1.1</w:t>
      </w:r>
      <w:r>
        <w:rPr>
          <w:rFonts w:hint="eastAsia"/>
        </w:rPr>
        <w:t xml:space="preserve"> 投标文件的正本、副本和电子商务标投标文件（已标价工程量清单）光盘应分开包装，加贴封条，并在封套的封口处加盖投标人公章，密封不符合要求的不予受理。 </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4.1.2</w:t>
      </w:r>
      <w:r>
        <w:rPr>
          <w:rFonts w:hint="eastAsia"/>
        </w:rPr>
        <w:t xml:space="preserve"> 投标文件的封套上应写明的其他内容见投标人须知前附表。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4.1.3 未按本章第4.1.1项或第4.1.2项要求密封和加写标记的投标文件，招标人不予受理。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4.2 </w:t>
      </w:r>
      <w:r>
        <w:rPr>
          <w:rFonts w:hint="eastAsia"/>
        </w:rPr>
        <w:t>投标文件的递交</w:t>
      </w:r>
      <w:bookmarkEnd w:id="48"/>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4.2.1 </w:t>
      </w:r>
      <w:r>
        <w:rPr>
          <w:rFonts w:hint="eastAsia"/>
        </w:rPr>
        <w:t>投标人应在投标人须知前附表中规定的投标截止时间前递交投标文件。</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4.2.2 </w:t>
      </w:r>
      <w:r>
        <w:rPr>
          <w:rFonts w:hint="eastAsia"/>
        </w:rPr>
        <w:t>投标人递交投标文件的地点：见投标人须知前附表。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4.2.3 </w:t>
      </w:r>
      <w:r>
        <w:rPr>
          <w:rFonts w:hint="eastAsia"/>
        </w:rPr>
        <w:t>除投标人须知前附表另有规定外，投标人所递交的投标文件不予退还。</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4.2.4</w:t>
      </w:r>
      <w:r>
        <w:rPr>
          <w:rFonts w:hint="eastAsia"/>
        </w:rPr>
        <w:t xml:space="preserve"> 逾期送达的或者未送达指定地点的投标文件，招标人不予受理。</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49" w:name="_Toc283559964"/>
      <w:r>
        <w:t xml:space="preserve">4.3 </w:t>
      </w:r>
      <w:r>
        <w:rPr>
          <w:rFonts w:hint="eastAsia"/>
        </w:rPr>
        <w:t>投标文件的修改与撤回</w:t>
      </w:r>
      <w:bookmarkEnd w:id="49"/>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4.3.1 </w:t>
      </w:r>
      <w:r>
        <w:rPr>
          <w:rFonts w:hint="eastAsia"/>
        </w:rPr>
        <w:t>在本章第</w:t>
      </w:r>
      <w:r>
        <w:t xml:space="preserve">2.2.2 </w:t>
      </w:r>
      <w:r>
        <w:rPr>
          <w:rFonts w:hint="eastAsia"/>
        </w:rPr>
        <w:t>项规定的投标截止时间前，投标人可以修改或撤回已递交的投标文件，但应以书面形式通知招标人。</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4.3.2 </w:t>
      </w:r>
      <w:r>
        <w:rPr>
          <w:rFonts w:hint="eastAsia"/>
        </w:rPr>
        <w:t>投标人修改或撤回已递交投标文件的书面通知应按照本章第</w:t>
      </w:r>
      <w:r>
        <w:t xml:space="preserve">3.7.3 </w:t>
      </w:r>
      <w:r>
        <w:rPr>
          <w:rFonts w:hint="eastAsia"/>
        </w:rPr>
        <w:t>项的要求签字或盖章。招标人收到书面通知后，向投标人出具签收凭证。</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4.3.3 </w:t>
      </w:r>
      <w:r>
        <w:rPr>
          <w:rFonts w:hint="eastAsia"/>
        </w:rPr>
        <w:t>修改的内容为投标文件的组成部分。修改的投标文件应按照本章第</w:t>
      </w:r>
      <w:r>
        <w:t>3</w:t>
      </w:r>
      <w:r>
        <w:rPr>
          <w:rFonts w:hint="eastAsia"/>
        </w:rPr>
        <w:t>条、第</w:t>
      </w:r>
      <w:r>
        <w:t>4</w:t>
      </w:r>
      <w:r>
        <w:rPr>
          <w:rFonts w:hint="eastAsia"/>
        </w:rPr>
        <w:t>条规定进行编制、密封、标记和递交，并标明“修改”字样。</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bookmarkStart w:id="50" w:name="_Toc283559967"/>
      <w:r>
        <w:t xml:space="preserve">5. </w:t>
      </w:r>
      <w:r>
        <w:rPr>
          <w:rFonts w:hint="eastAsia"/>
        </w:rPr>
        <w:t>开标</w:t>
      </w:r>
      <w:bookmarkEnd w:id="50"/>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51" w:name="_Toc283559968"/>
      <w:r>
        <w:t xml:space="preserve">5.1 </w:t>
      </w:r>
      <w:r>
        <w:rPr>
          <w:rFonts w:hint="eastAsia"/>
        </w:rPr>
        <w:t>开标时间和地点</w:t>
      </w:r>
      <w:bookmarkEnd w:id="51"/>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招标人在投标人须知前附表第2.2.2项规定的投标截止时间（开标时间）和投标人须知前附表规定的地点公开开标，并邀请所有投标人的法定代表人或授权委托人和项目经理准时参加。</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5.2 开标程序</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52" w:name="_Toc283559970"/>
      <w:r>
        <w:rPr>
          <w:rFonts w:hint="eastAsia"/>
        </w:rPr>
        <w:t>主持人按下列程序进行开标：</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（1）宣布开标纪律；</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（2）宣布开标人、唱标人、记录人、监标人等有关人员姓名；</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（3）公布在投标截止时间前递交投标文件的投标人名称，并点名确认投标人是否派人到场；</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（4）按照投标人须知前附表规定检查投标文件的密封情况；</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（5）按照投标人须知前附表的规定确定并宣布投标文件开标顺序；</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（6）按照宣布的开标顺序当众开标，公布招标控制价、投标人名称、投标保证金的递交情况、投标报价、质量目标、工期及其他内容，并记录在案；</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（7）现场抽取参与计算评标基准价的K值，并宣读；</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（8）投标人代表、招标人代表、监标人、记录人等有关人员在开标记录上签字确认；</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（9）开标结束。</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r>
        <w:t xml:space="preserve">6. </w:t>
      </w:r>
      <w:r>
        <w:rPr>
          <w:rFonts w:hint="eastAsia"/>
        </w:rPr>
        <w:t>评标</w:t>
      </w:r>
      <w:bookmarkEnd w:id="52"/>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53" w:name="_Toc283559971"/>
      <w:r>
        <w:t xml:space="preserve">6.1 </w:t>
      </w:r>
      <w:r>
        <w:rPr>
          <w:rFonts w:hint="eastAsia"/>
        </w:rPr>
        <w:t>评标委员会</w:t>
      </w:r>
      <w:bookmarkEnd w:id="53"/>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6.1.1 </w:t>
      </w:r>
      <w:r>
        <w:rPr>
          <w:rFonts w:hint="eastAsia"/>
        </w:rPr>
        <w:t>评标由招标人依法组建的评标委员会负责。评标委员会成员由相关技术、经济等方面的专家组成，组成人数见投标人须知前附表。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 xml:space="preserve">6.1.2 </w:t>
      </w:r>
      <w:r>
        <w:rPr>
          <w:rFonts w:hint="eastAsia"/>
        </w:rPr>
        <w:t>评标委员会成员有下列情形之一的，应当回避：</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w:t>
      </w:r>
      <w:r>
        <w:t>1</w:t>
      </w:r>
      <w:r>
        <w:rPr>
          <w:rFonts w:hint="eastAsia"/>
        </w:rPr>
        <w:t>）招标人或投标人的主要负责人的近亲属；</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w:t>
      </w:r>
      <w:r>
        <w:t>2</w:t>
      </w:r>
      <w:r>
        <w:rPr>
          <w:rFonts w:hint="eastAsia"/>
        </w:rPr>
        <w:t>）项目主管部门或者行政监督部门的人员；</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w:t>
      </w:r>
      <w:r>
        <w:t>3</w:t>
      </w:r>
      <w:r>
        <w:rPr>
          <w:rFonts w:hint="eastAsia"/>
        </w:rPr>
        <w:t>）与投标人有经济利益关系，可能影响对投标公正评审的；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w:t>
      </w:r>
      <w:r>
        <w:t>4</w:t>
      </w:r>
      <w:r>
        <w:rPr>
          <w:rFonts w:hint="eastAsia"/>
        </w:rPr>
        <w:t>）曾因在招标、评标以及其他与招标投标有关活动中从事违法行为而受过行政处罚或刑事处罚的。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54" w:name="_Toc283559972"/>
      <w:r>
        <w:t xml:space="preserve">6.2 </w:t>
      </w:r>
      <w:r>
        <w:rPr>
          <w:rFonts w:hint="eastAsia"/>
        </w:rPr>
        <w:t>评标原则</w:t>
      </w:r>
      <w:bookmarkEnd w:id="54"/>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评标活动遵循公平、公正、科学和择优的原则。</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55" w:name="_Toc283559973"/>
      <w:r>
        <w:t xml:space="preserve">6.3 </w:t>
      </w:r>
      <w:r>
        <w:rPr>
          <w:rFonts w:hint="eastAsia"/>
        </w:rPr>
        <w:t>评标</w:t>
      </w:r>
      <w:bookmarkEnd w:id="55"/>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评标委员会按照第三章“评标办法”规定的方法、评审因素、标准和程序对投标文件进行评审。第三章“评标办法”没有规定的方法、评审因素和标准，不作为评标依据。</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bookmarkStart w:id="56" w:name="_Toc283559974"/>
      <w:r>
        <w:t xml:space="preserve">7. </w:t>
      </w:r>
      <w:r>
        <w:rPr>
          <w:rFonts w:hint="eastAsia"/>
        </w:rPr>
        <w:t>合同授予</w:t>
      </w:r>
      <w:bookmarkEnd w:id="56"/>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57" w:name="_Toc283559975"/>
      <w:r>
        <w:t xml:space="preserve">7.1 </w:t>
      </w:r>
      <w:r>
        <w:rPr>
          <w:rFonts w:hint="eastAsia"/>
        </w:rPr>
        <w:t>定标方式</w:t>
      </w:r>
      <w:bookmarkEnd w:id="57"/>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除投标人须知前附表规定评标委员会直接确定中标人外，招标人依据评标委员会推荐的中标候选人确定中标人，评标委员会推荐中标候选人的人数见投标人须知前附表。</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58" w:name="_Toc283559976"/>
      <w:r>
        <w:t>7.</w:t>
      </w:r>
      <w:r>
        <w:rPr>
          <w:rFonts w:hint="eastAsia"/>
        </w:rPr>
        <w:t>2中标通知</w:t>
      </w:r>
      <w:bookmarkEnd w:id="58"/>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在本章第</w:t>
      </w:r>
      <w:r>
        <w:t xml:space="preserve">3.3 </w:t>
      </w:r>
      <w:r>
        <w:rPr>
          <w:rFonts w:hint="eastAsia"/>
        </w:rPr>
        <w:t>款规定的投标有效期内，招标人以书面形式向中标人发出中标通知书，同时将中标结果通知未中标的投标人。</w:t>
      </w:r>
      <w:bookmarkStart w:id="59" w:name="_Toc144974537"/>
      <w:bookmarkStart w:id="60" w:name="_Toc152042345"/>
      <w:bookmarkStart w:id="61" w:name="_Toc152045569"/>
      <w:bookmarkStart w:id="62" w:name="_Toc179632587"/>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7.</w:t>
      </w:r>
      <w:bookmarkEnd w:id="59"/>
      <w:bookmarkEnd w:id="60"/>
      <w:bookmarkEnd w:id="61"/>
      <w:bookmarkEnd w:id="62"/>
      <w:bookmarkStart w:id="63" w:name="_Toc283559977"/>
      <w:r>
        <w:rPr>
          <w:rFonts w:hint="eastAsia"/>
        </w:rPr>
        <w:t>3签订合同</w:t>
      </w:r>
      <w:bookmarkEnd w:id="63"/>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7.</w:t>
      </w:r>
      <w:r>
        <w:rPr>
          <w:rFonts w:hint="eastAsia"/>
        </w:rPr>
        <w:t>3</w:t>
      </w:r>
      <w:r>
        <w:t xml:space="preserve">.1 </w:t>
      </w:r>
      <w:r>
        <w:rPr>
          <w:rFonts w:hint="eastAsia"/>
        </w:rPr>
        <w:t>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t>7.</w:t>
      </w:r>
      <w:r>
        <w:rPr>
          <w:rFonts w:hint="eastAsia"/>
        </w:rPr>
        <w:t>3</w:t>
      </w:r>
      <w:r>
        <w:t xml:space="preserve">.2 </w:t>
      </w:r>
      <w:r>
        <w:rPr>
          <w:rFonts w:hint="eastAsia"/>
        </w:rPr>
        <w:t>发出中标通知书后，招标人无正当理由拒签合同的，招标人向中标人退还投标保证金；给中标人造成损失的，还应当赔偿损失。</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bookmarkStart w:id="64" w:name="_Toc283559978"/>
      <w:r>
        <w:t xml:space="preserve">8. </w:t>
      </w:r>
      <w:r>
        <w:rPr>
          <w:rFonts w:hint="eastAsia"/>
        </w:rPr>
        <w:t>重新招标和不再招标</w:t>
      </w:r>
      <w:bookmarkEnd w:id="64"/>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65" w:name="_Toc283559979"/>
      <w:r>
        <w:t xml:space="preserve">8.1 </w:t>
      </w:r>
      <w:r>
        <w:rPr>
          <w:rFonts w:hint="eastAsia"/>
        </w:rPr>
        <w:t>重新招标</w:t>
      </w:r>
      <w:bookmarkEnd w:id="65"/>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有下列情形之一的，招标人将重新招标：</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w:t>
      </w:r>
      <w:r>
        <w:t>1</w:t>
      </w:r>
      <w:r>
        <w:rPr>
          <w:rFonts w:hint="eastAsia"/>
        </w:rPr>
        <w:t>）投标截止时间止，投标人少于</w:t>
      </w:r>
      <w:r>
        <w:t xml:space="preserve">3 </w:t>
      </w:r>
      <w:r>
        <w:rPr>
          <w:rFonts w:hint="eastAsia"/>
        </w:rPr>
        <w:t>个的；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w:t>
      </w:r>
      <w:r>
        <w:t>2</w:t>
      </w:r>
      <w:r>
        <w:rPr>
          <w:rFonts w:hint="eastAsia"/>
        </w:rPr>
        <w:t>）经评标委员会评审后否决所有投标的。</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66" w:name="_Toc283559980"/>
      <w:r>
        <w:t xml:space="preserve">8.2 </w:t>
      </w:r>
      <w:r>
        <w:rPr>
          <w:rFonts w:hint="eastAsia"/>
        </w:rPr>
        <w:t>不再招标</w:t>
      </w:r>
      <w:bookmarkEnd w:id="66"/>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重新招标后投标人仍少于</w:t>
      </w:r>
      <w:r>
        <w:t>3</w:t>
      </w:r>
      <w:r>
        <w:rPr>
          <w:rFonts w:hint="eastAsia"/>
        </w:rPr>
        <w:t>个，属于必须审批或核准的工程建设项目，经原审批或核准部门批准后不再进行招标。</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bookmarkStart w:id="67" w:name="_Toc283559981"/>
      <w:r>
        <w:t xml:space="preserve">9. </w:t>
      </w:r>
      <w:r>
        <w:rPr>
          <w:rFonts w:hint="eastAsia"/>
        </w:rPr>
        <w:t>纪律和监督</w:t>
      </w:r>
      <w:bookmarkEnd w:id="67"/>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68" w:name="_Toc283559982"/>
      <w:r>
        <w:t xml:space="preserve">9.1 </w:t>
      </w:r>
      <w:r>
        <w:rPr>
          <w:rFonts w:hint="eastAsia"/>
        </w:rPr>
        <w:t>对招标人的纪律要求</w:t>
      </w:r>
      <w:bookmarkEnd w:id="68"/>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招标人不得泄漏招标投标活动中应当保密的情况和资料，不得与投标人串通损害国家利益、社会公共利益或者他人合法权益。</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69" w:name="_Toc283559983"/>
      <w:r>
        <w:t xml:space="preserve">9.2 </w:t>
      </w:r>
      <w:r>
        <w:rPr>
          <w:rFonts w:hint="eastAsia"/>
        </w:rPr>
        <w:t>对投标人的纪律要求</w:t>
      </w:r>
      <w:bookmarkEnd w:id="69"/>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70" w:name="_Toc283559984"/>
      <w:r>
        <w:t xml:space="preserve">9.3 </w:t>
      </w:r>
      <w:r>
        <w:rPr>
          <w:rFonts w:hint="eastAsia"/>
        </w:rPr>
        <w:t>对评标委员会成员的纪律要求</w:t>
      </w:r>
      <w:bookmarkEnd w:id="70"/>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71" w:name="_Toc283559985"/>
      <w:r>
        <w:t xml:space="preserve">9.4 </w:t>
      </w:r>
      <w:r>
        <w:rPr>
          <w:rFonts w:hint="eastAsia"/>
        </w:rPr>
        <w:t>对与评标活动有关的工作人员的纪律要求</w:t>
      </w:r>
      <w:bookmarkEnd w:id="71"/>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bookmarkStart w:id="72" w:name="_Toc283559986"/>
      <w:r>
        <w:t xml:space="preserve">9.5 </w:t>
      </w:r>
      <w:r>
        <w:rPr>
          <w:rFonts w:hint="eastAsia"/>
        </w:rPr>
        <w:t>投诉</w:t>
      </w:r>
      <w:bookmarkEnd w:id="72"/>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投标人和其他利害关系人认为本次招标活动违反法律、法规和规章规定的，有权向有关行政监督部门投诉。</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pPr>
      <w:bookmarkStart w:id="73" w:name="_Toc283559987"/>
      <w:r>
        <w:t xml:space="preserve">10. </w:t>
      </w:r>
      <w:r>
        <w:rPr>
          <w:rFonts w:hint="eastAsia"/>
        </w:rPr>
        <w:t>需要补充的其他内容</w:t>
      </w:r>
      <w:bookmarkEnd w:id="73"/>
    </w:p>
    <w:p>
      <w:pPr>
        <w:pageBreakBefore w:val="0"/>
        <w:widowControl w:val="0"/>
        <w:kinsoku/>
        <w:wordWrap/>
        <w:overflowPunct/>
        <w:topLinePunct w:val="0"/>
        <w:autoSpaceDE/>
        <w:autoSpaceDN/>
        <w:bidi w:val="0"/>
        <w:adjustRightInd/>
        <w:snapToGrid/>
        <w:spacing w:line="240" w:lineRule="auto"/>
        <w:ind w:left="0" w:leftChars="0" w:right="0" w:rightChars="0" w:firstLine="680" w:firstLineChars="200"/>
        <w:jc w:val="both"/>
        <w:textAlignment w:val="auto"/>
      </w:pPr>
      <w:r>
        <w:rPr>
          <w:rFonts w:hint="eastAsia"/>
        </w:rPr>
        <w:t>需要补充的其他内容：见投标人须知前附表。</w:t>
      </w:r>
    </w:p>
    <w:p>
      <w:r>
        <w:br w:type="page"/>
      </w:r>
    </w:p>
    <w:p>
      <w:r>
        <w:rPr>
          <w:rFonts w:hint="eastAsia"/>
        </w:rPr>
        <w:t>附表一：提交证件及业绩格式</w:t>
      </w:r>
    </w:p>
    <w:p>
      <w:r>
        <w:rPr>
          <w:rFonts w:hint="eastAsia"/>
        </w:rPr>
        <w:t xml:space="preserve">         项目编号：工程标段</w:t>
      </w:r>
    </w:p>
    <w:p>
      <w:r>
        <w:rPr>
          <w:rFonts w:hint="eastAsia"/>
        </w:rPr>
        <w:t>提交证件及业绩提交及领取一览表</w:t>
      </w:r>
    </w:p>
    <w:tbl>
      <w:tblPr>
        <w:tblStyle w:val="42"/>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031"/>
        <w:gridCol w:w="119"/>
        <w:gridCol w:w="3365"/>
        <w:gridCol w:w="2427"/>
        <w:gridCol w:w="81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054" w:type="dxa"/>
            <w:gridSpan w:val="3"/>
            <w:vAlign w:val="center"/>
          </w:tcPr>
          <w:p>
            <w:r>
              <w:rPr>
                <w:rFonts w:hint="eastAsia"/>
              </w:rPr>
              <w:t>投标单位</w:t>
            </w:r>
          </w:p>
        </w:tc>
        <w:tc>
          <w:tcPr>
            <w:tcW w:w="7406" w:type="dxa"/>
            <w:gridSpan w:val="4"/>
            <w:vAlign w:val="center"/>
          </w:tcPr>
          <w:p>
            <w:r>
              <w:rPr>
                <w:rFonts w:hint="eastAsia"/>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r>
              <w:rPr>
                <w:rFonts w:hint="eastAsia"/>
              </w:rPr>
              <w:t>序号</w:t>
            </w:r>
          </w:p>
        </w:tc>
        <w:tc>
          <w:tcPr>
            <w:tcW w:w="6942" w:type="dxa"/>
            <w:gridSpan w:val="4"/>
            <w:vAlign w:val="center"/>
          </w:tcPr>
          <w:p>
            <w:r>
              <w:rPr>
                <w:rFonts w:hint="eastAsia"/>
              </w:rPr>
              <w:t>证件名称</w:t>
            </w:r>
          </w:p>
        </w:tc>
        <w:tc>
          <w:tcPr>
            <w:tcW w:w="814" w:type="dxa"/>
            <w:vAlign w:val="center"/>
          </w:tcPr>
          <w:p>
            <w:r>
              <w:rPr>
                <w:rFonts w:hint="eastAsia"/>
              </w:rPr>
              <w:t>份数</w:t>
            </w:r>
          </w:p>
        </w:tc>
        <w:tc>
          <w:tcPr>
            <w:tcW w:w="800" w:type="dxa"/>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4" w:type="dxa"/>
            <w:vAlign w:val="center"/>
          </w:tcPr>
          <w:p/>
        </w:tc>
        <w:tc>
          <w:tcPr>
            <w:tcW w:w="6942" w:type="dxa"/>
            <w:gridSpan w:val="4"/>
            <w:vAlign w:val="center"/>
          </w:tcPr>
          <w:p/>
        </w:tc>
        <w:tc>
          <w:tcPr>
            <w:tcW w:w="814" w:type="dxa"/>
            <w:vAlign w:val="center"/>
          </w:tcPr>
          <w:p/>
        </w:tc>
        <w:tc>
          <w:tcPr>
            <w:tcW w:w="80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935" w:type="dxa"/>
            <w:gridSpan w:val="2"/>
            <w:vAlign w:val="center"/>
          </w:tcPr>
          <w:p>
            <w:r>
              <w:rPr>
                <w:rFonts w:hint="eastAsia"/>
              </w:rPr>
              <w:t>提交及归还时间</w:t>
            </w:r>
          </w:p>
        </w:tc>
        <w:tc>
          <w:tcPr>
            <w:tcW w:w="3484" w:type="dxa"/>
            <w:gridSpan w:val="2"/>
            <w:vAlign w:val="center"/>
          </w:tcPr>
          <w:p>
            <w:r>
              <w:rPr>
                <w:rFonts w:hint="eastAsia"/>
              </w:rPr>
              <w:t>提交时间：年月日时</w:t>
            </w:r>
          </w:p>
        </w:tc>
        <w:tc>
          <w:tcPr>
            <w:tcW w:w="4041" w:type="dxa"/>
            <w:gridSpan w:val="3"/>
            <w:vAlign w:val="center"/>
          </w:tcPr>
          <w:p>
            <w:r>
              <w:rPr>
                <w:rFonts w:hint="eastAsia"/>
              </w:rPr>
              <w:t>领取（归还）时间：年月日时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935" w:type="dxa"/>
            <w:gridSpan w:val="2"/>
            <w:vAlign w:val="center"/>
          </w:tcPr>
          <w:p>
            <w:r>
              <w:rPr>
                <w:rFonts w:hint="eastAsia"/>
              </w:rPr>
              <w:t>投标单位被授权委托人</w:t>
            </w:r>
          </w:p>
        </w:tc>
        <w:tc>
          <w:tcPr>
            <w:tcW w:w="3484" w:type="dxa"/>
            <w:gridSpan w:val="2"/>
            <w:vAlign w:val="center"/>
          </w:tcPr>
          <w:p>
            <w:r>
              <w:rPr>
                <w:rFonts w:hint="eastAsia"/>
              </w:rPr>
              <w:t>提交人签字：</w:t>
            </w:r>
          </w:p>
        </w:tc>
        <w:tc>
          <w:tcPr>
            <w:tcW w:w="4041" w:type="dxa"/>
            <w:gridSpan w:val="3"/>
            <w:vAlign w:val="center"/>
          </w:tcPr>
          <w:p>
            <w:r>
              <w:rPr>
                <w:rFonts w:hint="eastAsia"/>
              </w:rPr>
              <w:t>领取人签字：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935" w:type="dxa"/>
            <w:gridSpan w:val="2"/>
            <w:vAlign w:val="center"/>
          </w:tcPr>
          <w:p>
            <w:r>
              <w:rPr>
                <w:rFonts w:hint="eastAsia"/>
              </w:rPr>
              <w:t>联系方式</w:t>
            </w:r>
          </w:p>
        </w:tc>
        <w:tc>
          <w:tcPr>
            <w:tcW w:w="7525" w:type="dxa"/>
            <w:gridSpan w:val="5"/>
            <w:vAlign w:val="center"/>
          </w:tcPr>
          <w:p/>
        </w:tc>
      </w:tr>
    </w:tbl>
    <w:p>
      <w:r>
        <w:rPr>
          <w:rFonts w:hint="eastAsia"/>
        </w:rPr>
        <w:t>注：1、投标人向评标委员会提交的所有证书及相关材料打印目录并加盖公章。</w:t>
      </w:r>
    </w:p>
    <w:p>
      <w:r>
        <w:rPr>
          <w:rFonts w:hint="eastAsia"/>
        </w:rPr>
        <w:t xml:space="preserve">    2、评标委员会依法成立后，不再接受投标人任何材料(问题的澄清、说明、补正除外)。</w:t>
      </w:r>
    </w:p>
    <w:p>
      <w:r>
        <w:rPr>
          <w:rFonts w:hint="eastAsia"/>
        </w:rPr>
        <w:t xml:space="preserve">    3、证件及业绩提交后直至评标结束后方可取回，中途不退。投标人应充分考虑各方面因素，合理安排时间，避免影响原件的使用。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附表二：问题澄清通知</w:t>
      </w:r>
    </w:p>
    <w:p>
      <w:r>
        <w:rPr>
          <w:rFonts w:hint="eastAsia"/>
        </w:rPr>
        <w:t>问题澄清通知</w:t>
      </w:r>
    </w:p>
    <w:p>
      <w:r>
        <w:rPr>
          <w:rFonts w:hint="eastAsia"/>
        </w:rPr>
        <w:t>编号：</w:t>
      </w:r>
    </w:p>
    <w:p>
      <w:r>
        <w:rPr>
          <w:rFonts w:hint="eastAsia"/>
        </w:rPr>
        <w:t>（投标人名称）：</w:t>
      </w:r>
    </w:p>
    <w:p>
      <w:r>
        <w:rPr>
          <w:rFonts w:hint="eastAsia"/>
        </w:rPr>
        <w:t>（项目名称）        标段招标的评标委员会，对你方的投标文件进行了仔细的审查，现需你方对本通知所附质疑问卷中的问题以书面形式予以澄清、说明或者补正。</w:t>
      </w:r>
    </w:p>
    <w:p/>
    <w:p>
      <w:r>
        <w:rPr>
          <w:rFonts w:hint="eastAsia"/>
        </w:rPr>
        <w:t>1、</w:t>
      </w:r>
    </w:p>
    <w:p>
      <w:r>
        <w:rPr>
          <w:rFonts w:hint="eastAsia"/>
        </w:rPr>
        <w:t>2、</w:t>
      </w:r>
    </w:p>
    <w:p/>
    <w:p>
      <w:r>
        <w:t>…</w:t>
      </w:r>
      <w:r>
        <w:rPr>
          <w:rFonts w:hint="eastAsia"/>
        </w:rPr>
        <w:t>.</w:t>
      </w:r>
    </w:p>
    <w:p>
      <w:r>
        <w:rPr>
          <w:rFonts w:hint="eastAsia"/>
        </w:rPr>
        <w:t>请将上述问题的澄清、说明或者补正于年月日时前密封递交至（详细地址）</w:t>
      </w:r>
    </w:p>
    <w:p/>
    <w:p>
      <w:r>
        <w:rPr>
          <w:rFonts w:hint="eastAsia"/>
        </w:rPr>
        <w:t>附件：质疑问卷</w:t>
      </w:r>
    </w:p>
    <w:p/>
    <w:p/>
    <w:p>
      <w:r>
        <w:rPr>
          <w:rFonts w:hint="eastAsia"/>
        </w:rPr>
        <w:t>招标人或招标代理机构：（签字或盖章）</w:t>
      </w:r>
    </w:p>
    <w:p>
      <w:r>
        <w:rPr>
          <w:rFonts w:hint="eastAsia"/>
        </w:rPr>
        <w:t>年月日</w:t>
      </w:r>
      <w:r>
        <w:br w:type="page"/>
      </w:r>
    </w:p>
    <w:p>
      <w:r>
        <w:rPr>
          <w:rFonts w:hint="eastAsia"/>
        </w:rPr>
        <w:t>附表三：问题的澄清</w:t>
      </w:r>
    </w:p>
    <w:p>
      <w:r>
        <w:rPr>
          <w:rFonts w:hint="eastAsia"/>
        </w:rPr>
        <w:t>问题的澄清、说明或补正</w:t>
      </w:r>
    </w:p>
    <w:p>
      <w:r>
        <w:rPr>
          <w:rFonts w:hint="eastAsia"/>
        </w:rPr>
        <w:t>编号：</w:t>
      </w:r>
    </w:p>
    <w:p>
      <w:r>
        <w:rPr>
          <w:rFonts w:hint="eastAsia"/>
        </w:rPr>
        <w:t>（项目名称）标段招标评标委员会：</w:t>
      </w:r>
    </w:p>
    <w:p>
      <w:r>
        <w:rPr>
          <w:rFonts w:hint="eastAsia"/>
        </w:rPr>
        <w:t>问题澄清通知（编号：）已收悉，现澄清、说明或者补正如下：</w:t>
      </w:r>
    </w:p>
    <w:p>
      <w:r>
        <w:rPr>
          <w:rFonts w:hint="eastAsia"/>
        </w:rPr>
        <w:t>1.</w:t>
      </w:r>
    </w:p>
    <w:p>
      <w:r>
        <w:rPr>
          <w:rFonts w:hint="eastAsia"/>
        </w:rPr>
        <w:t>2.</w:t>
      </w:r>
    </w:p>
    <w:p/>
    <w:p>
      <w:r>
        <w:rPr>
          <w:rFonts w:hint="eastAsia"/>
        </w:rPr>
        <w:t>……</w:t>
      </w:r>
    </w:p>
    <w:p/>
    <w:p/>
    <w:p/>
    <w:p/>
    <w:p/>
    <w:p/>
    <w:p>
      <w:r>
        <w:rPr>
          <w:rFonts w:hint="eastAsia"/>
        </w:rPr>
        <w:t xml:space="preserve">投标人：（盖单位章） </w:t>
      </w:r>
    </w:p>
    <w:p>
      <w:r>
        <w:rPr>
          <w:rFonts w:hint="eastAsia"/>
        </w:rPr>
        <w:t xml:space="preserve">法定代表人或其委托代理人：（签字） </w:t>
      </w:r>
    </w:p>
    <w:p>
      <w:r>
        <w:rPr>
          <w:rFonts w:hint="eastAsia"/>
        </w:rPr>
        <w:t>年月日</w:t>
      </w:r>
    </w:p>
    <w:p>
      <w:r>
        <w:br w:type="page"/>
      </w:r>
    </w:p>
    <w:p>
      <w:pPr>
        <w:pStyle w:val="3"/>
        <w:spacing w:line="240" w:lineRule="auto"/>
      </w:pPr>
      <w:bookmarkStart w:id="74" w:name="_Toc22757"/>
      <w:bookmarkStart w:id="75" w:name="_Toc8907"/>
      <w:r>
        <w:rPr>
          <w:rFonts w:hint="eastAsia"/>
        </w:rPr>
        <w:t>第三章 评标办法（综合计分法）</w:t>
      </w:r>
      <w:bookmarkEnd w:id="74"/>
      <w:bookmarkEnd w:id="75"/>
    </w:p>
    <w:p>
      <w:r>
        <w:rPr>
          <w:rFonts w:hint="eastAsia"/>
        </w:rPr>
        <w:t xml:space="preserve">     一、评标应遵循公正、公平、择优的原则严格按照招标文件进行。</w:t>
      </w:r>
    </w:p>
    <w:p>
      <w:r>
        <w:rPr>
          <w:rFonts w:hint="eastAsia"/>
        </w:rPr>
        <w:t xml:space="preserve">     二、评标由招标人依法组建的评标委员会负责，评标委员会成员从河南省综合评标专家库中随机抽取6人和招标人代表3人组成其中注册造价工程师不少于3人，与投标人有利害关系的专家不得进入评标委员会。</w:t>
      </w:r>
    </w:p>
    <w:p>
      <w:r>
        <w:rPr>
          <w:rFonts w:hint="eastAsia"/>
        </w:rPr>
        <w:t xml:space="preserve">     三、评标采用综合计分法，是指评标委员会根据招标文件要求应从技术标、商务标、综合（信用）标三部分进行综合评审</w:t>
      </w:r>
      <w:bookmarkStart w:id="76" w:name="OLE_LINK7"/>
      <w:r>
        <w:rPr>
          <w:rFonts w:hint="eastAsia"/>
        </w:rPr>
        <w:t>（评标专家在商务标清标系统的辅助下对各投标单位的商务标电子投标文件进行评审）</w:t>
      </w:r>
      <w:bookmarkEnd w:id="76"/>
      <w:r>
        <w:rPr>
          <w:rFonts w:hint="eastAsia"/>
        </w:rPr>
        <w:t>。技术标的权重占20%，商务标的权重占60%，综合（信用）标的权重占20%。</w:t>
      </w:r>
    </w:p>
    <w:p>
      <w:r>
        <w:rPr>
          <w:rFonts w:hint="eastAsia"/>
        </w:rPr>
        <w:t>四、评标程序为：</w:t>
      </w:r>
    </w:p>
    <w:p>
      <w:r>
        <w:rPr>
          <w:rFonts w:hint="eastAsia"/>
        </w:rPr>
        <w:t>（一）清标；</w:t>
      </w:r>
    </w:p>
    <w:p>
      <w:r>
        <w:rPr>
          <w:rFonts w:hint="eastAsia"/>
        </w:rPr>
        <w:t>（二）初步评审；</w:t>
      </w:r>
    </w:p>
    <w:p>
      <w:r>
        <w:rPr>
          <w:rFonts w:hint="eastAsia"/>
        </w:rPr>
        <w:t>（三）详细评审；</w:t>
      </w:r>
    </w:p>
    <w:p>
      <w:r>
        <w:rPr>
          <w:rFonts w:hint="eastAsia"/>
        </w:rPr>
        <w:t>（四）问题的澄清、说明或补正；</w:t>
      </w:r>
    </w:p>
    <w:p>
      <w:r>
        <w:rPr>
          <w:rFonts w:hint="eastAsia"/>
        </w:rPr>
        <w:t>（五）推荐中标候选人；</w:t>
      </w:r>
    </w:p>
    <w:p>
      <w:r>
        <w:rPr>
          <w:rFonts w:hint="eastAsia"/>
        </w:rPr>
        <w:t>（六）评标现场宣布中标候选人确定结果并在指定媒体上进行公示。</w:t>
      </w:r>
    </w:p>
    <w:p>
      <w:r>
        <w:rPr>
          <w:rFonts w:hint="eastAsia"/>
        </w:rPr>
        <w:t>五、清标</w:t>
      </w:r>
    </w:p>
    <w:p>
      <w:r>
        <w:rPr>
          <w:rFonts w:hint="eastAsia"/>
        </w:rPr>
        <w:t>先由评标委员会在商务标清标系统的辅助下对投标文件进行基础性数据分析和整理（清标内容见下表），形成清标成果。” 因“许昌公共资源交易电子辅助清标系统SEARUN V1.0”在试用期间，如在清标过程中系统异常无法完成电子清标时，将以手工方式进行清标。</w:t>
      </w:r>
    </w:p>
    <w:p>
      <w:r>
        <w:rPr>
          <w:rFonts w:hint="eastAsia"/>
        </w:rPr>
        <w:t>投标文件存在下列情形之一的，按废标处理：</w:t>
      </w:r>
    </w:p>
    <w:p>
      <w:r>
        <w:rPr>
          <w:rFonts w:hint="eastAsia"/>
        </w:rPr>
        <w:t>1.未按招标文件规定编制各项报价的；</w:t>
      </w:r>
    </w:p>
    <w:p>
      <w:r>
        <w:rPr>
          <w:rFonts w:hint="eastAsia"/>
        </w:rPr>
        <w:t>2.投标总报价与其组成部分、工程量清单项目合价与综合单价、综合单价与人材机用量相互矛盾，致使评标委员会无法正常评审判定的；</w:t>
      </w:r>
    </w:p>
    <w:p>
      <w:r>
        <w:rPr>
          <w:rFonts w:hint="eastAsia"/>
        </w:rPr>
        <w:t>3.规费和税金、安全文明施工措施费违背工程造价管理规定的；</w:t>
      </w:r>
    </w:p>
    <w:p>
      <w:r>
        <w:rPr>
          <w:rFonts w:hint="eastAsia"/>
        </w:rPr>
        <w:t>4.分部分项工程项目、措施项目报价中的项目编码、项目名称、项目特征、计量单位和工程量与招标文件的清单不一致的；</w:t>
      </w:r>
    </w:p>
    <w:p>
      <w:r>
        <w:rPr>
          <w:rFonts w:hint="eastAsia"/>
        </w:rPr>
        <w:t>5.未按照暂列金额或者暂估价编制投标报价的。</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清标内容：</w:t>
      </w:r>
    </w:p>
    <w:tbl>
      <w:tblPr>
        <w:tblStyle w:val="42"/>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清标结</w:t>
            </w:r>
            <w:r>
              <w:rPr>
                <w:rFonts w:hint="eastAsia"/>
                <w:lang w:val="en-US" w:eastAsia="zh-CN"/>
              </w:rPr>
              <w:t xml:space="preserve"> </w:t>
            </w:r>
            <w:r>
              <w:rPr>
                <w:rFonts w:hint="eastAsia"/>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r>
              <w:rPr>
                <w:rFonts w:hint="eastAsia"/>
                <w:lang w:val="en-US" w:eastAsia="zh-CN"/>
              </w:rPr>
              <w:t>是</w:t>
            </w: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r>
              <w:rPr>
                <w:rFonts w:hint="eastAsia"/>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1</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1.1</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1.2</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1.3</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2</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2.1</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2.2</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2.3</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2.4</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2.5</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2.6</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2.7</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综合单价=人工费+材料费+机械费+管理费+利润之和；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2.8</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3</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3.1</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3.2</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4</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4.1</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4.2</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4.3</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4.4</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4.5</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5</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5</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6</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6</w:t>
            </w:r>
          </w:p>
        </w:tc>
        <w:tc>
          <w:tcPr>
            <w:tcW w:w="3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7</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p>
        </w:tc>
      </w:tr>
    </w:tbl>
    <w:p>
      <w:r>
        <w:rPr>
          <w:rFonts w:hint="eastAsia"/>
        </w:rPr>
        <w:t>（1）按照住建部《建设工程工程量清单计价规范》（GB50500-2013）及省住建厅有关规定，规费和税金应按规定费（税）率足额计取，即费（税）率不可竞争。</w:t>
      </w:r>
    </w:p>
    <w:p>
      <w:r>
        <w:rPr>
          <w:rFonts w:hint="eastAsia"/>
        </w:rPr>
        <w:t>规费、税金、安全文明施工措施费计入投标总报价，并在投标函、投标函附录中单列，不参与商务标评审。</w:t>
      </w:r>
    </w:p>
    <w:p>
      <w:r>
        <w:rPr>
          <w:rFonts w:hint="eastAsia"/>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
        <w:rPr>
          <w:rFonts w:hint="eastAsia"/>
        </w:rPr>
        <w:t>（3）投标人编制投标报价时，同一投标文件综合工日应前后保持一致。</w:t>
      </w:r>
    </w:p>
    <w:p>
      <w:r>
        <w:rPr>
          <w:rFonts w:hint="eastAsia"/>
        </w:rPr>
        <w:t>（4）不按照以上要求编制投标报价的，视为违反《许昌市建设工程工程量清单招标评标办法（试行）》第八条第3款之规定，按废标处理。</w:t>
      </w:r>
    </w:p>
    <w:p>
      <w:r>
        <w:rPr>
          <w:rFonts w:hint="eastAsia"/>
        </w:rPr>
        <w:t>六、初步评审</w:t>
      </w:r>
    </w:p>
    <w:p>
      <w:r>
        <w:rPr>
          <w:rFonts w:hint="eastAsia"/>
        </w:rPr>
        <w:t xml:space="preserve">评标委员会按招标文件要求对所有投标文件真实性、符合性、响应性和重大偏差逐一评审，经审查不符合招标文件要求的，不再进入详细评审阶段。初步评审主要包括以下内容：  </w:t>
      </w:r>
    </w:p>
    <w:p>
      <w:r>
        <w:rPr>
          <w:rFonts w:hint="eastAsia"/>
        </w:rPr>
        <w:t>（1）投标文件正本是否按招标文件要求签字盖章（无需逐页签字盖章），副本是否与正本保持一致（可为正本的复印件）。正本与副本不一致的，以正本为准；</w:t>
      </w:r>
    </w:p>
    <w:p>
      <w:r>
        <w:rPr>
          <w:rFonts w:hint="eastAsia"/>
        </w:rPr>
        <w:t>（2）投标联合体是否提交共同投标协议（允许联合体投标的）；</w:t>
      </w:r>
    </w:p>
    <w:p>
      <w:r>
        <w:rPr>
          <w:rFonts w:hint="eastAsia"/>
        </w:rPr>
        <w:t>（3）投标人是否符合国家或者招标文件规定的资格条件，注册建造师注册单位与投标人是否一致；</w:t>
      </w:r>
    </w:p>
    <w:p>
      <w:r>
        <w:rPr>
          <w:rFonts w:hint="eastAsia"/>
        </w:rPr>
        <w:t xml:space="preserve">（4）同一投标人是否提交两个以上不同的投标文件或者投标报价，但招标文件要求提交备选投标的除外； </w:t>
      </w:r>
    </w:p>
    <w:p>
      <w:r>
        <w:rPr>
          <w:rFonts w:hint="eastAsia"/>
        </w:rPr>
        <w:t>（5）投标报价是否高于招标文件设定的最高投标限价；</w:t>
      </w:r>
    </w:p>
    <w:p>
      <w:r>
        <w:rPr>
          <w:rFonts w:hint="eastAsia"/>
        </w:rPr>
        <w:t>（6）投标范围、工期、工程质量、投标有效期、付款方式是否符合招标文件规定；</w:t>
      </w:r>
    </w:p>
    <w:p>
      <w:r>
        <w:rPr>
          <w:rFonts w:hint="eastAsia"/>
        </w:rPr>
        <w:t>（7）投标人是否有串通投标、弄虚作假、行贿等违法行为。</w:t>
      </w:r>
    </w:p>
    <w:p>
      <w:r>
        <w:rPr>
          <w:rFonts w:hint="eastAsia"/>
        </w:rPr>
        <w:t>初步评审评审经审查后应写出评审意见。</w:t>
      </w:r>
    </w:p>
    <w:p>
      <w:r>
        <w:rPr>
          <w:rFonts w:hint="eastAsia"/>
        </w:rPr>
        <w:t>注：工商营业执照、资质证书、安全生产许可证、注册建造师证书和注册建造师安全生产考核合格证不再提交原件，投标书中必须附复印件加盖公章，以备查阅。</w:t>
      </w:r>
    </w:p>
    <w:p>
      <w:r>
        <w:rPr>
          <w:rFonts w:hint="eastAsia"/>
        </w:rPr>
        <w:t>七、详细评审</w:t>
      </w:r>
    </w:p>
    <w:p>
      <w:r>
        <w:rPr>
          <w:rFonts w:hint="eastAsia"/>
        </w:rPr>
        <w:t xml:space="preserve">   （一）工程量清单总报价评标基准价按下列公式确定：</w:t>
      </w:r>
    </w:p>
    <w:p>
      <w:r>
        <w:rPr>
          <w:rFonts w:hint="eastAsia"/>
        </w:rPr>
        <w:t>评标基准价＝招标控制价×K+投标总报价×（1－K）</w:t>
      </w:r>
    </w:p>
    <w:p>
      <w:r>
        <w:rPr>
          <w:rFonts w:hint="eastAsia"/>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
        <w:rPr>
          <w:rFonts w:hint="eastAsia"/>
        </w:rPr>
        <w:t>注：①有效投标人指通过清标和初步评审的投标人；</w:t>
      </w:r>
    </w:p>
    <w:p>
      <w:r>
        <w:rPr>
          <w:rFonts w:hint="eastAsia"/>
        </w:rPr>
        <w:t xml:space="preserve">    ②K为招标控制价权重系数，0.1≤K≤0.5（K的取值：0.1、0.2、0.3、0.4、0.5），在开标现场由随机选定的两名投标人代表随机抽取。</w:t>
      </w:r>
    </w:p>
    <w:p>
      <w:r>
        <w:rPr>
          <w:rFonts w:hint="eastAsia"/>
        </w:rPr>
        <w:t xml:space="preserve">   （二）技术标（20分）</w:t>
      </w:r>
    </w:p>
    <w:p>
      <w:r>
        <w:rPr>
          <w:rFonts w:hint="eastAsia"/>
        </w:rPr>
        <w:t xml:space="preserve"> 1、内容完整性和编制水平                                       0-1分</w:t>
      </w:r>
    </w:p>
    <w:p>
      <w:r>
        <w:rPr>
          <w:rFonts w:hint="eastAsia"/>
        </w:rPr>
        <w:t>2、施工方案和技术措施                                          1-2分</w:t>
      </w:r>
    </w:p>
    <w:p>
      <w:r>
        <w:rPr>
          <w:rFonts w:hint="eastAsia"/>
        </w:rPr>
        <w:t>3、质量管理体系与措施                                          1-2分</w:t>
      </w:r>
    </w:p>
    <w:p>
      <w:r>
        <w:rPr>
          <w:rFonts w:hint="eastAsia"/>
        </w:rPr>
        <w:t>4、安全管理体系与措施</w:t>
      </w:r>
      <w:r>
        <w:rPr>
          <w:rFonts w:hint="eastAsia"/>
        </w:rPr>
        <w:tab/>
      </w:r>
      <w:r>
        <w:rPr>
          <w:rFonts w:hint="eastAsia"/>
        </w:rPr>
        <w:t xml:space="preserve">                                         1-2分</w:t>
      </w:r>
    </w:p>
    <w:p>
      <w:r>
        <w:rPr>
          <w:rFonts w:hint="eastAsia"/>
        </w:rPr>
        <w:t>5、环境保护管理体系与措施　                                    1-2分</w:t>
      </w:r>
    </w:p>
    <w:p>
      <w:r>
        <w:rPr>
          <w:rFonts w:hint="eastAsia"/>
        </w:rPr>
        <w:t>6、工程进度计划与措施                                          0-1分</w:t>
      </w:r>
    </w:p>
    <w:p>
      <w:r>
        <w:rPr>
          <w:rFonts w:hint="eastAsia"/>
        </w:rPr>
        <w:t>7、拟投入资源配备计划                                          1-2分</w:t>
      </w:r>
    </w:p>
    <w:p>
      <w:r>
        <w:rPr>
          <w:rFonts w:hint="eastAsia"/>
        </w:rPr>
        <w:t>8、施工进度表或施工网络图</w:t>
      </w:r>
      <w:r>
        <w:rPr>
          <w:rFonts w:hint="eastAsia"/>
        </w:rPr>
        <w:tab/>
      </w:r>
      <w:r>
        <w:rPr>
          <w:rFonts w:hint="eastAsia"/>
        </w:rPr>
        <w:t xml:space="preserve">                                     0-1分</w:t>
      </w:r>
    </w:p>
    <w:p>
      <w:r>
        <w:rPr>
          <w:rFonts w:hint="eastAsia"/>
        </w:rPr>
        <w:t>9、施工总平面布置图                                             0-1分</w:t>
      </w:r>
    </w:p>
    <w:p>
      <w:r>
        <w:rPr>
          <w:rFonts w:hint="eastAsia"/>
        </w:rPr>
        <w:t xml:space="preserve">10、节能减排、绿色施工（含扬尘治理）措施、工艺创新方面针对本工程有具体措施或企业自有创新技术     </w:t>
      </w:r>
      <w:r>
        <w:rPr>
          <w:rFonts w:hint="eastAsia"/>
        </w:rPr>
        <w:tab/>
      </w:r>
      <w:r>
        <w:rPr>
          <w:rFonts w:hint="eastAsia"/>
        </w:rPr>
        <w:t xml:space="preserve">                                   1-2分</w:t>
      </w:r>
    </w:p>
    <w:p>
      <w:r>
        <w:rPr>
          <w:rFonts w:hint="eastAsia"/>
        </w:rPr>
        <w:t>11、新工艺、新技术、新设备、新材料的采用程度，其在确保质量、降低成本、缩短工期、减轻劳动强度、提高工效等方面的作用                     1-2分</w:t>
      </w:r>
    </w:p>
    <w:p>
      <w:r>
        <w:rPr>
          <w:rFonts w:hint="eastAsia"/>
        </w:rPr>
        <w:t>12、企业具备信息化管理平台，能够使工程管理者对现场实施监控和数据处理 1-2分</w:t>
      </w:r>
    </w:p>
    <w:p>
      <w:r>
        <w:rPr>
          <w:rFonts w:hint="eastAsia"/>
        </w:rPr>
        <w:t>以上项目若有缺项，该项为0分。</w:t>
      </w:r>
    </w:p>
    <w:p>
      <w:r>
        <w:rPr>
          <w:rFonts w:hint="eastAsia"/>
        </w:rPr>
        <w:t xml:space="preserve">   （三）商务标（60分）</w:t>
      </w:r>
    </w:p>
    <w:p>
      <w:r>
        <w:rPr>
          <w:rFonts w:hint="eastAsia"/>
        </w:rPr>
        <w:t xml:space="preserve">    1、投标报价（30分） </w:t>
      </w:r>
    </w:p>
    <w:p>
      <w:r>
        <w:rPr>
          <w:rFonts w:hint="eastAsia"/>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
        <w:rPr>
          <w:rFonts w:hint="eastAsia"/>
        </w:rPr>
        <w:t>2、分部分项工程项目综合单价（15分）</w:t>
      </w:r>
    </w:p>
    <w:p>
      <w:r>
        <w:rPr>
          <w:rFonts w:hint="eastAsia"/>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
        <w:rPr>
          <w:rFonts w:hint="eastAsia"/>
        </w:rPr>
        <w:t xml:space="preserve"> 3、措施项目（5分）</w:t>
      </w:r>
    </w:p>
    <w:p>
      <w:r>
        <w:rPr>
          <w:rFonts w:hint="eastAsia"/>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
        <w:rPr>
          <w:rFonts w:hint="eastAsia"/>
        </w:rPr>
        <w:t>4、主要材料单价（10分）</w:t>
      </w:r>
    </w:p>
    <w:p>
      <w:r>
        <w:rPr>
          <w:rFonts w:hint="eastAsia"/>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
        <w:rPr>
          <w:rFonts w:hint="eastAsia"/>
        </w:rPr>
        <w:t>（四）综合（信用）标（20分）</w:t>
      </w:r>
    </w:p>
    <w:p>
      <w:r>
        <w:rPr>
          <w:rFonts w:hint="eastAsia"/>
        </w:rPr>
        <w:t>1、项目班子配备0-4分</w:t>
      </w:r>
    </w:p>
    <w:p>
      <w:r>
        <w:rPr>
          <w:rFonts w:hint="eastAsia"/>
        </w:rPr>
        <w:t>1.1拟派项目技术负责人为高级者得2分，中级者得1分；</w:t>
      </w:r>
      <w:r>
        <w:t xml:space="preserve"> </w:t>
      </w:r>
    </w:p>
    <w:p>
      <w:r>
        <w:rPr>
          <w:rFonts w:hint="eastAsia"/>
        </w:rPr>
        <w:t>1.2拟派项目班子中施工员、质检员、安全员、材料员、造价员证件齐全者得2分，每缺一个证件扣0.4分，扣完为止。</w:t>
      </w:r>
    </w:p>
    <w:p>
      <w:r>
        <w:rPr>
          <w:rFonts w:hint="eastAsia"/>
        </w:rPr>
        <w:t>2、企业综合实力0-7分</w:t>
      </w:r>
    </w:p>
    <w:p>
      <w:r>
        <w:rPr>
          <w:rFonts w:hint="eastAsia"/>
        </w:rPr>
        <w:t>2.1  2014年12月1日（证书颁发日期或奖励文件下发之日）以来企业承揽的项目获得过“中国建筑工程鲁班奖”的每个得1分，最多得2分，没有不得分（以证书或同级奖励文件原件为准，并提供网页版截图）。</w:t>
      </w:r>
    </w:p>
    <w:p>
      <w:r>
        <w:rPr>
          <w:rFonts w:hint="eastAsia"/>
        </w:rPr>
        <w:t>2.2投标人提供工商企业信用信息公示报告（国家企业信用信息公示系统http://www.gsxt.gov.cn），无不良信息者得1分，未提供或有不良信息者不得分,本项最高得1分【以网页截图为准，包含企业基础信息、行政许可信息、行政处罚信息、列入经营异常名录信息、列入严重违法失信企业名单（黑名单）信息内容】。</w:t>
      </w:r>
    </w:p>
    <w:p>
      <w:r>
        <w:rPr>
          <w:rFonts w:hint="eastAsia"/>
        </w:rPr>
        <w:t>2.3投标人提供企业所在地税务主管部门出具的纳税情况证明等信用情况，无不良信息者得1分，未提供或有不良信息者不得分，本项最高得1分（以原件为准）。</w:t>
      </w:r>
    </w:p>
    <w:p>
      <w:r>
        <w:rPr>
          <w:rFonts w:hint="eastAsia"/>
        </w:rPr>
        <w:t>2.4 企业提供银行授信证明，每10亿元得0.5分，在此基础上每增加10亿元，加0.5分，最高得1分，没有得0分.</w:t>
      </w:r>
    </w:p>
    <w:p>
      <w:r>
        <w:rPr>
          <w:rFonts w:hint="eastAsia"/>
        </w:rPr>
        <w:t>2.5 2014年12月1日（证书颁发日期或奖励文件下发之日）以来企业承揽的项目获得过 “中国工程建设诚信典型企业”的得1分（以证书原件为准，并提供网页版截图）；</w:t>
      </w:r>
    </w:p>
    <w:p>
      <w:r>
        <w:rPr>
          <w:rFonts w:hint="eastAsia"/>
        </w:rPr>
        <w:t>2.6企业同时具有行业协会及银行颁发的AAA级信用等级证书者得1分，没有得0分；</w:t>
      </w:r>
    </w:p>
    <w:p>
      <w:r>
        <w:rPr>
          <w:rFonts w:hint="eastAsia"/>
        </w:rPr>
        <w:t>3、企业及项目经理业绩0-4分</w:t>
      </w:r>
    </w:p>
    <w:p>
      <w:r>
        <w:rPr>
          <w:rFonts w:hint="eastAsia"/>
        </w:rPr>
        <w:t>3.1投标企业在2014年12月1日以后完成过类似工程的，每个得1分，最高得2分，没有不得分。（以中标通知书、合同、竣工验收资料原件为准）</w:t>
      </w:r>
    </w:p>
    <w:p>
      <w:r>
        <w:rPr>
          <w:rFonts w:hint="eastAsia"/>
        </w:rPr>
        <w:t>3.2 拟派项目经理2014年12月1日以来以项目经理管理并完成类似项目业绩的每有1个得1分，最多得2分，没有得0分。（须提供中标通知书、合同和竣工验收证明材料，若上述资料均不显示项目经理姓名，不得分）</w:t>
      </w:r>
    </w:p>
    <w:p>
      <w:r>
        <w:rPr>
          <w:rFonts w:hint="eastAsia"/>
        </w:rPr>
        <w:t>注：以上3.1条、3.2条所指项目业绩不得重复作为加分项。</w:t>
      </w:r>
    </w:p>
    <w:p>
      <w:r>
        <w:rPr>
          <w:rFonts w:hint="eastAsia"/>
        </w:rPr>
        <w:t>4、服务承诺（含不拖欠农民工工资承诺、扬尘治理等内容）0-5分</w:t>
      </w:r>
    </w:p>
    <w:p>
      <w:r>
        <w:rPr>
          <w:rFonts w:hint="eastAsia"/>
        </w:rPr>
        <w:t>投标人针对招标项目的特点和要求，结合自身条件和潜力做出优惠和服务承诺。投标人有实质性承诺的在0-5分之间酌情打分；评委根据承诺内容的实际情况进行打分。</w:t>
      </w:r>
    </w:p>
    <w:p>
      <w:r>
        <w:rPr>
          <w:rFonts w:hint="eastAsia"/>
        </w:rPr>
        <w:t>注：1）近年年份要求：近年来指2014年12月1日以来。</w:t>
      </w:r>
    </w:p>
    <w:p>
      <w:r>
        <w:rPr>
          <w:rFonts w:hint="eastAsia"/>
        </w:rPr>
        <w:t>2）类似项目业绩：指2014年12月1日以来建筑面积大于6.5万平米的房屋建筑工程</w:t>
      </w:r>
    </w:p>
    <w:p>
      <w:r>
        <w:rPr>
          <w:rFonts w:hint="eastAsia"/>
        </w:rPr>
        <w:t xml:space="preserve"> 3）业绩以竣工验收日期</w:t>
      </w:r>
      <w:r>
        <w:rPr>
          <w:rFonts w:hint="eastAsia"/>
          <w:lang w:eastAsia="zh-CN"/>
        </w:rPr>
        <w:t>、</w:t>
      </w:r>
      <w:r>
        <w:rPr>
          <w:rFonts w:hint="eastAsia"/>
          <w:lang w:val="en-US" w:eastAsia="zh-CN"/>
        </w:rPr>
        <w:t>合同、中标通知书</w:t>
      </w:r>
      <w:r>
        <w:rPr>
          <w:rFonts w:hint="eastAsia"/>
        </w:rPr>
        <w:t>为准，获奖证书以发证日期为准（提供网页截图）。</w:t>
      </w:r>
    </w:p>
    <w:p>
      <w:r>
        <w:rPr>
          <w:rFonts w:hint="eastAsia"/>
        </w:rPr>
        <w:t>4）凡评标办法里涉及到的证书、证件及业绩材料等，均以原件并结合投标文件中所附复印件进行评审，二者缺其一，则该</w:t>
      </w:r>
      <w:r>
        <w:rPr>
          <w:rFonts w:hint="eastAsia"/>
          <w:lang w:val="en-US" w:eastAsia="zh-CN"/>
        </w:rPr>
        <w:t>得分</w:t>
      </w:r>
      <w:r>
        <w:rPr>
          <w:rFonts w:hint="eastAsia"/>
        </w:rPr>
        <w:t>项得分应作0分处理</w:t>
      </w:r>
    </w:p>
    <w:p>
      <w:r>
        <w:rPr>
          <w:rFonts w:hint="eastAsia"/>
        </w:rPr>
        <w:t xml:space="preserve">    （五）投标人综合得分</w:t>
      </w:r>
    </w:p>
    <w:p>
      <w:bookmarkStart w:id="77" w:name="_Toc270931534"/>
      <w:bookmarkStart w:id="78" w:name="_Toc272833453"/>
      <w:bookmarkStart w:id="79" w:name="_Toc273546398"/>
      <w:bookmarkStart w:id="80" w:name="_Toc295572535"/>
      <w:r>
        <w:rPr>
          <w:rFonts w:hint="eastAsia"/>
        </w:rPr>
        <w:t xml:space="preserve"> 投标人综合得分＝技术标得分＋商务标得分＋综合（信用）标得分 </w:t>
      </w:r>
    </w:p>
    <w:p>
      <w:r>
        <w:rPr>
          <w:rFonts w:hint="eastAsia"/>
        </w:rPr>
        <w:t xml:space="preserve">    （六）投标人的最终得分及中标候选人排序</w:t>
      </w:r>
    </w:p>
    <w:p>
      <w:r>
        <w:rPr>
          <w:rFonts w:hint="eastAsia"/>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
        <w:rPr>
          <w:rFonts w:hint="eastAsia"/>
        </w:rPr>
        <w:t>评标委员会人数在5人以上时，去掉一个最高分和一个最低分取平均值；评标委员会人数在5人时，取所有评委评分的平均值。”</w:t>
      </w:r>
    </w:p>
    <w:p>
      <w:r>
        <w:rPr>
          <w:rFonts w:hint="eastAsia"/>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
        <w:rPr>
          <w:rFonts w:hint="eastAsia"/>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
        <w:rPr>
          <w:rFonts w:hint="eastAsia"/>
        </w:rPr>
        <w:t>八、定标</w:t>
      </w:r>
    </w:p>
    <w:p>
      <w:r>
        <w:rPr>
          <w:rFonts w:hint="eastAsia"/>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注：中标人若是外地企业在中标后应到许昌市住房和城乡建设行政主管部门办理进许登记手续)</w:t>
      </w:r>
    </w:p>
    <w:bookmarkEnd w:id="77"/>
    <w:bookmarkEnd w:id="78"/>
    <w:bookmarkEnd w:id="79"/>
    <w:bookmarkEnd w:id="80"/>
    <w:p>
      <w:r>
        <w:rPr>
          <w:rFonts w:hint="eastAsia"/>
        </w:rPr>
        <w:t>九、评标报告</w:t>
      </w:r>
    </w:p>
    <w:p>
      <w:r>
        <w:rPr>
          <w:rFonts w:hint="eastAsia"/>
        </w:rPr>
        <w:t>评标委员会根据投标人须知前附表7.1条的规定向招标人提交评标报告。评标报告应当由全体评标委员会成员签字，并于评标结束时抄送有关行政监督部门。</w:t>
      </w:r>
    </w:p>
    <w:p>
      <w:r>
        <w:rPr>
          <w:rFonts w:hint="eastAsia"/>
        </w:rPr>
        <w:t>十、公示</w:t>
      </w:r>
    </w:p>
    <w:p>
      <w:r>
        <w:t>中标人确定后，招标人应当在</w:t>
      </w:r>
      <w:r>
        <w:rPr>
          <w:rFonts w:hint="eastAsia"/>
        </w:rPr>
        <w:t>《全国公共资源交易平台（河南省·许昌市）》、《河南省招标采购综合网》、《中国采购与招标网》</w:t>
      </w:r>
      <w:r>
        <w:t>上进行公示，公示时间不少于3日。公示期满后，招标人应当将招标投标情况书面报告提交招标投标管理部门备案，向中标人发出中标通知书，并向所有合格投标人告知中标结果。</w:t>
      </w:r>
    </w:p>
    <w:p>
      <w:r>
        <w:rPr>
          <w:rFonts w:hint="eastAsia"/>
        </w:rPr>
        <w:t>十一、特殊情况的处置程序</w:t>
      </w:r>
    </w:p>
    <w:p>
      <w:r>
        <w:rPr>
          <w:rFonts w:hint="eastAsia"/>
        </w:rPr>
        <w:t>11.1关于澄清、说明或补正</w:t>
      </w:r>
    </w:p>
    <w:p>
      <w:r>
        <w:rPr>
          <w:rFonts w:hint="eastAsia"/>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
        <w:rPr>
          <w:rFonts w:hint="eastAsia"/>
        </w:rPr>
        <w:t>11.2关于评标活动暂停</w:t>
      </w:r>
    </w:p>
    <w:p>
      <w:r>
        <w:rPr>
          <w:rFonts w:hint="eastAsia"/>
        </w:rPr>
        <w:t>11.2.1评标委员会应当执行连续评标的原则，按评标办法中规定的程序、内容、方法、标准完成全部评标工作。只有发生不可抗力导致评标工作无法继续时，评标活动方可暂停。</w:t>
      </w:r>
    </w:p>
    <w:p>
      <w:r>
        <w:rPr>
          <w:rFonts w:hint="eastAsia"/>
        </w:rPr>
        <w:t>11.2.2发生评标暂停情况时，评标委员会应当封存全部投标文件和评标记录，待不可抗力的影响结束且具备继续评标的条件时，由原评标委员会继续评标。</w:t>
      </w:r>
    </w:p>
    <w:p>
      <w:r>
        <w:rPr>
          <w:rFonts w:hint="eastAsia"/>
        </w:rPr>
        <w:t>11.3关于评标中途更换评标委员会成员</w:t>
      </w:r>
    </w:p>
    <w:p>
      <w:r>
        <w:rPr>
          <w:rFonts w:hint="eastAsia"/>
        </w:rPr>
        <w:t>11.3.1除非发生下列情况之一，评标委员会成员不得在评标中途更换：</w:t>
      </w:r>
    </w:p>
    <w:p>
      <w:r>
        <w:rPr>
          <w:rFonts w:hint="eastAsia"/>
        </w:rPr>
        <w:t>（1）因不可抗拒的客观原因，不能到场或需在评标中途退出评标活动。</w:t>
      </w:r>
    </w:p>
    <w:p>
      <w:r>
        <w:rPr>
          <w:rFonts w:hint="eastAsia"/>
        </w:rPr>
        <w:t>（2）根据法律法规规定，某个或某几个评标委员会成员需要回避。</w:t>
      </w:r>
    </w:p>
    <w:p>
      <w:r>
        <w:rPr>
          <w:rFonts w:hint="eastAsia"/>
        </w:rPr>
        <w:t>11.3.2退出评标的评标委员会成员，其已完成的评标行为无效。由招标人根据本招标文件规定的评标委员会成员产生方式另行确定替代者进行评标。</w:t>
      </w:r>
    </w:p>
    <w:p>
      <w:r>
        <w:rPr>
          <w:rFonts w:hint="eastAsia"/>
        </w:rPr>
        <w:t>11.4记名投票</w:t>
      </w:r>
    </w:p>
    <w:p>
      <w:r>
        <w:rPr>
          <w:rFonts w:hint="eastAsia"/>
        </w:rPr>
        <w:t>在任何评标环节中，需评标委员会就某项定性的评审结论做出表决的，由评标委员会全体成员按照少数服从多数的原则，以记名投票方式表决。</w:t>
      </w:r>
    </w:p>
    <w:p>
      <w:r>
        <w:rPr>
          <w:rFonts w:hint="eastAsia"/>
        </w:rPr>
        <w:t>11.5评标委员会对评标结果有异议的</w:t>
      </w:r>
    </w:p>
    <w:p>
      <w:r>
        <w:rPr>
          <w:rFonts w:hint="eastAsia"/>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bookmarkStart w:id="81" w:name="_Toc484533862"/>
      <w:r>
        <w:br w:type="page"/>
      </w:r>
      <w:bookmarkEnd w:id="81"/>
    </w:p>
    <w:p>
      <w:pPr>
        <w:pStyle w:val="3"/>
        <w:jc w:val="center"/>
      </w:pPr>
      <w:bookmarkStart w:id="82" w:name="_Toc22072"/>
      <w:bookmarkStart w:id="83" w:name="_Toc21945"/>
      <w:r>
        <w:rPr>
          <w:rFonts w:hint="eastAsia"/>
        </w:rPr>
        <w:t>第四章 合同条款及格式</w:t>
      </w:r>
      <w:bookmarkEnd w:id="82"/>
      <w:bookmarkEnd w:id="83"/>
    </w:p>
    <w:p>
      <w:pPr>
        <w:rPr>
          <w:rFonts w:hint="eastAsia"/>
        </w:rPr>
      </w:pPr>
    </w:p>
    <w:p>
      <w:pPr>
        <w:jc w:val="center"/>
        <w:rPr>
          <w:rFonts w:hint="eastAsia"/>
          <w:b/>
          <w:bCs/>
          <w:sz w:val="56"/>
          <w:szCs w:val="36"/>
        </w:rPr>
      </w:pPr>
    </w:p>
    <w:p>
      <w:pPr>
        <w:jc w:val="center"/>
        <w:rPr>
          <w:rFonts w:hint="eastAsia"/>
          <w:b/>
          <w:bCs/>
          <w:sz w:val="56"/>
          <w:szCs w:val="36"/>
        </w:rPr>
      </w:pPr>
    </w:p>
    <w:p>
      <w:pPr>
        <w:jc w:val="center"/>
        <w:rPr>
          <w:rFonts w:hint="eastAsia"/>
          <w:b/>
          <w:bCs/>
          <w:sz w:val="56"/>
          <w:szCs w:val="36"/>
        </w:rPr>
      </w:pPr>
    </w:p>
    <w:p>
      <w:pPr>
        <w:jc w:val="center"/>
        <w:rPr>
          <w:rFonts w:hint="eastAsia"/>
          <w:b/>
          <w:bCs/>
          <w:sz w:val="56"/>
          <w:szCs w:val="36"/>
        </w:rPr>
      </w:pPr>
    </w:p>
    <w:p>
      <w:pPr>
        <w:jc w:val="center"/>
      </w:pPr>
      <w:r>
        <w:rPr>
          <w:rFonts w:hint="eastAsia"/>
          <w:b/>
          <w:bCs/>
          <w:sz w:val="56"/>
          <w:szCs w:val="36"/>
        </w:rPr>
        <w:t>建设工程施工合同</w:t>
      </w:r>
      <w:r>
        <w:rPr>
          <w:rFonts w:hint="eastAsia"/>
          <w:b/>
          <w:bCs/>
          <w:sz w:val="56"/>
          <w:szCs w:val="36"/>
        </w:rPr>
        <w:br w:type="textWrapping"/>
      </w:r>
    </w:p>
    <w:p/>
    <w:p/>
    <w:p/>
    <w:p/>
    <w:p/>
    <w:p/>
    <w:p/>
    <w:p/>
    <w:p/>
    <w:p>
      <w:r>
        <w:pict>
          <v:shape id="Text Box 2" o:spid="_x0000_s1026" o:spt="202" type="#_x0000_t202" style="position:absolute;left:0pt;margin-left:312.6pt;margin-top:9.45pt;height:36pt;width:57pt;z-index:251664384;mso-width-relative:page;mso-height-relative:page;" filled="f" stroked="t" coordsize="21600,2160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hint="eastAsia"/>
        </w:rPr>
        <w:t>住房和城乡建设部</w:t>
      </w:r>
    </w:p>
    <w:p>
      <w:r>
        <w:rPr>
          <w:rFonts w:hint="eastAsia"/>
          <w:lang w:val="en-US" w:eastAsia="zh-CN"/>
        </w:rPr>
        <w:t xml:space="preserve">  </w:t>
      </w:r>
      <w:r>
        <w:rPr>
          <w:rFonts w:hint="eastAsia"/>
        </w:rPr>
        <w:t>国家工商行政管理总局</w:t>
      </w:r>
    </w:p>
    <w:p>
      <w:bookmarkStart w:id="84" w:name="_Toc296890982"/>
      <w:bookmarkStart w:id="85" w:name="_Toc296503025"/>
      <w:bookmarkStart w:id="86" w:name="_Toc351203480"/>
      <w:r>
        <w:br w:type="page"/>
      </w:r>
      <w:bookmarkEnd w:id="84"/>
      <w:bookmarkEnd w:id="85"/>
      <w:bookmarkEnd w:id="86"/>
      <w:bookmarkStart w:id="87" w:name="_Toc16897"/>
      <w:bookmarkStart w:id="88" w:name="_Toc8871"/>
      <w:r>
        <w:t>第一部分 合同协议书</w:t>
      </w:r>
      <w:bookmarkEnd w:id="87"/>
      <w:bookmarkEnd w:id="88"/>
    </w:p>
    <w:p>
      <w:r>
        <w:t xml:space="preserve">发包人（全称）：      </w:t>
      </w:r>
      <w:r>
        <w:rPr>
          <w:rFonts w:hint="eastAsia"/>
        </w:rPr>
        <w:t xml:space="preserve"> </w:t>
      </w:r>
      <w:r>
        <w:t xml:space="preserve">    </w:t>
      </w:r>
      <w:r>
        <w:rPr>
          <w:rFonts w:hint="eastAsia"/>
        </w:rPr>
        <w:t xml:space="preserve"> </w:t>
      </w:r>
      <w:r>
        <w:t xml:space="preserve">   </w:t>
      </w:r>
      <w:r>
        <w:rPr>
          <w:rFonts w:hint="eastAsia"/>
        </w:rPr>
        <w:t xml:space="preserve">      </w:t>
      </w:r>
      <w:r>
        <w:t></w:t>
      </w:r>
      <w:r>
        <w:rPr>
          <w:rFonts w:hint="eastAsia"/>
        </w:rPr>
        <w:t xml:space="preserve"> </w:t>
      </w:r>
      <w:r>
        <w:t></w:t>
      </w:r>
      <w:r>
        <w:rPr>
          <w:rFonts w:hint="eastAsia"/>
        </w:rPr>
        <w:t xml:space="preserve"> </w:t>
      </w:r>
      <w:r>
        <w:t></w:t>
      </w:r>
    </w:p>
    <w:p>
      <w:r>
        <w:t xml:space="preserve">承包人（全称）：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w:t>
      </w:r>
      <w:r>
        <w:rPr>
          <w:rFonts w:hint="eastAsia"/>
        </w:rPr>
        <w:t xml:space="preserve">  </w:t>
      </w:r>
      <w:r>
        <w:t></w:t>
      </w:r>
    </w:p>
    <w:p>
      <w:r>
        <w:t>根据《中华人民共和国合同法》、《中华人民共和国建筑法》及有关法律规定，遵循平等、自愿、公平和诚实信用的原则，双方就                       工程施工及有关事项协商一致</w:t>
      </w:r>
      <w:r>
        <w:rPr>
          <w:rFonts w:hint="eastAsia"/>
        </w:rPr>
        <w:t>，</w:t>
      </w:r>
      <w:r>
        <w:t>共同达成如下协议：</w:t>
      </w:r>
    </w:p>
    <w:p>
      <w:r>
        <w:t xml:space="preserve">    </w:t>
      </w:r>
      <w:bookmarkStart w:id="89" w:name="_Toc351203481"/>
      <w:r>
        <w:t>一、工程概况</w:t>
      </w:r>
      <w:bookmarkEnd w:id="89"/>
    </w:p>
    <w:p>
      <w:r>
        <w:t>1.工程名称：</w:t>
      </w:r>
      <w:r>
        <w:rPr>
          <w:rFonts w:hint="eastAsia"/>
        </w:rPr>
        <w:t xml:space="preserve">      </w:t>
      </w:r>
      <w:r>
        <w:t> 。</w:t>
      </w:r>
    </w:p>
    <w:p>
      <w:r>
        <w:t>2.工程地点：</w:t>
      </w:r>
      <w:r>
        <w:rPr>
          <w:rFonts w:hint="eastAsia"/>
        </w:rPr>
        <w:t xml:space="preserve">      </w:t>
      </w:r>
      <w:r>
        <w:t> 。</w:t>
      </w:r>
    </w:p>
    <w:p>
      <w:r>
        <w:t>3.工程立项批准文号：</w:t>
      </w:r>
      <w:r>
        <w:rPr>
          <w:rFonts w:hint="eastAsia"/>
        </w:rPr>
        <w:t xml:space="preserve">      </w:t>
      </w:r>
      <w:r>
        <w:t> 。</w:t>
      </w:r>
    </w:p>
    <w:p>
      <w:r>
        <w:t>4.资金来源：</w:t>
      </w:r>
      <w:r>
        <w:rPr>
          <w:rFonts w:hint="eastAsia"/>
        </w:rPr>
        <w:t>财政资金</w:t>
      </w:r>
      <w:r>
        <w:t></w:t>
      </w:r>
      <w:r>
        <w:rPr>
          <w:rFonts w:hint="eastAsia"/>
        </w:rPr>
        <w:t xml:space="preserve">      </w:t>
      </w:r>
      <w:r>
        <w:t> 。</w:t>
      </w:r>
    </w:p>
    <w:p>
      <w:r>
        <w:rPr>
          <w:rFonts w:hint="eastAsia"/>
        </w:rPr>
        <w:t>5.工程内容：</w:t>
      </w:r>
      <w:r>
        <w:t></w:t>
      </w:r>
      <w:r>
        <w:rPr>
          <w:rFonts w:hint="eastAsia"/>
        </w:rPr>
        <w:t xml:space="preserve">      </w:t>
      </w:r>
      <w:r>
        <w:t> 。</w:t>
      </w:r>
    </w:p>
    <w:p>
      <w:r>
        <w:rPr>
          <w:rFonts w:hint="eastAsia"/>
        </w:rPr>
        <w:t>群体工程应附《</w:t>
      </w:r>
      <w:r>
        <w:t>承包人承揽工程项目一览表</w:t>
      </w:r>
      <w:r>
        <w:rPr>
          <w:rFonts w:hint="eastAsia"/>
        </w:rPr>
        <w:t>》（附件1）。</w:t>
      </w:r>
    </w:p>
    <w:p>
      <w:r>
        <w:rPr>
          <w:rFonts w:hint="eastAsia"/>
        </w:rPr>
        <w:t>6</w:t>
      </w:r>
      <w:r>
        <w:t>.工程承包范围：</w:t>
      </w:r>
    </w:p>
    <w:p>
      <w:r>
        <w:t></w:t>
      </w:r>
      <w:r>
        <w:rPr>
          <w:rFonts w:hint="eastAsia"/>
        </w:rPr>
        <w:t xml:space="preserve">   </w:t>
      </w:r>
      <w:r>
        <w:t></w:t>
      </w:r>
    </w:p>
    <w:p>
      <w:r>
        <w:t></w:t>
      </w:r>
      <w:r>
        <w:rPr>
          <w:rFonts w:hint="eastAsia"/>
        </w:rPr>
        <w:t xml:space="preserve"> </w:t>
      </w:r>
      <w:r>
        <w:t>。</w:t>
      </w:r>
    </w:p>
    <w:p>
      <w:r>
        <w:t xml:space="preserve">   </w:t>
      </w:r>
      <w:bookmarkStart w:id="90" w:name="_Toc351203482"/>
      <w:r>
        <w:t>二、合同工期</w:t>
      </w:r>
      <w:bookmarkEnd w:id="90"/>
    </w:p>
    <w:p>
      <w:r>
        <w:t>计划开工日期：年月日。</w:t>
      </w:r>
    </w:p>
    <w:p>
      <w:r>
        <w:t>计划竣工日期：年月日。</w:t>
      </w:r>
    </w:p>
    <w:p>
      <w:r>
        <w:t>工期总日历天数：天。工期总日历天数与根据前述计划开竣工日期计算的工期天数不一致的，以工期总日历天数为准。</w:t>
      </w:r>
    </w:p>
    <w:p>
      <w:r>
        <w:t xml:space="preserve">    </w:t>
      </w:r>
      <w:bookmarkStart w:id="91" w:name="_Toc351203483"/>
      <w:r>
        <w:t>三、质量标准</w:t>
      </w:r>
      <w:bookmarkEnd w:id="91"/>
    </w:p>
    <w:p>
      <w:r>
        <w:t>工程质量符合标准。</w:t>
      </w:r>
    </w:p>
    <w:p>
      <w:r>
        <w:t xml:space="preserve">    </w:t>
      </w:r>
      <w:bookmarkStart w:id="92" w:name="_Toc351203484"/>
      <w:r>
        <w:t>四、签约合同价与合同价格形式</w:t>
      </w:r>
      <w:bookmarkEnd w:id="92"/>
      <w:r>
        <w:tab/>
      </w:r>
    </w:p>
    <w:p>
      <w:r>
        <w:t>1.签约合同价为：</w:t>
      </w:r>
    </w:p>
    <w:p>
      <w:r>
        <w:t xml:space="preserve">人民币（大写）    </w:t>
      </w:r>
      <w:r>
        <w:rPr>
          <w:rFonts w:hint="eastAsia"/>
        </w:rPr>
        <w:t xml:space="preserve">           </w:t>
      </w:r>
      <w:r>
        <w:t xml:space="preserve">  (¥    </w:t>
      </w:r>
      <w:r>
        <w:rPr>
          <w:rFonts w:hint="eastAsia"/>
        </w:rPr>
        <w:t xml:space="preserve">      </w:t>
      </w:r>
      <w:r>
        <w:t xml:space="preserve">  元)；</w:t>
      </w:r>
    </w:p>
    <w:p>
      <w:r>
        <w:t>其中：</w:t>
      </w:r>
    </w:p>
    <w:p>
      <w:r>
        <w:t>（1）安全文明施工费：</w:t>
      </w:r>
    </w:p>
    <w:p>
      <w:r>
        <w:t xml:space="preserve">人民币（大写）   </w:t>
      </w:r>
      <w:r>
        <w:rPr>
          <w:rFonts w:hint="eastAsia"/>
        </w:rPr>
        <w:t xml:space="preserve">  </w:t>
      </w:r>
      <w:r>
        <w:t xml:space="preserve"> </w:t>
      </w:r>
      <w:r>
        <w:rPr>
          <w:rFonts w:hint="eastAsia"/>
        </w:rPr>
        <w:t xml:space="preserve">       </w:t>
      </w:r>
      <w:r>
        <w:t xml:space="preserve">  (¥    </w:t>
      </w:r>
      <w:r>
        <w:rPr>
          <w:rFonts w:hint="eastAsia"/>
        </w:rPr>
        <w:t xml:space="preserve">      </w:t>
      </w:r>
      <w:r>
        <w:t>元)；</w:t>
      </w:r>
    </w:p>
    <w:p>
      <w:r>
        <w:t>（2）材料和工程设备暂估价金额：</w:t>
      </w:r>
    </w:p>
    <w:p>
      <w:r>
        <w:t xml:space="preserve">人民币（大写）    </w:t>
      </w:r>
      <w:r>
        <w:rPr>
          <w:rFonts w:hint="eastAsia"/>
        </w:rPr>
        <w:t xml:space="preserve">        </w:t>
      </w:r>
      <w:r>
        <w:t xml:space="preserve">   (¥    </w:t>
      </w:r>
      <w:r>
        <w:rPr>
          <w:rFonts w:hint="eastAsia"/>
        </w:rPr>
        <w:t xml:space="preserve">     </w:t>
      </w:r>
      <w:r>
        <w:t xml:space="preserve"> 元)；</w:t>
      </w:r>
    </w:p>
    <w:p>
      <w:r>
        <w:t>（3）专业工程暂估价金额：</w:t>
      </w:r>
    </w:p>
    <w:p>
      <w:r>
        <w:t xml:space="preserve">人民币（大写）    </w:t>
      </w:r>
      <w:r>
        <w:rPr>
          <w:rFonts w:hint="eastAsia"/>
        </w:rPr>
        <w:t xml:space="preserve">        </w:t>
      </w:r>
      <w:r>
        <w:t xml:space="preserve">   (¥    </w:t>
      </w:r>
      <w:r>
        <w:rPr>
          <w:rFonts w:hint="eastAsia"/>
        </w:rPr>
        <w:t xml:space="preserve">     </w:t>
      </w:r>
      <w:r>
        <w:t xml:space="preserve"> 元)；</w:t>
      </w:r>
    </w:p>
    <w:p>
      <w:r>
        <w:t>（4）暂列金额：</w:t>
      </w:r>
    </w:p>
    <w:p>
      <w:r>
        <w:t xml:space="preserve">人民币（大写）    </w:t>
      </w:r>
      <w:r>
        <w:rPr>
          <w:rFonts w:hint="eastAsia"/>
        </w:rPr>
        <w:t xml:space="preserve">        </w:t>
      </w:r>
      <w:r>
        <w:t xml:space="preserve">   (¥    </w:t>
      </w:r>
      <w:r>
        <w:rPr>
          <w:rFonts w:hint="eastAsia"/>
        </w:rPr>
        <w:t xml:space="preserve">    </w:t>
      </w:r>
      <w:r>
        <w:t xml:space="preserve">  元)。</w:t>
      </w:r>
    </w:p>
    <w:p>
      <w:r>
        <w:t xml:space="preserve">2.合同价格形式：       </w:t>
      </w:r>
      <w:r>
        <w:rPr>
          <w:rFonts w:hint="eastAsia"/>
        </w:rPr>
        <w:t xml:space="preserve">         </w:t>
      </w:r>
      <w:r>
        <w:t xml:space="preserve"> </w:t>
      </w:r>
      <w:r>
        <w:rPr>
          <w:rFonts w:hint="eastAsia"/>
        </w:rPr>
        <w:t xml:space="preserve">  </w:t>
      </w:r>
      <w:r>
        <w:t xml:space="preserve">   。</w:t>
      </w:r>
    </w:p>
    <w:p>
      <w:r>
        <w:t xml:space="preserve">    </w:t>
      </w:r>
      <w:bookmarkStart w:id="93" w:name="_Toc351203485"/>
      <w:r>
        <w:t>五、</w:t>
      </w:r>
      <w:bookmarkEnd w:id="93"/>
      <w:r>
        <w:t>项目经理</w:t>
      </w:r>
    </w:p>
    <w:p>
      <w:r>
        <w:t xml:space="preserve">承包人项目经理：     </w:t>
      </w:r>
      <w:r>
        <w:rPr>
          <w:rFonts w:hint="eastAsia"/>
        </w:rPr>
        <w:t xml:space="preserve">         </w:t>
      </w:r>
      <w:r>
        <w:t xml:space="preserve">  </w:t>
      </w:r>
      <w:r>
        <w:rPr>
          <w:rFonts w:hint="eastAsia"/>
        </w:rPr>
        <w:t xml:space="preserve"> </w:t>
      </w:r>
      <w:r>
        <w:t>    。</w:t>
      </w:r>
    </w:p>
    <w:p>
      <w:r>
        <w:t xml:space="preserve">    </w:t>
      </w:r>
      <w:bookmarkStart w:id="94" w:name="_Toc351203486"/>
      <w:r>
        <w:t>六、合同文件构成</w:t>
      </w:r>
      <w:bookmarkEnd w:id="94"/>
    </w:p>
    <w:p>
      <w:r>
        <w:t>本协议书与下列文件一起构成合同文件：</w:t>
      </w:r>
    </w:p>
    <w:p>
      <w:r>
        <w:t>（1）中标通知书（如果有）；</w:t>
      </w:r>
    </w:p>
    <w:p>
      <w:r>
        <w:t xml:space="preserve">（2）投标函及其附录（如果有）； </w:t>
      </w:r>
    </w:p>
    <w:p>
      <w:r>
        <w:t>（3）专用合同条款及其附件；</w:t>
      </w:r>
    </w:p>
    <w:p>
      <w:r>
        <w:t>（4）通用合同条款；</w:t>
      </w:r>
    </w:p>
    <w:p>
      <w:r>
        <w:t>（5）技术标准和要求；</w:t>
      </w:r>
    </w:p>
    <w:p>
      <w:r>
        <w:t>（6）图纸；</w:t>
      </w:r>
    </w:p>
    <w:p>
      <w:r>
        <w:t>（7）已标价工程量清单或预算书；</w:t>
      </w:r>
    </w:p>
    <w:p>
      <w:r>
        <w:t>（8）其他合同文件。</w:t>
      </w:r>
    </w:p>
    <w:p>
      <w:r>
        <w:t>在合同订立及履行过程中形成的与合同有关的文件均构成合同文件组成部分。</w:t>
      </w:r>
    </w:p>
    <w:p>
      <w:r>
        <w:t>上述各项合同文件包括合同当事人就该项合同文件所作出的补充和修改，属于同一类内容的文件，应以最新签署的为准。</w:t>
      </w:r>
      <w:r>
        <w:rPr>
          <w:rFonts w:hint="eastAsia"/>
        </w:rPr>
        <w:t>专用合同条款及其附件须经合同当事人签字或盖章。</w:t>
      </w:r>
    </w:p>
    <w:p>
      <w:r>
        <w:t xml:space="preserve">    </w:t>
      </w:r>
      <w:bookmarkStart w:id="95" w:name="_Toc351203487"/>
      <w:r>
        <w:t>七、承诺</w:t>
      </w:r>
      <w:bookmarkEnd w:id="95"/>
    </w:p>
    <w:p>
      <w:r>
        <w:t>1.发包人承诺按照法律规定履行项目审批手续、筹集工程建设资金并按照合同约定的期限和方式支付合同价款。</w:t>
      </w:r>
    </w:p>
    <w:p>
      <w:r>
        <w:t>2.承包人承诺按照法律规定及合同约定组织完成工程施工，确保工程质量和安全，不进行转包及违法分包，并在缺陷责任期及保修期内承担相应的工程维修责任。</w:t>
      </w:r>
    </w:p>
    <w:p>
      <w:r>
        <w:t>3.发包人和承包人通过招投标形式签订合同的，双方理解并</w:t>
      </w:r>
      <w:r>
        <w:rPr>
          <w:rFonts w:hint="eastAsia"/>
        </w:rPr>
        <w:t>承诺</w:t>
      </w:r>
      <w:r>
        <w:t>不再就同一工程另行签订与合同实质性内容相背离的协议。</w:t>
      </w:r>
    </w:p>
    <w:p>
      <w:bookmarkStart w:id="96" w:name="_Toc351203488"/>
      <w:r>
        <w:rPr>
          <w:rFonts w:hint="eastAsia"/>
        </w:rPr>
        <w:t xml:space="preserve">    </w:t>
      </w:r>
      <w:r>
        <w:t>八、词语含义</w:t>
      </w:r>
      <w:bookmarkEnd w:id="96"/>
    </w:p>
    <w:p>
      <w:r>
        <w:t>本协议书中词语含义与第二部分通用合同条款中赋予的含义相同。</w:t>
      </w:r>
    </w:p>
    <w:p>
      <w:r>
        <w:t xml:space="preserve">    </w:t>
      </w:r>
      <w:bookmarkStart w:id="97" w:name="_Toc351203489"/>
      <w:r>
        <w:t>九、签订时间</w:t>
      </w:r>
      <w:bookmarkEnd w:id="97"/>
    </w:p>
    <w:p>
      <w:r>
        <w:t>本合同于         年    月    日签订。</w:t>
      </w:r>
    </w:p>
    <w:p>
      <w:r>
        <w:t xml:space="preserve">    </w:t>
      </w:r>
      <w:bookmarkStart w:id="98" w:name="_Toc351203490"/>
      <w:r>
        <w:t>十、签订地点</w:t>
      </w:r>
      <w:bookmarkEnd w:id="98"/>
    </w:p>
    <w:p>
      <w:r>
        <w:t>本合同在                                    签订。</w:t>
      </w:r>
    </w:p>
    <w:p>
      <w:r>
        <w:t xml:space="preserve">    </w:t>
      </w:r>
      <w:bookmarkStart w:id="99" w:name="_Toc351203491"/>
      <w:r>
        <w:t>十一、补充协议</w:t>
      </w:r>
      <w:bookmarkEnd w:id="99"/>
    </w:p>
    <w:p>
      <w:r>
        <w:t>合同未尽事宜，合同当事人另行签订补充协议</w:t>
      </w:r>
      <w:r>
        <w:rPr>
          <w:rFonts w:hint="eastAsia"/>
        </w:rPr>
        <w:t>，</w:t>
      </w:r>
      <w:r>
        <w:t>补充协议是合同的组成部分。</w:t>
      </w:r>
    </w:p>
    <w:p>
      <w:r>
        <w:t xml:space="preserve">    </w:t>
      </w:r>
      <w:bookmarkStart w:id="100" w:name="_Toc351203492"/>
      <w:r>
        <w:t>十二、合同生效</w:t>
      </w:r>
      <w:bookmarkEnd w:id="100"/>
    </w:p>
    <w:p>
      <w:r>
        <w:t>本合同自                                   生效。</w:t>
      </w:r>
    </w:p>
    <w:p>
      <w:r>
        <w:t xml:space="preserve">    </w:t>
      </w:r>
      <w:bookmarkStart w:id="101" w:name="_Toc351203493"/>
      <w:r>
        <w:t>十三、合同份数</w:t>
      </w:r>
      <w:bookmarkEnd w:id="101"/>
    </w:p>
    <w:p>
      <w:r>
        <w:t xml:space="preserve">本合同一式  </w:t>
      </w:r>
      <w:r>
        <w:rPr>
          <w:rFonts w:hint="eastAsia"/>
        </w:rPr>
        <w:t xml:space="preserve"> </w:t>
      </w:r>
      <w:r>
        <w:t xml:space="preserve"> 份，均具有同等法律效力，发包人执  </w:t>
      </w:r>
      <w:r>
        <w:rPr>
          <w:rFonts w:hint="eastAsia"/>
        </w:rPr>
        <w:t xml:space="preserve"> </w:t>
      </w:r>
      <w:r>
        <w:t xml:space="preserve"> 份，承包人执  </w:t>
      </w:r>
      <w:r>
        <w:rPr>
          <w:rFonts w:hint="eastAsia"/>
        </w:rPr>
        <w:t xml:space="preserve"> </w:t>
      </w:r>
      <w:r>
        <w:t xml:space="preserve"> 份。</w:t>
      </w:r>
    </w:p>
    <w:p/>
    <w:p>
      <w:r>
        <w:t>发包人</w:t>
      </w:r>
      <w:r>
        <w:rPr>
          <w:rFonts w:hint="eastAsia"/>
        </w:rPr>
        <w:t xml:space="preserve">：  </w:t>
      </w:r>
      <w:r>
        <w:t>(公章)</w:t>
      </w:r>
      <w:r>
        <w:rPr>
          <w:rFonts w:hint="eastAsia"/>
        </w:rPr>
        <w:t xml:space="preserve">             </w:t>
      </w:r>
      <w:r>
        <w:t>承包人</w:t>
      </w:r>
      <w:r>
        <w:rPr>
          <w:rFonts w:hint="eastAsia"/>
        </w:rPr>
        <w:t xml:space="preserve">：  </w:t>
      </w:r>
      <w:r>
        <w:t>(公章)</w:t>
      </w:r>
    </w:p>
    <w:p>
      <w:r>
        <w:rPr>
          <w:rFonts w:hint="eastAsia"/>
        </w:rPr>
        <w:t xml:space="preserve">                                 </w:t>
      </w:r>
    </w:p>
    <w:p>
      <w:r>
        <w:rPr>
          <w:rFonts w:hint="eastAsia"/>
        </w:rPr>
        <w:t>法定代表人或其委托代理人：  法定代表人或其委托代理人：</w:t>
      </w:r>
    </w:p>
    <w:p>
      <w:r>
        <w:rPr>
          <w:rFonts w:hint="eastAsia"/>
        </w:rPr>
        <w:t>（签字）                    （签字）</w:t>
      </w:r>
    </w:p>
    <w:p/>
    <w:p>
      <w:r>
        <w:rPr>
          <w:rFonts w:hint="eastAsia"/>
        </w:rPr>
        <w:t>组织机构代码：</w:t>
      </w:r>
      <w:r>
        <w:t xml:space="preserve"> </w:t>
      </w:r>
      <w:r>
        <w:rPr>
          <w:rFonts w:hint="eastAsia"/>
        </w:rPr>
        <w:t xml:space="preserve"> </w:t>
      </w:r>
      <w:r>
        <w:t xml:space="preserve">      </w:t>
      </w:r>
      <w:r>
        <w:rPr>
          <w:rFonts w:hint="eastAsia"/>
        </w:rPr>
        <w:t xml:space="preserve"> 组织机构代码：</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地  址：     </w:t>
      </w:r>
      <w:r>
        <w:rPr>
          <w:rFonts w:hint="eastAsia"/>
        </w:rPr>
        <w:t xml:space="preserve">  </w:t>
      </w:r>
      <w:r>
        <w:t>地  址：</w:t>
      </w:r>
      <w:r>
        <w:rPr>
          <w:rFonts w:hint="eastAsia"/>
        </w:rPr>
        <w:t xml:space="preserve"> </w:t>
      </w:r>
      <w:r>
        <w:t></w:t>
      </w:r>
      <w:r>
        <w:rPr>
          <w:rFonts w:hint="eastAsia"/>
        </w:rPr>
        <w:t xml:space="preserve"> </w:t>
      </w:r>
      <w:r>
        <w:t xml:space="preserve"> </w:t>
      </w:r>
      <w:r>
        <w:rPr>
          <w:rFonts w:hint="eastAsia"/>
        </w:rPr>
        <w:t xml:space="preserve"> </w:t>
      </w:r>
      <w:r>
        <w:t xml:space="preserve">    </w:t>
      </w:r>
    </w:p>
    <w:p>
      <w:r>
        <w:t>邮政编码： </w:t>
      </w:r>
      <w:r>
        <w:rPr>
          <w:rFonts w:hint="eastAsia"/>
        </w:rPr>
        <w:t xml:space="preserve"> </w:t>
      </w:r>
      <w:r>
        <w:t xml:space="preserve">  </w:t>
      </w:r>
      <w:r>
        <w:rPr>
          <w:rFonts w:hint="eastAsia"/>
        </w:rPr>
        <w:t xml:space="preserve"> </w:t>
      </w:r>
      <w:r>
        <w:t xml:space="preserve">  </w:t>
      </w:r>
      <w:r>
        <w:rPr>
          <w:rFonts w:hint="eastAsia"/>
        </w:rPr>
        <w:t xml:space="preserve"> </w:t>
      </w:r>
      <w:r>
        <w:t xml:space="preserve">邮政编码：   </w:t>
      </w:r>
    </w:p>
    <w:p>
      <w:r>
        <w:t>法定代表人：</w:t>
      </w:r>
      <w:r>
        <w:rPr>
          <w:rFonts w:hint="eastAsia"/>
        </w:rPr>
        <w:t xml:space="preserve">     </w:t>
      </w:r>
      <w:r>
        <w:t></w:t>
      </w:r>
      <w:r>
        <w:rPr>
          <w:rFonts w:hint="eastAsia"/>
        </w:rPr>
        <w:t xml:space="preserve">     </w:t>
      </w:r>
      <w:r>
        <w:t xml:space="preserve">  </w:t>
      </w:r>
      <w:r>
        <w:rPr>
          <w:rFonts w:hint="eastAsia"/>
        </w:rPr>
        <w:t xml:space="preserve"> </w:t>
      </w:r>
      <w:r>
        <w:t>法定代表人：</w:t>
      </w:r>
      <w:r>
        <w:rPr>
          <w:rFonts w:hint="eastAsia"/>
        </w:rPr>
        <w:t xml:space="preserve">      </w:t>
      </w:r>
      <w:r>
        <w:t></w:t>
      </w:r>
      <w:r>
        <w:rPr>
          <w:rFonts w:hint="eastAsia"/>
        </w:rPr>
        <w:t xml:space="preserve">      </w:t>
      </w:r>
      <w:r>
        <w:t xml:space="preserve"> </w:t>
      </w:r>
    </w:p>
    <w:p>
      <w:r>
        <w:t xml:space="preserve">委托代理人： </w:t>
      </w:r>
      <w:r>
        <w:rPr>
          <w:rFonts w:hint="eastAsia"/>
        </w:rPr>
        <w:t xml:space="preserve">     </w:t>
      </w:r>
      <w:r>
        <w:t xml:space="preserve"> </w:t>
      </w:r>
      <w:r>
        <w:rPr>
          <w:rFonts w:hint="eastAsia"/>
        </w:rPr>
        <w:t xml:space="preserve"> </w:t>
      </w:r>
      <w:r>
        <w:t xml:space="preserve">    </w:t>
      </w:r>
      <w:r>
        <w:rPr>
          <w:rFonts w:hint="eastAsia"/>
        </w:rPr>
        <w:t xml:space="preserve"> </w:t>
      </w:r>
      <w:r>
        <w:t xml:space="preserve">委托代理人：  </w:t>
      </w:r>
      <w:r>
        <w:rPr>
          <w:rFonts w:hint="eastAsia"/>
        </w:rPr>
        <w:t xml:space="preserve">       </w:t>
      </w:r>
      <w:r>
        <w:t xml:space="preserve">    </w:t>
      </w:r>
    </w:p>
    <w:p>
      <w:r>
        <w:t>电  话：</w:t>
      </w:r>
      <w:r>
        <w:rPr>
          <w:rFonts w:hint="eastAsia"/>
        </w:rPr>
        <w:t xml:space="preserve"> </w:t>
      </w:r>
      <w:r>
        <w:t xml:space="preserve">   </w:t>
      </w:r>
      <w:r>
        <w:rPr>
          <w:rFonts w:hint="eastAsia"/>
        </w:rPr>
        <w:t xml:space="preserve"> </w:t>
      </w:r>
      <w:r>
        <w:t>电  话：</w:t>
      </w:r>
      <w:r>
        <w:rPr>
          <w:rFonts w:hint="eastAsia"/>
        </w:rPr>
        <w:t xml:space="preserve">  </w:t>
      </w:r>
      <w:r>
        <w:t xml:space="preserve">   </w:t>
      </w:r>
    </w:p>
    <w:p>
      <w:r>
        <w:t xml:space="preserve">传  真： </w:t>
      </w:r>
      <w:r>
        <w:rPr>
          <w:rFonts w:hint="eastAsia"/>
        </w:rPr>
        <w:t xml:space="preserve"> </w:t>
      </w:r>
      <w:r>
        <w:t xml:space="preserve">  </w:t>
      </w:r>
      <w:r>
        <w:rPr>
          <w:rFonts w:hint="eastAsia"/>
        </w:rPr>
        <w:t xml:space="preserve"> </w:t>
      </w:r>
      <w:r>
        <w:t>传  真：</w:t>
      </w:r>
      <w:r>
        <w:rPr>
          <w:rFonts w:hint="eastAsia"/>
        </w:rPr>
        <w:t xml:space="preserve">  </w:t>
      </w:r>
      <w:r>
        <w:t xml:space="preserve">   </w:t>
      </w:r>
    </w:p>
    <w:p>
      <w:r>
        <w:t xml:space="preserve">电子信箱：                  </w:t>
      </w:r>
      <w:r>
        <w:rPr>
          <w:rFonts w:hint="eastAsia"/>
        </w:rPr>
        <w:t xml:space="preserve"> </w:t>
      </w:r>
      <w:r>
        <w:t xml:space="preserve">电子信箱：   </w:t>
      </w:r>
    </w:p>
    <w:p>
      <w:r>
        <w:t xml:space="preserve">开户银行：    </w:t>
      </w:r>
      <w:r>
        <w:rPr>
          <w:rFonts w:hint="eastAsia"/>
        </w:rPr>
        <w:t xml:space="preserve"> </w:t>
      </w:r>
      <w:r>
        <w:t xml:space="preserve">开户银行：   </w:t>
      </w:r>
    </w:p>
    <w:p>
      <w:r>
        <w:t xml:space="preserve">账  号：       </w:t>
      </w:r>
      <w:r>
        <w:rPr>
          <w:rFonts w:hint="eastAsia"/>
        </w:rPr>
        <w:t xml:space="preserve">   </w:t>
      </w:r>
      <w:r>
        <w:t>账</w:t>
      </w:r>
      <w:r>
        <w:rPr>
          <w:rFonts w:hint="eastAsia"/>
        </w:rPr>
        <w:t xml:space="preserve"> </w:t>
      </w:r>
      <w:r>
        <w:t xml:space="preserve"> 号：</w:t>
      </w:r>
      <w:r>
        <w:rPr>
          <w:rFonts w:hint="eastAsia"/>
        </w:rPr>
        <w:t xml:space="preserve">  </w:t>
      </w:r>
      <w:r>
        <w:t xml:space="preserve">  </w:t>
      </w:r>
      <w:r>
        <w:rPr>
          <w:rFonts w:hint="eastAsia"/>
        </w:rPr>
        <w:t xml:space="preserve"> </w:t>
      </w:r>
    </w:p>
    <w:p>
      <w:r>
        <w:br w:type="page"/>
      </w:r>
      <w:bookmarkStart w:id="102" w:name="_Toc27188"/>
      <w:bookmarkStart w:id="103" w:name="_Toc351203494"/>
      <w:bookmarkStart w:id="104" w:name="_Toc21422"/>
      <w:r>
        <w:t>第二部分 通用合同条款</w:t>
      </w:r>
      <w:bookmarkEnd w:id="102"/>
      <w:bookmarkEnd w:id="103"/>
      <w:bookmarkEnd w:id="104"/>
      <w:bookmarkStart w:id="105" w:name="_Toc337558727"/>
    </w:p>
    <w:p>
      <w:bookmarkStart w:id="106" w:name="_Toc351203495"/>
      <w:r>
        <w:t>1.</w:t>
      </w:r>
      <w:bookmarkStart w:id="107" w:name="_Toc303538972"/>
      <w:bookmarkEnd w:id="107"/>
      <w:bookmarkStart w:id="108" w:name="_Toc303538976"/>
      <w:bookmarkEnd w:id="108"/>
      <w:bookmarkStart w:id="109" w:name="_Toc303538974"/>
      <w:bookmarkEnd w:id="109"/>
      <w:bookmarkStart w:id="110" w:name="_Toc303538975"/>
      <w:bookmarkEnd w:id="110"/>
      <w:bookmarkStart w:id="111" w:name="_Toc303538973"/>
      <w:bookmarkEnd w:id="111"/>
      <w:bookmarkStart w:id="112" w:name="_Toc296503027"/>
      <w:bookmarkStart w:id="113" w:name="_Toc296346528"/>
      <w:r>
        <w:t xml:space="preserve"> 一般约定</w:t>
      </w:r>
      <w:bookmarkEnd w:id="105"/>
      <w:bookmarkEnd w:id="106"/>
      <w:bookmarkEnd w:id="112"/>
      <w:bookmarkEnd w:id="113"/>
    </w:p>
    <w:p>
      <w:bookmarkStart w:id="114" w:name="_Toc296503028"/>
      <w:bookmarkStart w:id="115" w:name="_Toc337558728"/>
      <w:bookmarkStart w:id="116" w:name="_Toc296346529"/>
      <w:bookmarkStart w:id="117" w:name="_Toc351203496"/>
      <w:r>
        <w:t>1.1词语定义</w:t>
      </w:r>
      <w:bookmarkEnd w:id="114"/>
      <w:bookmarkEnd w:id="115"/>
      <w:bookmarkEnd w:id="116"/>
      <w:r>
        <w:t>与解释</w:t>
      </w:r>
      <w:bookmarkEnd w:id="117"/>
    </w:p>
    <w:p>
      <w:r>
        <w:t>合同协议书、通用合同条款、专用合同条款中的下列词语具有本款所赋予的含义：</w:t>
      </w:r>
    </w:p>
    <w:p>
      <w:r>
        <w:t xml:space="preserve">    1.1.1 合同</w:t>
      </w:r>
    </w:p>
    <w:p>
      <w:r>
        <w:t>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r>
        <w:t>1.1.1.2 合同协议书：是指构成合同的由发包人和承包人共同签署的称为“合同协议书”的书面文件</w:t>
      </w:r>
      <w:r>
        <w:rPr>
          <w:rFonts w:hint="eastAsia"/>
        </w:rPr>
        <w:t>。</w:t>
      </w:r>
    </w:p>
    <w:p>
      <w:r>
        <w:t>1.1.1.3 中标通知书：是指构成合同的</w:t>
      </w:r>
      <w:r>
        <w:rPr>
          <w:rFonts w:hint="eastAsia"/>
        </w:rPr>
        <w:t>由</w:t>
      </w:r>
      <w:r>
        <w:t>发包人通知承包人中标的书面文件。</w:t>
      </w:r>
    </w:p>
    <w:p>
      <w:r>
        <w:t>1.1.1.4 投标函：是指构成合同的由承包人填写并签署的用于投标的称为“投标函”的文件。</w:t>
      </w:r>
    </w:p>
    <w:p>
      <w:r>
        <w:t>1.1.1.5 投标函附录：是指构成合同的附在投标函后的称为“投标函附录”的文件。</w:t>
      </w:r>
    </w:p>
    <w:p>
      <w:r>
        <w:t>1.1.1.6 技术标准和要求：是指构成合同的施工应当遵守的或指导施工的国家、行业或地方的技术标准和要求，以及合同约定的技术标准和要求。</w:t>
      </w:r>
    </w:p>
    <w:p>
      <w:r>
        <w:t>1.1.1.7 图纸：是指构成合同的图纸，包括由发包人按照合同约定提供或经发包人批准的设计文件、</w:t>
      </w:r>
      <w:r>
        <w:rPr>
          <w:rFonts w:hint="eastAsia"/>
        </w:rPr>
        <w:t>施工图、</w:t>
      </w:r>
      <w:r>
        <w:t>鸟瞰图及模型等，</w:t>
      </w:r>
      <w:r>
        <w:rPr>
          <w:rFonts w:hint="eastAsia"/>
        </w:rPr>
        <w:t>以及在合同履行过程中形成的图纸文件。图纸</w:t>
      </w:r>
      <w:r>
        <w:t>应当按照法律规定审查合格。</w:t>
      </w:r>
    </w:p>
    <w:p>
      <w:r>
        <w:t>1.1.1.8 已标价工程量清单：是指构成合同的由承包人按照规定的格式和要求填写并标明价格的工程量清单，包括说明和表格。</w:t>
      </w:r>
    </w:p>
    <w:p>
      <w:r>
        <w:t>1.1.1.9 预算书：是指构成合同的由承包人按照发包人规定的格式和要求编制的工程预算文件。</w:t>
      </w:r>
    </w:p>
    <w:p>
      <w:r>
        <w:t>1.1.1.10 其他合同文件：是指经合同当事人约定的与工程施工有关的具有合同约束力的文件或书面协议。合同当事人可以在专用合同条款中进行约定。</w:t>
      </w:r>
    </w:p>
    <w:p>
      <w:r>
        <w:t xml:space="preserve">    1.1.2 合同当事人及其他相关方</w:t>
      </w:r>
    </w:p>
    <w:p>
      <w:r>
        <w:t>1.1.2.1 合同当事人：是指发包人和（或）承包人。</w:t>
      </w:r>
    </w:p>
    <w:p>
      <w:r>
        <w:t>1.1.2.2 发包人：是指与承包人签订合同协议书的当事人及取得该当事人资格的合法继承人。</w:t>
      </w:r>
    </w:p>
    <w:p>
      <w:r>
        <w:t>1.1.2.3 承包人：是指与发包人签订合同协议书的，具有相应工程施工承包资质的当事人及取得该当事人资格的合法继承人。</w:t>
      </w:r>
    </w:p>
    <w:p>
      <w:r>
        <w:t>1.1.2.4 监理人：是指在专用合同条款中指明的，受发包人委托按照法律规定进行工程监督管理的法人或其他组织。</w:t>
      </w:r>
    </w:p>
    <w:p>
      <w:r>
        <w:t>1.1.2.5 设计人：是指在专用合同条款中指明的，受发包人委托负责工程设计并具备相应工程设计资质的法人或其他组织。</w:t>
      </w:r>
    </w:p>
    <w:p>
      <w:r>
        <w:t>1.1.2.6 分包人：</w:t>
      </w:r>
      <w:bookmarkStart w:id="118" w:name="#go5"/>
      <w:bookmarkEnd w:id="118"/>
      <w:r>
        <w:t>是指</w:t>
      </w:r>
      <w:r>
        <w:rPr>
          <w:rFonts w:hint="eastAsia"/>
        </w:rPr>
        <w:t>按照法律规定和</w:t>
      </w:r>
      <w:r>
        <w:t>合同约定，分包</w:t>
      </w:r>
      <w:r>
        <w:rPr>
          <w:rFonts w:hint="eastAsia"/>
        </w:rPr>
        <w:t>部分</w:t>
      </w:r>
      <w:r>
        <w:t>工程</w:t>
      </w:r>
      <w:r>
        <w:rPr>
          <w:rFonts w:hint="eastAsia"/>
        </w:rPr>
        <w:t>或工作</w:t>
      </w:r>
      <w:r>
        <w:t>，并与</w:t>
      </w:r>
      <w:r>
        <w:rPr>
          <w:rFonts w:hint="eastAsia"/>
        </w:rPr>
        <w:t>承包人</w:t>
      </w:r>
      <w:r>
        <w:t>签订分包合同的具有相应资质的法人。</w:t>
      </w:r>
    </w:p>
    <w:p>
      <w:r>
        <w:t>1.1.2.7 发包人代表：是指由发包人任命并派驻施工现场在发包人授权范围内行使发包人权利的人。</w:t>
      </w:r>
    </w:p>
    <w:p>
      <w:r>
        <w:t>1.1.2.8 项目经理：是指由承包人任命并派驻施工现场，在承包人授权范围内负责合同履行，且按照法律规定具有相应资格的</w:t>
      </w:r>
      <w:r>
        <w:rPr>
          <w:rFonts w:hint="eastAsia"/>
        </w:rPr>
        <w:t>项目负责</w:t>
      </w:r>
      <w:r>
        <w:t>人。</w:t>
      </w:r>
    </w:p>
    <w:p>
      <w:r>
        <w:t>1.1.2.9 总监理工程师：是指由监理人任命并派驻施工现场进行工程监理的总负责人。</w:t>
      </w:r>
    </w:p>
    <w:p>
      <w:r>
        <w:t>1.1.3 工程和设备</w:t>
      </w:r>
    </w:p>
    <w:p>
      <w:r>
        <w:t>1.1.3.1 工程：是指与合同协议书中工程承包范围对应的永久工程和（或）临时工程。</w:t>
      </w:r>
    </w:p>
    <w:p>
      <w:r>
        <w:t>1.1.3.2 永久工程：是指按合同约定建造并移交给发包人的工程，包括工程设备。</w:t>
      </w:r>
    </w:p>
    <w:p>
      <w:r>
        <w:t>1.1.3.3 临时工程：是指为完成合同约定的永久工程所修建的各类临时性工程，不包括施工设备。</w:t>
      </w:r>
    </w:p>
    <w:p>
      <w:r>
        <w:t>1.1.3.4 单位工程：是指在</w:t>
      </w:r>
      <w:r>
        <w:rPr>
          <w:rFonts w:hint="eastAsia"/>
        </w:rPr>
        <w:t>合同协议书</w:t>
      </w:r>
      <w:r>
        <w:t>中指明的，具备独立施工条件并能形成独立使用功能的永久工程。</w:t>
      </w:r>
    </w:p>
    <w:p>
      <w:r>
        <w:t>1.1.3.5 工程设备：是指构成永久工程的机电设备、金属结构设备、仪器及其他类似的设备和装置。</w:t>
      </w:r>
    </w:p>
    <w:p>
      <w:r>
        <w:t>1.1.3.6 施工设备：是指为完成合同约定的各项工作所需的设备、器具和其他物品，但不包括工程设备、临时工程和材料。</w:t>
      </w:r>
    </w:p>
    <w:p>
      <w:r>
        <w:t>1.1.3.7 施工现场：是指用于工程施工的场所，以及在专用合同条款中</w:t>
      </w:r>
      <w:r>
        <w:rPr>
          <w:rFonts w:hint="eastAsia"/>
        </w:rPr>
        <w:t>指</w:t>
      </w:r>
      <w:r>
        <w:t>明作为施工场所组成部分的其他场所，包括永久占地和临时占地。</w:t>
      </w:r>
    </w:p>
    <w:p>
      <w:r>
        <w:t>1.1.3.8临时设施：是指为完成合同约定的各项工作所服务的临时性生产和生活设施。</w:t>
      </w:r>
    </w:p>
    <w:p>
      <w:r>
        <w:t>1.1.3.9 永久占地：是指专用合同条款中指明为实施工程需永久占用的土地。</w:t>
      </w:r>
    </w:p>
    <w:p>
      <w:r>
        <w:t>1.1.3.10 临时占地：是指专用合同条款中指明为实施工程需要临时占用的土地。</w:t>
      </w:r>
    </w:p>
    <w:p>
      <w:r>
        <w:t>1.1.4 日期和期限</w:t>
      </w:r>
    </w:p>
    <w:p>
      <w:r>
        <w:t>1.1.4.1 开工日期：包括计划开工日期和实际开工日期。计划开工日期是指合同协议书约定的开工日期；实际开工日期是指监理人按照第7.3.2项</w:t>
      </w:r>
      <w:r>
        <w:rPr>
          <w:rFonts w:hint="eastAsia"/>
        </w:rPr>
        <w:t>〔</w:t>
      </w:r>
      <w:r>
        <w:t>开工通知</w:t>
      </w:r>
      <w:r>
        <w:rPr>
          <w:rFonts w:hint="eastAsia"/>
        </w:rPr>
        <w:t>〕</w:t>
      </w:r>
      <w:r>
        <w:t>约定发出的符合法律规定的开工通知中载明的开工日期。</w:t>
      </w:r>
    </w:p>
    <w:p>
      <w:r>
        <w:t>1.1.4.2 竣工日期：包括计划竣工日期和实际竣工日期。计划竣工日期是指合同协议书约定的竣工日期</w:t>
      </w:r>
      <w:r>
        <w:rPr>
          <w:rFonts w:hint="eastAsia"/>
        </w:rPr>
        <w:t>；</w:t>
      </w:r>
      <w:r>
        <w:t>实际竣工日期按照第13.2.3项</w:t>
      </w:r>
      <w:r>
        <w:rPr>
          <w:rFonts w:hint="eastAsia"/>
        </w:rPr>
        <w:t>〔</w:t>
      </w:r>
      <w:r>
        <w:t>竣工日期</w:t>
      </w:r>
      <w:r>
        <w:rPr>
          <w:rFonts w:hint="eastAsia"/>
        </w:rPr>
        <w:t>〕</w:t>
      </w:r>
      <w:r>
        <w:t xml:space="preserve">的约定确定。 </w:t>
      </w:r>
    </w:p>
    <w:p>
      <w:r>
        <w:t>1.1.4.3 工期：是指在合同协议书约定的承包人完成工程所需的期限，包括按照合同约定所作的</w:t>
      </w:r>
      <w:r>
        <w:rPr>
          <w:rFonts w:hint="eastAsia"/>
        </w:rPr>
        <w:t>期限</w:t>
      </w:r>
      <w:r>
        <w:t>变更。</w:t>
      </w:r>
    </w:p>
    <w:p>
      <w:r>
        <w:t>1.1.4.4 缺陷责任期：是指承包人按照合同约定承担缺陷修复义务，且发包人</w:t>
      </w:r>
      <w:r>
        <w:rPr>
          <w:rFonts w:hint="eastAsia"/>
        </w:rPr>
        <w:t>预</w:t>
      </w:r>
      <w:r>
        <w:t>留质量保证金</w:t>
      </w:r>
      <w:r>
        <w:rPr>
          <w:rFonts w:hint="eastAsia"/>
        </w:rPr>
        <w:t>（已</w:t>
      </w:r>
      <w:r>
        <w:t>缴纳履约保证金的除外</w:t>
      </w:r>
      <w:r>
        <w:rPr>
          <w:rFonts w:hint="eastAsia"/>
        </w:rPr>
        <w:t>）</w:t>
      </w:r>
      <w:r>
        <w:t>的期限，</w:t>
      </w:r>
      <w:r>
        <w:rPr>
          <w:rFonts w:hint="eastAsia"/>
        </w:rPr>
        <w:t>自</w:t>
      </w:r>
      <w:r>
        <w:t>工程</w:t>
      </w:r>
      <w:r>
        <w:rPr>
          <w:rFonts w:hint="eastAsia"/>
        </w:rPr>
        <w:t>实际竣工日期</w:t>
      </w:r>
      <w:r>
        <w:t>起计算。</w:t>
      </w:r>
    </w:p>
    <w:p>
      <w:r>
        <w:t>1.1.4.5 保修期：是指承包人按照合同约定对工程承担保修责任的期限，从工程竣工验收合格之日起计算。</w:t>
      </w:r>
    </w:p>
    <w:p>
      <w:r>
        <w:t>1.1.4.6 基准日期：招标发包的工程以投标截止日前28天的日期为基准日</w:t>
      </w:r>
      <w:r>
        <w:rPr>
          <w:rFonts w:hint="eastAsia"/>
        </w:rPr>
        <w:t>期</w:t>
      </w:r>
      <w:r>
        <w:t>，直接发包的工程以合同签订日前28天的日期为基准日</w:t>
      </w:r>
      <w:r>
        <w:rPr>
          <w:rFonts w:hint="eastAsia"/>
        </w:rPr>
        <w:t>期</w:t>
      </w:r>
      <w:r>
        <w:t>。</w:t>
      </w:r>
    </w:p>
    <w:p>
      <w:r>
        <w:t>1.1.4.7 天：除特别指明外，均指日历天。合同中按天计算时间的，开始当天不计入，从次日开始计算，期限最后一天的截止时间为当天24:00时。</w:t>
      </w:r>
    </w:p>
    <w:p>
      <w:r>
        <w:t>1.1.5 合同价格和费用</w:t>
      </w:r>
    </w:p>
    <w:p>
      <w:r>
        <w:t>1.1.5.1 签约合同价：是指发包人和承包人在合同协议书中确定的总金额，包括安全文明施工费、暂估价及暂列金额等。</w:t>
      </w:r>
    </w:p>
    <w:p>
      <w:r>
        <w:t>1.1.5.2 合同价格：是指发包人用于支付承包人按照合同约定完成承包范围内全部工作的金额，包括合同履行过程中按合同约定</w:t>
      </w:r>
      <w:r>
        <w:rPr>
          <w:rFonts w:hint="eastAsia"/>
        </w:rPr>
        <w:t>发生的价格变化。</w:t>
      </w:r>
    </w:p>
    <w:p>
      <w:r>
        <w:t>1.1.5.3 费用：是指为履行合同所发生的或将要发生的所有必需的开支，包括管理费和应分摊的其他费用，但不包括利润。</w:t>
      </w:r>
    </w:p>
    <w:p>
      <w:r>
        <w:t>1.1.5.4 暂估价：是指发包人在工程量清单或预算书中提供的用于支付必然发生但暂时不能确定价格的材料、工程设备的单价</w:t>
      </w:r>
      <w:r>
        <w:rPr>
          <w:rFonts w:hint="eastAsia"/>
        </w:rPr>
        <w:t>、</w:t>
      </w:r>
      <w:r>
        <w:t>专业工程以及</w:t>
      </w:r>
      <w:r>
        <w:rPr>
          <w:rFonts w:hint="eastAsia"/>
        </w:rPr>
        <w:t>服务工作</w:t>
      </w:r>
      <w:r>
        <w:t>的金额。</w:t>
      </w:r>
    </w:p>
    <w:p>
      <w:r>
        <w:t>1.1.5.5 暂列金额：是指发包人在工程量清单或预算书中暂定并包括在合同价格中的一笔款项</w:t>
      </w:r>
      <w:r>
        <w:rPr>
          <w:rFonts w:hint="eastAsia"/>
        </w:rPr>
        <w:t>，</w:t>
      </w:r>
      <w:r>
        <w:t>用于工程合同签订时尚未确定或者不可预见的所需材料、工程设备、服务的采购，施工中可能发生的工程变更、合同约定调整因素出现时的合同价格调整以及发生的索赔、现场签证确认等的费用。</w:t>
      </w:r>
    </w:p>
    <w:p>
      <w:r>
        <w:t>1.1.5.6 计日工：是指合同履行过程中，承包人完成发包人提出的零星工作或需要采用计日工计价的变更工作时，按合同中约定的单价计价的一种方式。</w:t>
      </w:r>
    </w:p>
    <w:p>
      <w:r>
        <w:t>1.1.5.7 质量保证金</w:t>
      </w:r>
      <w:bookmarkStart w:id="119" w:name="#go2"/>
      <w:bookmarkEnd w:id="119"/>
      <w:r>
        <w:t>：是指按照第15.3款</w:t>
      </w:r>
      <w:r>
        <w:rPr>
          <w:rFonts w:hint="eastAsia"/>
        </w:rPr>
        <w:t>〔</w:t>
      </w:r>
      <w:r>
        <w:t>质量保证金</w:t>
      </w:r>
      <w:r>
        <w:rPr>
          <w:rFonts w:hint="eastAsia"/>
        </w:rPr>
        <w:t>〕</w:t>
      </w:r>
      <w:r>
        <w:t>约定承包人用于保证其在缺陷责任期内履行缺陷修补义务的担保。</w:t>
      </w:r>
    </w:p>
    <w:p>
      <w:r>
        <w:t>1.1.5.8 总价项目：是指在现行国家、行业以及地方的计量规则中无工程量计算规则，在已标价工程量清单或预算书中以总价或以费率形式计算的项目。</w:t>
      </w:r>
    </w:p>
    <w:p>
      <w:r>
        <w:t>1.1.6 其他</w:t>
      </w:r>
    </w:p>
    <w:p>
      <w:r>
        <w:t>1.1.6.1 书面形式：是指合同文件、信函、电报、传真等可以有形地表现所载内容的形式。</w:t>
      </w:r>
    </w:p>
    <w:p>
      <w:r>
        <w:t xml:space="preserve">    </w:t>
      </w:r>
      <w:bookmarkStart w:id="120" w:name="_Toc296346530"/>
      <w:bookmarkStart w:id="121" w:name="_Toc337558729"/>
      <w:bookmarkStart w:id="122" w:name="_Toc351203497"/>
      <w:bookmarkStart w:id="123" w:name="_Toc296503029"/>
      <w:r>
        <w:t>1.2语言文字</w:t>
      </w:r>
      <w:bookmarkEnd w:id="120"/>
      <w:bookmarkEnd w:id="121"/>
      <w:bookmarkEnd w:id="122"/>
      <w:bookmarkEnd w:id="123"/>
    </w:p>
    <w:p>
      <w:r>
        <w:t>合同以中国的汉语简体文字编写、解释和说明。合同当事人在专用合同条款中约定使用两种以上语言时，汉语为优先解释和说明合同的语言。</w:t>
      </w:r>
    </w:p>
    <w:p>
      <w:bookmarkStart w:id="124" w:name="_Toc296346531"/>
      <w:bookmarkStart w:id="125" w:name="_Toc296503030"/>
      <w:bookmarkStart w:id="126" w:name="_Toc337558730"/>
      <w:bookmarkStart w:id="127" w:name="_Toc351203498"/>
      <w:r>
        <w:t>1.3法律</w:t>
      </w:r>
      <w:bookmarkEnd w:id="124"/>
      <w:bookmarkEnd w:id="125"/>
      <w:bookmarkEnd w:id="126"/>
      <w:bookmarkEnd w:id="127"/>
    </w:p>
    <w:p>
      <w:r>
        <w:t>合同所称法律是指中华人民共和国法律、行政法规、部门规章，以及工程所在地的地方性法规、自治条例、单行条例和地方政府规章等。</w:t>
      </w:r>
    </w:p>
    <w:p>
      <w:r>
        <w:t>合同当事人可以在专用合同条款中约定合同适用的其他规范性文件。</w:t>
      </w:r>
    </w:p>
    <w:p>
      <w:bookmarkStart w:id="128" w:name="_Toc351203499"/>
      <w:r>
        <w:t>1.4 标准和规范</w:t>
      </w:r>
      <w:bookmarkEnd w:id="128"/>
    </w:p>
    <w:p>
      <w:r>
        <w:t>1.4.1 适用于工程的国家标准、行业标准、工程所在地的地方性标准，以及相应的规范、规程等，合同当事人有特别要求的，应在专用合同条款中约定。</w:t>
      </w:r>
    </w:p>
    <w:p>
      <w:r>
        <w:t>1.4.2 发包人要求使用国外标准、规范的，发包人负责提供原文版本和中文译本，并在专用合同条款中约定提供标准规范的名称、份数和时间。</w:t>
      </w:r>
    </w:p>
    <w:p>
      <w:r>
        <w:t>1.4.3 发包人对工程的技术标准、功能要求高于或严于现行国家、行业或地方标准的，应当在专用合同条款中予以明确。除专用合同条款另有约定外，应视为</w:t>
      </w:r>
      <w:r>
        <w:rPr>
          <w:rFonts w:hint="eastAsia"/>
        </w:rPr>
        <w:t>承包人</w:t>
      </w:r>
      <w:r>
        <w:t>在签订合同前已充分预见前述技术标准和功能要求的复杂程度，签约合同价中已包含由此产生的费用。</w:t>
      </w:r>
    </w:p>
    <w:p>
      <w:bookmarkStart w:id="129" w:name="_Toc351203500"/>
      <w:r>
        <w:t>1</w:t>
      </w:r>
      <w:bookmarkStart w:id="130" w:name="_Toc296346532"/>
      <w:bookmarkStart w:id="131" w:name="_Toc337558731"/>
      <w:bookmarkStart w:id="132" w:name="_Toc296503031"/>
      <w:r>
        <w:t>.5 合同文件的优先顺序</w:t>
      </w:r>
      <w:bookmarkEnd w:id="129"/>
    </w:p>
    <w:bookmarkEnd w:id="130"/>
    <w:bookmarkEnd w:id="131"/>
    <w:bookmarkEnd w:id="132"/>
    <w:p>
      <w:r>
        <w:t>组成合同的各项文件应互相解释，互为说明。除专用合同条款另有约定外，解释合同文件的优先顺序如下：</w:t>
      </w:r>
    </w:p>
    <w:p>
      <w:r>
        <w:t>（1）合同协议书；</w:t>
      </w:r>
    </w:p>
    <w:p>
      <w:r>
        <w:t>（2）中标通知书（如果有）；</w:t>
      </w:r>
    </w:p>
    <w:p>
      <w:r>
        <w:t>（3）投标函及其附录（如果有）；</w:t>
      </w:r>
    </w:p>
    <w:p>
      <w:r>
        <w:t>（4）专用合同条款及其附件；</w:t>
      </w:r>
    </w:p>
    <w:p>
      <w:r>
        <w:t>（5）通用合同条款；</w:t>
      </w:r>
    </w:p>
    <w:p>
      <w:r>
        <w:t>（6）技术标准和要求；</w:t>
      </w:r>
    </w:p>
    <w:p>
      <w:r>
        <w:t>（7）图纸；</w:t>
      </w:r>
    </w:p>
    <w:p>
      <w:r>
        <w:t>（8）已标价工程量清单或预算书；</w:t>
      </w:r>
    </w:p>
    <w:p>
      <w:r>
        <w:t>（9）其他合同文件。</w:t>
      </w:r>
    </w:p>
    <w:p>
      <w:r>
        <w:t>上述各项合同文件包括合同当事人就该项合同文件所作出的补充和修改，属于同一类内容的文件，应以最新签署的为准。</w:t>
      </w:r>
    </w:p>
    <w:p>
      <w:r>
        <w:t>在合同订立及履行过程中形成的与合同有关的文件均构成合同文件组成部分，并根据其性质确定优先解释顺序。</w:t>
      </w:r>
    </w:p>
    <w:p>
      <w:bookmarkStart w:id="133" w:name="_Toc351203501"/>
      <w:r>
        <w:t>1</w:t>
      </w:r>
      <w:bookmarkStart w:id="134" w:name="_Toc296346533"/>
      <w:bookmarkStart w:id="135" w:name="_Toc337558732"/>
      <w:bookmarkStart w:id="136" w:name="_Toc296503032"/>
      <w:r>
        <w:t>.6图纸和承包人文件</w:t>
      </w:r>
      <w:bookmarkEnd w:id="133"/>
    </w:p>
    <w:bookmarkEnd w:id="134"/>
    <w:bookmarkEnd w:id="135"/>
    <w:bookmarkEnd w:id="136"/>
    <w:p>
      <w:r>
        <w:t>1.6.1 图纸的提供和交底</w:t>
      </w:r>
    </w:p>
    <w:p>
      <w:r>
        <w:t>发包人应按照专用合同条款约定的期限、数量和内容向承包人免费提供图纸，并组织承包人、监理人和设计人进行图纸会审和设计交底。发包人至迟不得晚于第7.3.2项</w:t>
      </w:r>
      <w:r>
        <w:rPr>
          <w:rFonts w:hint="eastAsia"/>
        </w:rPr>
        <w:t>〔</w:t>
      </w:r>
      <w:r>
        <w:t>开工通知</w:t>
      </w:r>
      <w:r>
        <w:rPr>
          <w:rFonts w:hint="eastAsia"/>
        </w:rPr>
        <w:t>〕</w:t>
      </w:r>
      <w:r>
        <w:t>载明的开工日期前14天向承包人提供图纸。</w:t>
      </w:r>
    </w:p>
    <w:p>
      <w:r>
        <w:t>因发包人未按合同约定提供图纸导致承包人费用增加和（或）工期延误的，按照第7.5.1项</w:t>
      </w:r>
      <w:r>
        <w:rPr>
          <w:rFonts w:hint="eastAsia"/>
        </w:rPr>
        <w:t>〔</w:t>
      </w:r>
      <w:r>
        <w:t>因发包人原因导致工期延误</w:t>
      </w:r>
      <w:r>
        <w:rPr>
          <w:rFonts w:hint="eastAsia"/>
        </w:rPr>
        <w:t>〕</w:t>
      </w:r>
      <w:r>
        <w:t>约定办理。</w:t>
      </w:r>
    </w:p>
    <w:p>
      <w:r>
        <w:t>1.6.2 图纸的错误</w:t>
      </w:r>
    </w:p>
    <w:p>
      <w: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rPr>
        <w:t>合理时间是指发包人在收到监理人的报送通知后，尽其努力且不懈怠地完成图纸修改补充所需的时间。</w:t>
      </w:r>
    </w:p>
    <w:p>
      <w:r>
        <w:t>1.6.3 图纸的修改和补充</w:t>
      </w:r>
    </w:p>
    <w:p>
      <w:r>
        <w:t>图纸需要修改和补充的，应经图纸原设计人及审批部门同意，并由监理人在工程或工程相应部位施工前将修改后的图纸或补充图纸提交给承包人，承包人应按修改或补充后的图纸施工。</w:t>
      </w:r>
    </w:p>
    <w:p>
      <w:r>
        <w:t>1.6.4 承包人文件</w:t>
      </w:r>
    </w:p>
    <w:p>
      <w:r>
        <w:t>承包人应按照专用合同条款的约定提供应当由其编制的与工程施工有关的文件，并按照专用合同条款约定的期限、数量和形式提交监理人，并由监理人报送发包人。</w:t>
      </w:r>
    </w:p>
    <w:p>
      <w: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r>
        <w:t>1.6.5 图纸和承包人文件的保管</w:t>
      </w:r>
    </w:p>
    <w:p>
      <w:r>
        <w:t>除专用合同条款另有约定外，承包人应在施工现场另外保存一套完整的图纸和承包人文件，供发包人、监理人及有关人员进行工程检查时使用。</w:t>
      </w:r>
    </w:p>
    <w:p>
      <w:bookmarkStart w:id="137" w:name="_Toc351203502"/>
      <w:r>
        <w:t>1</w:t>
      </w:r>
      <w:bookmarkStart w:id="138" w:name="_Toc296346534"/>
      <w:bookmarkStart w:id="139" w:name="_Toc296503033"/>
      <w:bookmarkStart w:id="140" w:name="_Toc337558733"/>
      <w:r>
        <w:t>.7联络</w:t>
      </w:r>
      <w:bookmarkEnd w:id="137"/>
    </w:p>
    <w:bookmarkEnd w:id="138"/>
    <w:bookmarkEnd w:id="139"/>
    <w:bookmarkEnd w:id="140"/>
    <w:p>
      <w:r>
        <w:t>1.7.1 与合同有关的通知、批准、证明、证书、指示、指令、要求、请求、同意、意见、确定和决定等，均应采用书面形式，并应在合同约定的期限内送达接收人和送达地点。</w:t>
      </w:r>
    </w:p>
    <w:p>
      <w:r>
        <w:t>1.7.2 发包人和承包人应在专用合同条款中约定各自的送达接收人和送达地点。任何一方合同当事人指定的接收人或送达地点发生变动的，应提前3天以书面形式通知对方。</w:t>
      </w:r>
    </w:p>
    <w:p>
      <w:r>
        <w:t>1.7.3 发包人和承包人应当及时签收另一方送达至送达地点和指定接收人的来往信函。拒不签收的，由此增加的费用和（或）延误的工期由拒绝接收一方承担。</w:t>
      </w:r>
    </w:p>
    <w:p>
      <w:bookmarkStart w:id="141" w:name="_Toc351203503"/>
      <w:r>
        <w:t>1</w:t>
      </w:r>
      <w:bookmarkStart w:id="142" w:name="_Toc296503035"/>
      <w:bookmarkStart w:id="143" w:name="_Toc296346536"/>
      <w:bookmarkStart w:id="144" w:name="_Toc337558734"/>
      <w:r>
        <w:t>.8严禁贿赂</w:t>
      </w:r>
      <w:bookmarkEnd w:id="141"/>
    </w:p>
    <w:bookmarkEnd w:id="142"/>
    <w:bookmarkEnd w:id="143"/>
    <w:bookmarkEnd w:id="144"/>
    <w:p>
      <w:r>
        <w:t>合同当事人不得以贿赂或变相贿赂的方式，谋取非法利益或损害对方权益。因一方合同当事人的贿赂造成对方损失的，应赔偿损失，并承担相应的法律责任。</w:t>
      </w:r>
    </w:p>
    <w:p>
      <w:r>
        <w:t>承包人不得与监理人或发包人聘请的第三方串通损害发包人利益。未经发包人书面同意，承包人不得为监理人提供合同约定以外的通讯设备、交通工具及其他任何形式的利益，不得向监理人支付报酬。</w:t>
      </w:r>
    </w:p>
    <w:p>
      <w:bookmarkStart w:id="145" w:name="_Toc351203504"/>
      <w:r>
        <w:t>1</w:t>
      </w:r>
      <w:bookmarkStart w:id="146" w:name="_Toc296346537"/>
      <w:bookmarkStart w:id="147" w:name="_Toc296503036"/>
      <w:bookmarkStart w:id="148" w:name="_Toc337558735"/>
      <w:r>
        <w:t>.9化石、文物</w:t>
      </w:r>
      <w:bookmarkEnd w:id="145"/>
    </w:p>
    <w:bookmarkEnd w:id="146"/>
    <w:bookmarkEnd w:id="147"/>
    <w:bookmarkEnd w:id="148"/>
    <w:p>
      <w: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
        <w:t>发包人、监理人和承包人应按有关政府行政管理部门要求采取妥善的保护措施，由此增加的费用和</w:t>
      </w:r>
      <w:r>
        <w:rPr>
          <w:rFonts w:hint="eastAsia"/>
        </w:rPr>
        <w:t>（</w:t>
      </w:r>
      <w:r>
        <w:t>或）延误的工期由发包人承担。</w:t>
      </w:r>
    </w:p>
    <w:p>
      <w:r>
        <w:t>承包人发现文物后不及时报告或隐瞒不报，致使文物丢失或损坏的，应赔偿损失，并承担相应的法律责任。</w:t>
      </w:r>
    </w:p>
    <w:p>
      <w:bookmarkStart w:id="149" w:name="_Toc351203505"/>
      <w:r>
        <w:t>1</w:t>
      </w:r>
      <w:bookmarkStart w:id="150" w:name="_Toc337558736"/>
      <w:r>
        <w:t>.10交通运输</w:t>
      </w:r>
      <w:bookmarkEnd w:id="149"/>
    </w:p>
    <w:bookmarkEnd w:id="150"/>
    <w:p>
      <w:r>
        <w:t>1.10.1</w:t>
      </w:r>
      <w:r>
        <w:rPr>
          <w:rFonts w:hint="eastAsia"/>
        </w:rPr>
        <w:t xml:space="preserve"> </w:t>
      </w:r>
      <w:r>
        <w:t>出入现场的权利</w:t>
      </w:r>
    </w:p>
    <w:p>
      <w:r>
        <w:t>除专用合同条款另有约定外，发包人应根据施工需要，负责取得出入施工现场所需的</w:t>
      </w:r>
      <w:r>
        <w:rPr>
          <w:rFonts w:hint="eastAsia"/>
        </w:rPr>
        <w:t>批准手续和</w:t>
      </w:r>
      <w:r>
        <w:t>全部权利，以及取得因施工所需修建道路、桥梁以及其他基础设施的权利，并承担相关手续费用和建设费用。承包人应协助发包人办理修建场内外道路、桥梁以及其他基础设施的手续。</w:t>
      </w:r>
    </w:p>
    <w:p>
      <w:r>
        <w:t>承包人应在订立合同前查勘施工现场，并根据工程规模及技术参数合理预见工程施工所需的进出施工现场的方式、手段、路径等。因承包人未合理预见所增加的费用和（或）延误的工期由承包人承担。</w:t>
      </w:r>
    </w:p>
    <w:p>
      <w:r>
        <w:t>1.10.2</w:t>
      </w:r>
      <w:r>
        <w:rPr>
          <w:rFonts w:hint="eastAsia"/>
        </w:rPr>
        <w:t xml:space="preserve"> </w:t>
      </w:r>
      <w:r>
        <w:t>场外交通</w:t>
      </w:r>
    </w:p>
    <w:p>
      <w: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
        <w:t>1.10.3场内交通</w:t>
      </w:r>
    </w:p>
    <w:p>
      <w: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
        <w:t>场外交通和场内交通的边界由合同当事人在专用合同条款中约定。</w:t>
      </w:r>
    </w:p>
    <w:p>
      <w:r>
        <w:t>1.10.4</w:t>
      </w:r>
      <w:r>
        <w:rPr>
          <w:rFonts w:hint="eastAsia"/>
        </w:rPr>
        <w:t xml:space="preserve"> </w:t>
      </w:r>
      <w:r>
        <w:t>超大件和超重件的运输</w:t>
      </w:r>
    </w:p>
    <w:p>
      <w: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
        <w:t>1.10.5</w:t>
      </w:r>
      <w:r>
        <w:rPr>
          <w:rFonts w:hint="eastAsia"/>
        </w:rPr>
        <w:t xml:space="preserve"> </w:t>
      </w:r>
      <w:r>
        <w:t>道路和桥梁的损坏责任</w:t>
      </w:r>
    </w:p>
    <w:p>
      <w:r>
        <w:t>因承包人运输造成施工场地内外公共道路和桥梁损坏的，由承包人承担修复损坏的全部费用和可能引起的赔偿。</w:t>
      </w:r>
    </w:p>
    <w:p>
      <w:r>
        <w:t>1.10.6</w:t>
      </w:r>
      <w:r>
        <w:rPr>
          <w:rFonts w:hint="eastAsia"/>
        </w:rPr>
        <w:t xml:space="preserve"> </w:t>
      </w:r>
      <w:r>
        <w:t>水路和航空运输</w:t>
      </w:r>
    </w:p>
    <w:p>
      <w:r>
        <w:t>本</w:t>
      </w:r>
      <w:r>
        <w:rPr>
          <w:rFonts w:hint="eastAsia"/>
        </w:rPr>
        <w:t>款</w:t>
      </w:r>
      <w:r>
        <w:t>前述各</w:t>
      </w:r>
      <w:r>
        <w:rPr>
          <w:rFonts w:hint="eastAsia"/>
        </w:rPr>
        <w:t>项</w:t>
      </w:r>
      <w:r>
        <w:t>的内容适用于水路运输和航空运输，其中“道路”一词的涵义包括河道、航线、船闸、机场、码头、堤防以及水路或航空运输中其他相似结构物；“车辆”一词的涵义包括船舶和飞机等。</w:t>
      </w:r>
    </w:p>
    <w:p>
      <w:bookmarkStart w:id="151" w:name="_Toc351203506"/>
      <w:r>
        <w:t>1</w:t>
      </w:r>
      <w:bookmarkStart w:id="152" w:name="_Toc337558737"/>
      <w:bookmarkStart w:id="153" w:name="_Toc296503037"/>
      <w:bookmarkStart w:id="154" w:name="_Toc296346538"/>
      <w:r>
        <w:t>.11知识产权</w:t>
      </w:r>
      <w:bookmarkEnd w:id="151"/>
      <w:r>
        <w:t xml:space="preserve"> </w:t>
      </w:r>
      <w:bookmarkEnd w:id="152"/>
    </w:p>
    <w:bookmarkEnd w:id="153"/>
    <w:bookmarkEnd w:id="154"/>
    <w:p>
      <w: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
        <w:t xml:space="preserve">    1.11.4 除专用合同条款另有约定外，承包人在合同签订前和签订时已确定采用的专利、专有技术、技术秘密的使用费已包含在签约合同价中。</w:t>
      </w:r>
    </w:p>
    <w:p>
      <w:bookmarkStart w:id="155" w:name="_Toc351203507"/>
      <w:r>
        <w:t>1</w:t>
      </w:r>
      <w:bookmarkStart w:id="156" w:name="_Toc337558738"/>
      <w:r>
        <w:t>.12保密</w:t>
      </w:r>
      <w:bookmarkEnd w:id="155"/>
    </w:p>
    <w:bookmarkEnd w:id="156"/>
    <w:p>
      <w:r>
        <w:t>除法律规定或合同另有约定外，未经发包人同意，承包人不得将发包人提供的图纸、文件以及声明需要保密的资料信息等商业秘密泄露给第三方。</w:t>
      </w:r>
    </w:p>
    <w:p>
      <w:r>
        <w:t>除法律规定或合同另有约定外，未经承包人同意，发包人不得将承包人提供的技术秘密及声明需要保密的资料信息等商业秘密泄露给第三方。</w:t>
      </w:r>
    </w:p>
    <w:p>
      <w:bookmarkStart w:id="157" w:name="_Toc351203508"/>
      <w:r>
        <w:t>1.13工程量清单错误的修正</w:t>
      </w:r>
      <w:bookmarkEnd w:id="157"/>
    </w:p>
    <w:p>
      <w:r>
        <w:rPr>
          <w:rFonts w:hint="eastAsia"/>
        </w:rPr>
        <w:t>除专用合同条款另有约定外，</w:t>
      </w:r>
      <w:r>
        <w:t>发包人提供的工程量清单，应被认为是准确的和完整的。出现下列情形之一时，发包人应予以修正，并相应调整合同价格：</w:t>
      </w:r>
    </w:p>
    <w:p>
      <w:r>
        <w:t>（1）工程量清单存在缺项、漏项的；</w:t>
      </w:r>
    </w:p>
    <w:p>
      <w:r>
        <w:t>（2）工程量清单偏差超出专用合同条款约定的工程量偏差范围的；</w:t>
      </w:r>
    </w:p>
    <w:p>
      <w:r>
        <w:t>（3）未按照国家现行计量规范强制性规定计量的。</w:t>
      </w:r>
    </w:p>
    <w:p>
      <w:bookmarkStart w:id="158" w:name="_Toc351203509"/>
      <w:r>
        <w:t>2</w:t>
      </w:r>
      <w:bookmarkStart w:id="159" w:name="_Toc296503038"/>
      <w:bookmarkStart w:id="160" w:name="_Toc337558739"/>
      <w:bookmarkStart w:id="161" w:name="_Toc296346539"/>
      <w:bookmarkStart w:id="162" w:name="OLE_LINK2"/>
      <w:r>
        <w:t>. 发包人</w:t>
      </w:r>
      <w:bookmarkEnd w:id="158"/>
    </w:p>
    <w:bookmarkEnd w:id="159"/>
    <w:bookmarkEnd w:id="160"/>
    <w:bookmarkEnd w:id="161"/>
    <w:p>
      <w:bookmarkStart w:id="163" w:name="_Toc351203510"/>
      <w:r>
        <w:t>2</w:t>
      </w:r>
      <w:bookmarkStart w:id="164" w:name="_Toc337558740"/>
      <w:bookmarkStart w:id="165" w:name="_Toc296346540"/>
      <w:bookmarkStart w:id="166" w:name="_Toc296503039"/>
      <w:r>
        <w:t>.1 许可或批准</w:t>
      </w:r>
      <w:bookmarkEnd w:id="163"/>
    </w:p>
    <w:p>
      <w: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r>
        <w:t>因发包人原因未能及时办理完毕前述许可、批准或备案，由发包人承担由此增加的费用和（或）延误的工期，并支付承包人合理的利润。</w:t>
      </w:r>
    </w:p>
    <w:p>
      <w:bookmarkStart w:id="167" w:name="_Toc351203511"/>
      <w:r>
        <w:t>2.2 发包人代表</w:t>
      </w:r>
      <w:bookmarkEnd w:id="167"/>
    </w:p>
    <w:p>
      <w: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r>
        <w:t>发包人代表不能按照合同约定履行其职责及义务，并导致合同无法继续正常履行的，承包人可以要求发包人撤换发包人代表。</w:t>
      </w:r>
    </w:p>
    <w:p>
      <w:r>
        <w:rPr>
          <w:rFonts w:hint="eastAsia"/>
        </w:rPr>
        <w:t>不属于法定必须监理的工程，监理人的职权可以由发包人代表或发包人指定的其他人员行使。</w:t>
      </w:r>
    </w:p>
    <w:p>
      <w:bookmarkStart w:id="168" w:name="_Toc351203512"/>
      <w:r>
        <w:t>2.3 发包人人员</w:t>
      </w:r>
      <w:bookmarkEnd w:id="168"/>
    </w:p>
    <w:p>
      <w:r>
        <w:t>发包人应要求在施工现场的发包人人员遵守法律及有关安全、质量、环境保护、文明施工等规定，并保障承包人免于承受因发包人人员未遵守上述要求给承包人造成的损失和责任。</w:t>
      </w:r>
    </w:p>
    <w:p>
      <w:r>
        <w:t>发包人人员包括发包人代表及其他由发包人派驻施工现场的人员。</w:t>
      </w:r>
      <w:bookmarkEnd w:id="164"/>
      <w:bookmarkEnd w:id="165"/>
      <w:bookmarkEnd w:id="166"/>
    </w:p>
    <w:p>
      <w:bookmarkStart w:id="169" w:name="_Toc351203513"/>
      <w:r>
        <w:t>2</w:t>
      </w:r>
      <w:bookmarkStart w:id="170" w:name="_Toc296503040"/>
      <w:bookmarkStart w:id="171" w:name="_Toc296346541"/>
      <w:bookmarkStart w:id="172" w:name="_Toc337558741"/>
      <w:r>
        <w:t>.4 施工现场、施工条件和基础资料的提供</w:t>
      </w:r>
      <w:bookmarkEnd w:id="169"/>
      <w:r>
        <w:t xml:space="preserve"> </w:t>
      </w:r>
      <w:bookmarkEnd w:id="170"/>
      <w:bookmarkEnd w:id="171"/>
      <w:bookmarkEnd w:id="172"/>
      <w:r>
        <w:t xml:space="preserve"> </w:t>
      </w:r>
    </w:p>
    <w:p>
      <w:r>
        <w:t>2.4.1 提供施工现场</w:t>
      </w:r>
    </w:p>
    <w:p>
      <w:r>
        <w:t>除</w:t>
      </w:r>
      <w:bookmarkEnd w:id="162"/>
      <w:r>
        <w:t>专用合同条款另有约定外，发包人应</w:t>
      </w:r>
      <w:r>
        <w:rPr>
          <w:rFonts w:hint="eastAsia"/>
        </w:rPr>
        <w:t>最迟于</w:t>
      </w:r>
      <w:r>
        <w:t>开工日期7天前向承包人移交施工现场。</w:t>
      </w:r>
    </w:p>
    <w:p>
      <w:r>
        <w:t>2.4.2 提供施工条件</w:t>
      </w:r>
    </w:p>
    <w:p>
      <w:r>
        <w:t>除专用合同条款另有约定外，发包人应负责提供施工所需要的条件，包括：</w:t>
      </w:r>
    </w:p>
    <w:p>
      <w:r>
        <w:t>（1）将施工用水、电力、通讯线路等施工所必需的条件接至施工现场内；</w:t>
      </w:r>
    </w:p>
    <w:p>
      <w:r>
        <w:t>（2）保证向承包人提供正常施工所需要的进入施工现场的交通条件；</w:t>
      </w:r>
    </w:p>
    <w:p>
      <w:r>
        <w:t>（3）协调处理施工现场周围地下管线和邻近建筑物、构筑物、古树名木的保护工作，并承担相关费用；</w:t>
      </w:r>
    </w:p>
    <w:p>
      <w:r>
        <w:t>（4）按照专用合同条款约定</w:t>
      </w:r>
      <w:r>
        <w:rPr>
          <w:rFonts w:hint="eastAsia"/>
        </w:rPr>
        <w:t>应</w:t>
      </w:r>
      <w:r>
        <w:t>提供的其他设施和条件。</w:t>
      </w:r>
    </w:p>
    <w:p>
      <w:r>
        <w:t>2.4.3 提供基础资料</w:t>
      </w:r>
    </w:p>
    <w:p>
      <w: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
        <w:rPr>
          <w:rFonts w:hint="eastAsia"/>
        </w:rPr>
        <w:t>按照法律规定确需在开工后方能提供的基础资料，发包人应尽其努力及时地在相应工程施工前的合理期限内提供，合理期限应以不影响承包人的正常施工为限。</w:t>
      </w:r>
    </w:p>
    <w:p>
      <w:r>
        <w:t>2.4.4 逾期提供的责任</w:t>
      </w:r>
    </w:p>
    <w:p>
      <w:r>
        <w:t>因发包人原因未能按合同约定及时向承包人提供施工现场、施工条件、基础资料的，由发包人承担由此增加的费用和（或）延误的工期。</w:t>
      </w:r>
    </w:p>
    <w:p>
      <w:bookmarkStart w:id="173" w:name="_Toc351203514"/>
      <w:r>
        <w:t>2</w:t>
      </w:r>
      <w:bookmarkStart w:id="174" w:name="_Toc296503042"/>
      <w:bookmarkStart w:id="175" w:name="_Toc296346543"/>
      <w:bookmarkStart w:id="176" w:name="_Toc337558745"/>
      <w:r>
        <w:t>.5 资</w:t>
      </w:r>
      <w:bookmarkEnd w:id="174"/>
      <w:bookmarkEnd w:id="175"/>
      <w:bookmarkEnd w:id="176"/>
      <w:r>
        <w:t>金来源证明及支付担保</w:t>
      </w:r>
      <w:bookmarkEnd w:id="173"/>
    </w:p>
    <w:p>
      <w:r>
        <w:t>除专用合同条款另有约定外，发包人应在收到承包人要求提供资金来源证明的书面通知后28天内，向承包人提供能够按照合同约定支付合同价款的相应资金来源证明。</w:t>
      </w:r>
    </w:p>
    <w:p>
      <w:r>
        <w:t>除专用合同条款另有约定外，发包人要求承包人提供履约担保的，发包人应当向承包人提供支付担保。支付担保可以采用银行保函或担保公司担保等形式，具体由合同当事人在专用合同条款中约定。</w:t>
      </w:r>
    </w:p>
    <w:p>
      <w:bookmarkStart w:id="177" w:name="_Toc351203515"/>
      <w:r>
        <w:t>2.6 支付合同价款</w:t>
      </w:r>
      <w:bookmarkEnd w:id="177"/>
    </w:p>
    <w:p>
      <w:r>
        <w:t>发包人应按合同约定向承包人及时支付合同价款。</w:t>
      </w:r>
    </w:p>
    <w:p>
      <w:bookmarkStart w:id="178" w:name="_Toc351203516"/>
      <w:r>
        <w:t>2.7 组织竣工验收</w:t>
      </w:r>
      <w:bookmarkEnd w:id="178"/>
    </w:p>
    <w:p>
      <w:r>
        <w:t>发包人应按合同约定及时组织竣工验收。</w:t>
      </w:r>
    </w:p>
    <w:p>
      <w:bookmarkStart w:id="179" w:name="_Toc351203517"/>
      <w:r>
        <w:t>2.8 现场统一管理协议</w:t>
      </w:r>
      <w:bookmarkEnd w:id="179"/>
    </w:p>
    <w:p>
      <w:r>
        <w:t>发包人应与承包人、由发包人直接发包的专业工程的承包人签订施工现场统一管理协议，明确各方的权利义务。施工现场统一管理协议作为专用合同条款的附件。</w:t>
      </w:r>
    </w:p>
    <w:p>
      <w:bookmarkStart w:id="180" w:name="_Toc351203518"/>
      <w:r>
        <w:t>3</w:t>
      </w:r>
      <w:bookmarkStart w:id="181" w:name="_Toc296346546"/>
      <w:bookmarkStart w:id="182" w:name="_Toc337558746"/>
      <w:bookmarkStart w:id="183" w:name="_Toc296503045"/>
      <w:r>
        <w:t>. 承包人</w:t>
      </w:r>
      <w:bookmarkEnd w:id="180"/>
    </w:p>
    <w:bookmarkEnd w:id="181"/>
    <w:bookmarkEnd w:id="182"/>
    <w:bookmarkEnd w:id="183"/>
    <w:p>
      <w:bookmarkStart w:id="184" w:name="_Toc351203519"/>
      <w:r>
        <w:t>3</w:t>
      </w:r>
      <w:bookmarkStart w:id="185" w:name="_Toc296346547"/>
      <w:bookmarkStart w:id="186" w:name="_Toc296503046"/>
      <w:bookmarkStart w:id="187" w:name="_Toc337558747"/>
      <w:r>
        <w:t>.1 承包人的一般义务</w:t>
      </w:r>
      <w:bookmarkEnd w:id="184"/>
    </w:p>
    <w:bookmarkEnd w:id="185"/>
    <w:bookmarkEnd w:id="186"/>
    <w:bookmarkEnd w:id="187"/>
    <w:p>
      <w:r>
        <w:t>承包人在履行合同过程中应遵守法律和工程建设标准规范，并履行以下义务：</w:t>
      </w:r>
    </w:p>
    <w:p>
      <w:r>
        <w:t>办理法律规定</w:t>
      </w:r>
      <w:r>
        <w:rPr>
          <w:rFonts w:hint="eastAsia"/>
        </w:rPr>
        <w:t>应</w:t>
      </w:r>
      <w:r>
        <w:t>由承包人办理的许可和批准，并将</w:t>
      </w:r>
      <w:r>
        <w:rPr>
          <w:rFonts w:hint="eastAsia"/>
        </w:rPr>
        <w:t>办理</w:t>
      </w:r>
      <w:r>
        <w:t>结果书面报送发包人留存；</w:t>
      </w:r>
    </w:p>
    <w:p>
      <w:r>
        <w:t>（2）按法律规定和合同约定完成工程，并在保修期内承担保修义务；</w:t>
      </w:r>
    </w:p>
    <w:p>
      <w:r>
        <w:t>（3）按法律规定和合同约定采取施工安全和环境保护措施，办理工伤保险，确保工程及人员、材料、设备和设施的安全；</w:t>
      </w:r>
    </w:p>
    <w:p>
      <w:r>
        <w:t>（4）按合同约定的工作内容和施工进度要求，编制施工组织设计和施工措施计划，并对所有施工作业和施工方法的完备性和安全可靠性负责；</w:t>
      </w:r>
    </w:p>
    <w:p>
      <w: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
        <w:t>（6）按照第6.3款</w:t>
      </w:r>
      <w:r>
        <w:rPr>
          <w:rFonts w:hint="eastAsia"/>
        </w:rPr>
        <w:t>〔</w:t>
      </w:r>
      <w:r>
        <w:t>环境保护</w:t>
      </w:r>
      <w:r>
        <w:rPr>
          <w:rFonts w:hint="eastAsia"/>
        </w:rPr>
        <w:t>〕</w:t>
      </w:r>
      <w:r>
        <w:t>约定负责施工场地及其周边环境与生态的保护工作；</w:t>
      </w:r>
    </w:p>
    <w:p>
      <w:r>
        <w:t>（7）按第6.1款</w:t>
      </w:r>
      <w:r>
        <w:rPr>
          <w:rFonts w:hint="eastAsia"/>
        </w:rPr>
        <w:t>〔</w:t>
      </w:r>
      <w:r>
        <w:t>安全文明施工</w:t>
      </w:r>
      <w:r>
        <w:rPr>
          <w:rFonts w:hint="eastAsia"/>
        </w:rPr>
        <w:t>〕</w:t>
      </w:r>
      <w:r>
        <w:t>约定采取施工安全措施，确保工程及其人员、材料、设备和设施的安全，防止因工程施工造成的人身伤害和财产损失；</w:t>
      </w:r>
    </w:p>
    <w:p>
      <w:r>
        <w:t>（8）</w:t>
      </w:r>
      <w:r>
        <w:rPr>
          <w:rFonts w:hint="eastAsia"/>
        </w:rPr>
        <w:t>将</w:t>
      </w:r>
      <w:r>
        <w:t>发包人按合同约定支付的各项价款专用于合同工程，且应及时支付其雇用人员工资，并及时向分包人支付合同价款；</w:t>
      </w:r>
    </w:p>
    <w:p>
      <w:r>
        <w:t>（9）按照法律规定和合同约定编制竣工资料，完成竣工资料立卷及归档，并按专用合同条款约定的竣工资料的套数、内容、时间等要求移交发包人；</w:t>
      </w:r>
    </w:p>
    <w:p>
      <w:r>
        <w:t>（10）应履行的其他义务。</w:t>
      </w:r>
    </w:p>
    <w:p>
      <w:bookmarkStart w:id="188" w:name="_Toc351203520"/>
      <w:r>
        <w:t>3</w:t>
      </w:r>
      <w:bookmarkStart w:id="189" w:name="_Toc296503047"/>
      <w:bookmarkStart w:id="190" w:name="_Toc337558748"/>
      <w:bookmarkStart w:id="191" w:name="_Toc296346548"/>
      <w:r>
        <w:t xml:space="preserve">.2 </w:t>
      </w:r>
      <w:bookmarkEnd w:id="188"/>
      <w:r>
        <w:t>项目经理</w:t>
      </w:r>
    </w:p>
    <w:bookmarkEnd w:id="189"/>
    <w:bookmarkEnd w:id="190"/>
    <w:bookmarkEnd w:id="191"/>
    <w:p>
      <w: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
        <w:t>承包人违反上述约定的，应按照专用合同条款的约定，承担违约责任。</w:t>
      </w:r>
    </w:p>
    <w:p>
      <w:r>
        <w:t>3.2.2 项目经理按合同约定组织工程实施。在紧急情况下</w:t>
      </w:r>
      <w:r>
        <w:rPr>
          <w:rFonts w:hint="eastAsia"/>
        </w:rPr>
        <w:t>为确保施工安全和人员安全</w:t>
      </w:r>
      <w:r>
        <w:t>，</w:t>
      </w:r>
      <w:r>
        <w:rPr>
          <w:rFonts w:hint="eastAsia"/>
        </w:rPr>
        <w:t>在</w:t>
      </w:r>
      <w:r>
        <w:t>无法与发包人代表和总监理工程师</w:t>
      </w:r>
      <w:r>
        <w:rPr>
          <w:rFonts w:hint="eastAsia"/>
        </w:rPr>
        <w:t>及时</w:t>
      </w:r>
      <w:r>
        <w:t>取得联系时，项目经理有权采取必要的措施保证与工程有关的人身、财产和工程的安全，但应在48小时内向发包人代表和总监理工程师提交书面报告。</w:t>
      </w:r>
    </w:p>
    <w:p>
      <w: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rPr>
        <w:t>继</w:t>
      </w:r>
      <w:r>
        <w:t>任项目经理继续履行第3.2.1项约定的职责。承包人无正当理由拒绝更换项目经理的，应按照专用合同条款的约定承担违约责任。</w:t>
      </w:r>
    </w:p>
    <w:p>
      <w:r>
        <w:t>3.2.5 项目经理因特殊情况授权其下属人员履行其某项工作职责的，该下属人员应具备履行相应职责的能力，并应提前7天将上述人员的姓名和授权范围书面通知监理人，并征得发包人书面同意。</w:t>
      </w:r>
    </w:p>
    <w:p>
      <w:bookmarkStart w:id="192" w:name="_Toc351203521"/>
      <w:r>
        <w:t>3</w:t>
      </w:r>
      <w:bookmarkStart w:id="193" w:name="_Toc296503048"/>
      <w:bookmarkStart w:id="194" w:name="_Toc296346549"/>
      <w:bookmarkStart w:id="195" w:name="_Toc337558749"/>
      <w:r>
        <w:t xml:space="preserve">.3 </w:t>
      </w:r>
      <w:bookmarkEnd w:id="193"/>
      <w:bookmarkEnd w:id="194"/>
      <w:r>
        <w:t>承包人人员</w:t>
      </w:r>
      <w:bookmarkEnd w:id="192"/>
    </w:p>
    <w:bookmarkEnd w:id="195"/>
    <w:p>
      <w: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rPr>
        <w:t>和</w:t>
      </w:r>
      <w:r>
        <w:t>缴纳社会保险的有效证明。</w:t>
      </w:r>
    </w:p>
    <w:p>
      <w:r>
        <w:t>3.3.2 承包人派驻到施工现场的主要施工管理人员应相对稳定。施工过程中</w:t>
      </w:r>
      <w:r>
        <w:rPr>
          <w:rFonts w:hint="eastAsia"/>
        </w:rPr>
        <w:t>如有变动</w:t>
      </w:r>
      <w:r>
        <w:t>，承包人应及时向监理人提交施工现场人员变动情况的报告。承包人更换主要施工管理人员时，应提前7天书面通知监理人，并征得发包人书面同意。通知中应当载明继任人员的注册执业资格、管理经验等资料。</w:t>
      </w:r>
    </w:p>
    <w:p>
      <w:r>
        <w:t>特殊工种作业人员均应持有相应的资格证明，监理人可以随时检查。</w:t>
      </w:r>
    </w:p>
    <w:p>
      <w:r>
        <w:t>3.3.3 发包人对于承包人主要施工管理人员</w:t>
      </w:r>
      <w:r>
        <w:rPr>
          <w:rFonts w:hint="eastAsia"/>
        </w:rPr>
        <w:t>的资格或能力</w:t>
      </w:r>
      <w: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r>
        <w:t>3.3.5 承包人擅自更换主要施工管理人员，或前述人员未经监理人或发包人同意擅自离开施工现场的，应按照专用合同条款约定承担违约责任。</w:t>
      </w:r>
    </w:p>
    <w:p>
      <w:bookmarkStart w:id="196" w:name="_Toc351203522"/>
      <w:r>
        <w:t>3</w:t>
      </w:r>
      <w:bookmarkStart w:id="197" w:name="_Toc296503050"/>
      <w:bookmarkStart w:id="198" w:name="_Toc337558750"/>
      <w:bookmarkStart w:id="199" w:name="_Toc296346551"/>
      <w:r>
        <w:t>.4 承包人现场查勘</w:t>
      </w:r>
      <w:bookmarkEnd w:id="196"/>
    </w:p>
    <w:bookmarkEnd w:id="197"/>
    <w:bookmarkEnd w:id="198"/>
    <w:bookmarkEnd w:id="199"/>
    <w:p>
      <w:r>
        <w:t>承包人应对基于发包人按照第2.4.3项</w:t>
      </w:r>
      <w:r>
        <w:rPr>
          <w:rFonts w:hint="eastAsia"/>
        </w:rPr>
        <w:t>〔</w:t>
      </w:r>
      <w:r>
        <w:t>提供基础资料</w:t>
      </w:r>
      <w:r>
        <w:rPr>
          <w:rFonts w:hint="eastAsia"/>
        </w:rPr>
        <w:t>〕</w:t>
      </w:r>
      <w:r>
        <w:t>提交的基础资料所做出的解释和推断负责，但因基础资料存在错误、遗漏导致承包人解释或推断失实的，由发包人承担责任。</w:t>
      </w:r>
    </w:p>
    <w:p>
      <w: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bookmarkStart w:id="200" w:name="_Toc351203523"/>
      <w:r>
        <w:t>3</w:t>
      </w:r>
      <w:bookmarkStart w:id="201" w:name="_Toc296346552"/>
      <w:bookmarkStart w:id="202" w:name="_Toc337558751"/>
      <w:bookmarkStart w:id="203" w:name="_Toc296503051"/>
      <w:r>
        <w:t>.5 分包</w:t>
      </w:r>
      <w:bookmarkEnd w:id="200"/>
    </w:p>
    <w:bookmarkEnd w:id="201"/>
    <w:bookmarkEnd w:id="202"/>
    <w:bookmarkEnd w:id="203"/>
    <w:p>
      <w:r>
        <w:t>3.5.1 分包的一般约定</w:t>
      </w:r>
    </w:p>
    <w:p>
      <w: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
        <w:rPr>
          <w:rFonts w:hint="eastAsia"/>
        </w:rPr>
        <w:t>承包人不得以劳务分包的名义转包或违法分包工程。</w:t>
      </w:r>
    </w:p>
    <w:p>
      <w:r>
        <w:t>3.5.2 分包的确定</w:t>
      </w:r>
    </w:p>
    <w:p>
      <w:r>
        <w:t>承包人应按专用合同条款的约定进行分包，确定分包人。已标价工程量清单或预算书中给定暂估价的专业工程，按照第10.7款</w:t>
      </w:r>
      <w:r>
        <w:rPr>
          <w:rFonts w:hint="eastAsia"/>
        </w:rPr>
        <w:t>〔</w:t>
      </w:r>
      <w:r>
        <w:t>暂估价</w:t>
      </w:r>
      <w:r>
        <w:rPr>
          <w:rFonts w:hint="eastAsia"/>
        </w:rPr>
        <w:t>〕</w:t>
      </w:r>
      <w: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r>
        <w:t>3.5.3 分包管理</w:t>
      </w:r>
    </w:p>
    <w:p>
      <w:r>
        <w:t>承包人应向监理人提交分包人的主要施工管理人员表，并对分包人的施工人员进行实名制管理，包括但不限于进出场管理、登记造册以及各种证照的办理。</w:t>
      </w:r>
    </w:p>
    <w:p>
      <w:r>
        <w:t>3.5.4 分包合同价款</w:t>
      </w:r>
    </w:p>
    <w:p>
      <w:r>
        <w:t>（1）除本项第（2）目约定的情况或专用合同条款另有约定外，分包合同价款由承包人与分包人结算，未经承包人同意，发包人不得向分包人支付分包工程价款；</w:t>
      </w:r>
    </w:p>
    <w:p>
      <w:r>
        <w:t>（2）生效法律文书要求发包人向分包人支付分包合同价款的，发包人有权从应付承包人工程款中扣除该部分款项。</w:t>
      </w:r>
    </w:p>
    <w:p>
      <w:r>
        <w:t>3.5.5 分包合同权益的转让</w:t>
      </w:r>
    </w:p>
    <w:p>
      <w: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204" w:name="_Toc351203524"/>
    </w:p>
    <w:p>
      <w:r>
        <w:t>3.6 工程照管与成品、半成品保护</w:t>
      </w:r>
      <w:bookmarkEnd w:id="204"/>
    </w:p>
    <w:p>
      <w:r>
        <w:t>（1）除专用合同条款另有约定外，自发包人向承包人移交施工现场之日起，承包人应负责照管工程及工程相关的材料、工程设备，直到颁发工程接收证书之日止。</w:t>
      </w:r>
    </w:p>
    <w:p>
      <w:r>
        <w:t>（</w:t>
      </w:r>
      <w:r>
        <w:rPr>
          <w:rFonts w:hint="eastAsia"/>
        </w:rPr>
        <w:t>2</w:t>
      </w:r>
      <w:r>
        <w:t>）在承包人负责照管期间，因承包人原因造成工程、材料、工程设备损坏的，由承包人负责修复或更换，并承担由此增加的费用和（或）延误的工期。</w:t>
      </w:r>
    </w:p>
    <w:p>
      <w:r>
        <w:t>（</w:t>
      </w:r>
      <w:r>
        <w:rPr>
          <w:rFonts w:hint="eastAsia"/>
        </w:rPr>
        <w:t>3</w:t>
      </w:r>
      <w:r>
        <w:t>）对合同内分期完成的成品和半成品，在工程接收证书颁发前，由承包人承担保护责任。因承包人原因造成成品或半成品损坏的，由承包人负责修复或更换，并承担由此增加的费用和（或）延误的工期。</w:t>
      </w:r>
    </w:p>
    <w:p>
      <w:bookmarkStart w:id="205" w:name="_Toc351203525"/>
      <w:r>
        <w:t>3</w:t>
      </w:r>
      <w:bookmarkStart w:id="206" w:name="_Toc296346553"/>
      <w:bookmarkStart w:id="207" w:name="_Toc337558752"/>
      <w:bookmarkStart w:id="208" w:name="_Toc296503052"/>
      <w:r>
        <w:t>.7 履约担保</w:t>
      </w:r>
      <w:bookmarkEnd w:id="205"/>
    </w:p>
    <w:bookmarkEnd w:id="206"/>
    <w:bookmarkEnd w:id="207"/>
    <w:bookmarkEnd w:id="208"/>
    <w:p>
      <w:r>
        <w:rPr>
          <w:rFonts w:hint="eastAsia"/>
        </w:rPr>
        <w:t>发包人需要承包人提供履约担保的，由合同当事人在专用合同条款中约定履约担保的方式、金额及期限等。</w:t>
      </w:r>
      <w:r>
        <w:t>履约担保可以采用银行保函或担保公司担保等形式，具体由合同当事人在专用合同条款中约定。</w:t>
      </w:r>
    </w:p>
    <w:p>
      <w:r>
        <w:t>因承包人原因导致工期延长的，继续提供履约担保所增加的费用由承包人承担；非因承包人原因导致工期延长的，继续提供履约担保所增加的费用由发包人承担。</w:t>
      </w:r>
    </w:p>
    <w:p>
      <w:bookmarkStart w:id="209" w:name="_Toc351203526"/>
      <w:r>
        <w:t>3.8 联合体</w:t>
      </w:r>
      <w:bookmarkEnd w:id="209"/>
    </w:p>
    <w:p>
      <w:r>
        <w:t>3.8.1 联合体各方应共同与发包人签订合同协议书。联合体各方应为履行合同</w:t>
      </w:r>
      <w:r>
        <w:rPr>
          <w:rFonts w:hint="eastAsia"/>
        </w:rPr>
        <w:t>向发包人</w:t>
      </w:r>
      <w:r>
        <w:t>承担连带责任。</w:t>
      </w:r>
    </w:p>
    <w:p>
      <w:r>
        <w:t>3.8.2 联合体协议经发包人确认后作为合同附件。在履行合同过程中，未经发包人同意，不得修改联合体协议。</w:t>
      </w:r>
    </w:p>
    <w:p>
      <w:r>
        <w:t>3.8.3 联合体牵头人负责与发包人和监理人联系，并接受指示，负责组织联合体各成员全面履行合同。</w:t>
      </w:r>
    </w:p>
    <w:p>
      <w:bookmarkStart w:id="210" w:name="_Toc351203527"/>
      <w:r>
        <w:t>4</w:t>
      </w:r>
      <w:bookmarkStart w:id="211" w:name="_Toc296503053"/>
      <w:bookmarkStart w:id="212" w:name="_Toc296346554"/>
      <w:bookmarkStart w:id="213" w:name="_Toc337558753"/>
      <w:r>
        <w:t>. 监</w:t>
      </w:r>
      <w:bookmarkEnd w:id="211"/>
      <w:bookmarkEnd w:id="212"/>
      <w:r>
        <w:t>理人</w:t>
      </w:r>
      <w:bookmarkEnd w:id="210"/>
    </w:p>
    <w:bookmarkEnd w:id="213"/>
    <w:p>
      <w:bookmarkStart w:id="214" w:name="_Toc351203528"/>
      <w:r>
        <w:t>4</w:t>
      </w:r>
      <w:bookmarkStart w:id="215" w:name="_Toc296346555"/>
      <w:bookmarkStart w:id="216" w:name="_Toc296503054"/>
      <w:bookmarkStart w:id="217" w:name="_Toc337558754"/>
      <w:r>
        <w:t>.1监理人的一般规定</w:t>
      </w:r>
      <w:bookmarkEnd w:id="214"/>
    </w:p>
    <w:bookmarkEnd w:id="215"/>
    <w:bookmarkEnd w:id="216"/>
    <w:bookmarkEnd w:id="217"/>
    <w:p>
      <w: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
        <w:t>除专用合同条款另有约定外，监理人在施工现场的办公场所、生活场所由承包人提供，所发生的费用由发包人承担。</w:t>
      </w:r>
    </w:p>
    <w:p>
      <w:bookmarkStart w:id="218" w:name="_Toc351203529"/>
      <w:r>
        <w:t>4</w:t>
      </w:r>
      <w:bookmarkStart w:id="219" w:name="_Toc337558755"/>
      <w:r>
        <w:t>.2监理人员</w:t>
      </w:r>
      <w:bookmarkEnd w:id="218"/>
    </w:p>
    <w:bookmarkEnd w:id="219"/>
    <w:p>
      <w: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bookmarkStart w:id="220" w:name="_Toc351203530"/>
      <w:r>
        <w:t>4</w:t>
      </w:r>
      <w:bookmarkStart w:id="221" w:name="_Toc296503055"/>
      <w:bookmarkStart w:id="222" w:name="_Toc296346556"/>
      <w:bookmarkStart w:id="223" w:name="_Toc337558756"/>
      <w:r>
        <w:t>.3</w:t>
      </w:r>
      <w:bookmarkEnd w:id="221"/>
      <w:bookmarkEnd w:id="222"/>
      <w:r>
        <w:t>监理人的指</w:t>
      </w:r>
      <w:bookmarkEnd w:id="223"/>
      <w:r>
        <w:t>示</w:t>
      </w:r>
      <w:bookmarkEnd w:id="220"/>
    </w:p>
    <w:p>
      <w: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rPr>
        <w:t>相应</w:t>
      </w:r>
      <w:r>
        <w:t>责任。除专用合同条款另有约定外，总监理工程师不应将第4.4款</w:t>
      </w:r>
      <w:r>
        <w:rPr>
          <w:rFonts w:hint="eastAsia"/>
        </w:rPr>
        <w:t>〔</w:t>
      </w:r>
      <w:r>
        <w:t>商定或确定</w:t>
      </w:r>
      <w:r>
        <w:rPr>
          <w:rFonts w:hint="eastAsia"/>
        </w:rPr>
        <w:t>〕</w:t>
      </w:r>
      <w:r>
        <w:t>约定应由总监理工程师作出确定的权力授权或委托给其他监理人员。</w:t>
      </w:r>
    </w:p>
    <w:p>
      <w:r>
        <w:t>承包人对监理人发出的指示有疑问的，应向监理人提出书面异议，监理人应在48小时内对该指示予以确认、更改或撤销，监理人逾期未回复的，承包人有权拒绝执行上述指示。</w:t>
      </w:r>
    </w:p>
    <w:p>
      <w:r>
        <w:t>监理人对承包人的任何工作、工程或其采用的材料和工程设备未在约定的或合理期限内提出意见的，视为批准，但不免除或减轻承包人对该工作、工程、材料、工程设备等应承担的责任和义务。</w:t>
      </w:r>
    </w:p>
    <w:p>
      <w:bookmarkStart w:id="224" w:name="_Toc351203531"/>
      <w:r>
        <w:t>4</w:t>
      </w:r>
      <w:bookmarkStart w:id="225" w:name="_Toc296346558"/>
      <w:bookmarkStart w:id="226" w:name="_Toc337558757"/>
      <w:bookmarkStart w:id="227" w:name="_Toc296503057"/>
      <w:r>
        <w:t>.4 商定或确定</w:t>
      </w:r>
      <w:bookmarkEnd w:id="224"/>
    </w:p>
    <w:bookmarkEnd w:id="225"/>
    <w:bookmarkEnd w:id="226"/>
    <w:bookmarkEnd w:id="227"/>
    <w:p>
      <w:r>
        <w:t>合同</w:t>
      </w:r>
      <w:r>
        <w:rPr>
          <w:rFonts w:hint="eastAsia"/>
        </w:rPr>
        <w:t>当事人</w:t>
      </w:r>
      <w:r>
        <w:t>进行</w:t>
      </w:r>
      <w:r>
        <w:rPr>
          <w:rFonts w:hint="eastAsia"/>
        </w:rPr>
        <w:t>商定</w:t>
      </w:r>
      <w:r>
        <w:t>或确定时，总监理工程师应当会同合同当事人尽量通过协商达成一致，不能达成一致的，由总监理工程师按照合同约定审慎做出公正的确定。</w:t>
      </w:r>
    </w:p>
    <w:p>
      <w: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rPr>
        <w:t>〔</w:t>
      </w:r>
      <w:r>
        <w:t>争议解决</w:t>
      </w:r>
      <w:r>
        <w:rPr>
          <w:rFonts w:hint="eastAsia"/>
        </w:rPr>
        <w:t>〕</w:t>
      </w:r>
      <w:r>
        <w:t>约定处理。争议解决前，合同当事人暂按总监理工程师的确定执行；争议解决后，争议解决的结果与总监理工程师的确定不一致的，按照争议解决的结果执行，由此造成的损失由责任人承担。</w:t>
      </w:r>
    </w:p>
    <w:p>
      <w:bookmarkStart w:id="228" w:name="_Toc351203532"/>
      <w:r>
        <w:t>5</w:t>
      </w:r>
      <w:bookmarkStart w:id="229" w:name="_Toc337558758"/>
      <w:r>
        <w:t>. 工程质量</w:t>
      </w:r>
      <w:bookmarkEnd w:id="228"/>
    </w:p>
    <w:bookmarkEnd w:id="229"/>
    <w:p>
      <w:bookmarkStart w:id="230" w:name="_Toc351203533"/>
      <w:r>
        <w:t>5</w:t>
      </w:r>
      <w:bookmarkStart w:id="231" w:name="_Toc337558759"/>
      <w:r>
        <w:t>.1质量要求</w:t>
      </w:r>
      <w:bookmarkEnd w:id="230"/>
    </w:p>
    <w:bookmarkEnd w:id="231"/>
    <w:p>
      <w:r>
        <w:t>5.1.1 工程质量标准必须符合现行国家有关工程施工质量验收规范和标准的要求。有关工程质量的特殊标准或要求由合同当事人在专用合同条款中约定。</w:t>
      </w:r>
    </w:p>
    <w:p>
      <w:r>
        <w:t>5.1.2 因发包人原因造成工程质量未达到合同约定标准的，由发包人承担由此增加的费用和（或）延误的工期，并支付承包人合理的利润。</w:t>
      </w:r>
    </w:p>
    <w:p>
      <w:r>
        <w:t>5.1.3 因承包人原因造成工程质量未达到合同约定标准的，发包人有权要求承包人返工直至工程质量达到合同约定的标准为止，并由承包人承担由此增加的费用和（或）延误的工期。</w:t>
      </w:r>
    </w:p>
    <w:p>
      <w:bookmarkStart w:id="232" w:name="_Toc351203534"/>
      <w:r>
        <w:t>5</w:t>
      </w:r>
      <w:bookmarkStart w:id="233" w:name="_Toc337558760"/>
      <w:r>
        <w:t>.2质量保证措施</w:t>
      </w:r>
      <w:bookmarkEnd w:id="232"/>
    </w:p>
    <w:bookmarkEnd w:id="233"/>
    <w:p>
      <w:r>
        <w:t>5.2.1 发包人的质量管理</w:t>
      </w:r>
    </w:p>
    <w:p>
      <w:r>
        <w:t>发包人应按照法律规定及合同约定完成与工程质量有关的各项工作。</w:t>
      </w:r>
    </w:p>
    <w:p>
      <w:r>
        <w:t>5.2.2 承包人的质量管理</w:t>
      </w:r>
    </w:p>
    <w:p>
      <w:r>
        <w:t>承包人按照第7.1款</w:t>
      </w:r>
      <w:r>
        <w:rPr>
          <w:rFonts w:hint="eastAsia"/>
        </w:rPr>
        <w:t>〔</w:t>
      </w:r>
      <w:r>
        <w:t>施工组织设计</w:t>
      </w:r>
      <w:r>
        <w:rPr>
          <w:rFonts w:hint="eastAsia"/>
        </w:rPr>
        <w:t>〕</w:t>
      </w:r>
      <w:r>
        <w:t>约定向发包人和监理人提交工程质量保证体系及措施文件，建立完善的质量检查制度，并提交相应的工程质量文件。对于发包人和监理人违反法律规定和合同约定的错误指示，承包人有权拒绝实施。</w:t>
      </w:r>
    </w:p>
    <w:p>
      <w:r>
        <w:t>承包人应对施工人员进行质量教育和技术培训，定期考核施工人员的劳动技能，严格执行施工规范和操作规程。</w:t>
      </w:r>
    </w:p>
    <w:p>
      <w: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
        <w:t>5.2.3 监理人的质量检查和检验</w:t>
      </w:r>
    </w:p>
    <w:p>
      <w: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bookmarkStart w:id="234" w:name="_Toc351203535"/>
      <w:r>
        <w:t>5</w:t>
      </w:r>
      <w:bookmarkStart w:id="235" w:name="_Toc337558761"/>
      <w:r>
        <w:t>.3 隐蔽工程检查</w:t>
      </w:r>
      <w:bookmarkEnd w:id="234"/>
    </w:p>
    <w:bookmarkEnd w:id="235"/>
    <w:p>
      <w:r>
        <w:t>5.3.1承包人自检</w:t>
      </w:r>
    </w:p>
    <w:p>
      <w:r>
        <w:t>承包人应当对工程隐蔽部位进行自检，并经自检确认是否具备覆盖条件。</w:t>
      </w:r>
    </w:p>
    <w:p>
      <w:r>
        <w:t>5.3.2检查程序</w:t>
      </w:r>
    </w:p>
    <w:p>
      <w:r>
        <w:t>除专用合同条款另有约定外，工程隐蔽部位经承包人自检确认具备覆盖条件的，承包人应在</w:t>
      </w:r>
      <w:r>
        <w:rPr>
          <w:rFonts w:hint="eastAsia"/>
        </w:rPr>
        <w:t>共同</w:t>
      </w:r>
      <w:r>
        <w:t>检查前48小时书面通知监理人检查，通知中应载明隐蔽检查的内容、时间和地点，并应附有自检记录和必要的检查资料。</w:t>
      </w:r>
    </w:p>
    <w:p>
      <w: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rPr>
        <w:t>〔</w:t>
      </w:r>
      <w:r>
        <w:t>重新检查</w:t>
      </w:r>
      <w:r>
        <w:rPr>
          <w:rFonts w:hint="eastAsia"/>
        </w:rPr>
        <w:t>〕</w:t>
      </w:r>
      <w:r>
        <w:t>的约定重新检查。</w:t>
      </w:r>
    </w:p>
    <w:p>
      <w:r>
        <w:t>5.3.3 重新检查</w:t>
      </w:r>
    </w:p>
    <w:p>
      <w: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
        <w:t>5.3.4 承包人私自覆盖</w:t>
      </w:r>
    </w:p>
    <w:p>
      <w:r>
        <w:t>承包人未通知监理人到场检查，私自将工程隐蔽部位覆盖的，监理人有权指示承包人钻孔探测或揭开检查，无论工程隐蔽部位质量是否合格，由此增加的费用和（或）延误的工期均由承包人承担。</w:t>
      </w:r>
    </w:p>
    <w:p>
      <w:bookmarkStart w:id="236" w:name="_Toc351203536"/>
      <w:r>
        <w:t>5</w:t>
      </w:r>
      <w:bookmarkStart w:id="237" w:name="_Toc337558762"/>
      <w:r>
        <w:t>.4不合格工程的处理</w:t>
      </w:r>
      <w:bookmarkEnd w:id="236"/>
    </w:p>
    <w:bookmarkEnd w:id="237"/>
    <w:p>
      <w:r>
        <w:t>5.4.1 因承包人原因造成工程不合格的，发包人有权随时要求承包人采取补救措施，直至达到合同要求的质量标准，由此增加的费用和（或）延误的工期由承包人承担。无法补救的，按照第13.2.4项</w:t>
      </w:r>
      <w:r>
        <w:rPr>
          <w:rFonts w:hint="eastAsia"/>
        </w:rPr>
        <w:t>〔</w:t>
      </w:r>
      <w:r>
        <w:t>拒绝接收全部或部分工程</w:t>
      </w:r>
      <w:r>
        <w:rPr>
          <w:rFonts w:hint="eastAsia"/>
        </w:rPr>
        <w:t>〕</w:t>
      </w:r>
      <w:r>
        <w:t xml:space="preserve">约定执行。 </w:t>
      </w:r>
    </w:p>
    <w:p>
      <w:r>
        <w:t>5.4.2 因发包人原因造成工程不合格的，由此增加的费用和（或）延误的工期由发包人承担，并支付承包人合理的利润。</w:t>
      </w:r>
    </w:p>
    <w:p>
      <w:bookmarkStart w:id="238" w:name="_Toc351203537"/>
      <w:r>
        <w:t>5.5 质量争议检测</w:t>
      </w:r>
      <w:bookmarkEnd w:id="238"/>
    </w:p>
    <w:p>
      <w:r>
        <w:t>合同当事人对工程质量有争议的，由双方协商确定的工程质量检测机构鉴定，由此产生的费用及因此造成的损失，由责任方承担。</w:t>
      </w:r>
    </w:p>
    <w:p>
      <w:r>
        <w:t>合同当事人均有责任的，由双方根据其责任分别承担。合同当事人无法达成一致的，按照第4.4款</w:t>
      </w:r>
      <w:r>
        <w:rPr>
          <w:rFonts w:hint="eastAsia"/>
        </w:rPr>
        <w:t>〔</w:t>
      </w:r>
      <w:r>
        <w:t>商定或确定</w:t>
      </w:r>
      <w:r>
        <w:rPr>
          <w:rFonts w:hint="eastAsia"/>
        </w:rPr>
        <w:t>〕</w:t>
      </w:r>
      <w:r>
        <w:t>执行。</w:t>
      </w:r>
    </w:p>
    <w:p>
      <w:bookmarkStart w:id="239" w:name="_Toc351203538"/>
      <w:r>
        <w:t>6</w:t>
      </w:r>
      <w:bookmarkStart w:id="240" w:name="_Toc337558763"/>
      <w:r>
        <w:t>. 安全文明施工与环境保护</w:t>
      </w:r>
      <w:bookmarkEnd w:id="239"/>
    </w:p>
    <w:bookmarkEnd w:id="240"/>
    <w:p>
      <w:bookmarkStart w:id="241" w:name="_Toc351203539"/>
      <w:r>
        <w:t>6</w:t>
      </w:r>
      <w:bookmarkStart w:id="242" w:name="_Toc337558764"/>
      <w:r>
        <w:t>.1安全文明施工</w:t>
      </w:r>
      <w:bookmarkEnd w:id="241"/>
    </w:p>
    <w:bookmarkEnd w:id="242"/>
    <w:p>
      <w:r>
        <w:t>6.1.1安全生产要求</w:t>
      </w:r>
    </w:p>
    <w:p>
      <w: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
        <w:t>在施工过程中，如遇到突发的地质变动、事先未知的地下施工障碍等影响施工安全的紧急情况，</w:t>
      </w:r>
      <w:r>
        <w:rPr>
          <w:rFonts w:hint="eastAsia"/>
        </w:rPr>
        <w:t>承包人应及时报告监理人和发包人，</w:t>
      </w:r>
      <w:r>
        <w:t>发包人应当及时下令停工并报政府有关行政管理部门采取应急措施。</w:t>
      </w:r>
    </w:p>
    <w:p>
      <w:r>
        <w:t>因安全生产需要暂停施工的，按照第7.8款</w:t>
      </w:r>
      <w:r>
        <w:rPr>
          <w:rFonts w:hint="eastAsia"/>
        </w:rPr>
        <w:t>〔</w:t>
      </w:r>
      <w:r>
        <w:t>暂停施工</w:t>
      </w:r>
      <w:r>
        <w:rPr>
          <w:rFonts w:hint="eastAsia"/>
        </w:rPr>
        <w:t>〕</w:t>
      </w:r>
      <w:r>
        <w:t>的约定执行。</w:t>
      </w:r>
    </w:p>
    <w:p>
      <w:r>
        <w:t>6.1.2 安全生产保证措施</w:t>
      </w:r>
    </w:p>
    <w:p>
      <w:r>
        <w:t>承包人应当按照有关规定编制安全技术措施或者专项施工方案，建立安全生产责任制度、治安保卫制度及安全生产教育培训制度，并按安全生产法律规定及合同约定履行安全职责，</w:t>
      </w:r>
      <w:r>
        <w:rPr>
          <w:rFonts w:hint="eastAsia"/>
        </w:rPr>
        <w:t>如实</w:t>
      </w:r>
      <w:r>
        <w:t>编制工程安全生产的有关记录，接受发包人、监理人及政府安全监督部门的检查与监督。</w:t>
      </w:r>
    </w:p>
    <w:p>
      <w:r>
        <w:t>6.1.3特别安全生产事项</w:t>
      </w:r>
    </w:p>
    <w:p>
      <w: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
        <w:t xml:space="preserve">承包人在动力设备、输电线路、地下管道、密封防震车间、易燃易爆地段以及临街交通要道附近施工时，施工开始前应向发包人和监理人提出安全防护措施，经发包人认可后实施。 </w:t>
      </w:r>
    </w:p>
    <w:p>
      <w:r>
        <w:t>实施爆破作业，在放射、毒害性环境中施工（含储存、运输、使用）及使用毒害性、腐蚀性物品施工时，承包人应在施工前7天以书面通知发包人和监理人，并报送相应的安全防护措施，经发包人认可后实施。</w:t>
      </w:r>
    </w:p>
    <w:p>
      <w:r>
        <w:t>需单独编制危险性较大分部分项专项工程施工方案的，及要求进行专家论证的超过一定规模的危险性较大的分部分项工程，承包人应及时编制和组织论证。</w:t>
      </w:r>
    </w:p>
    <w:p>
      <w:r>
        <w:t>6.1.4 治安保卫</w:t>
      </w:r>
    </w:p>
    <w:p>
      <w:r>
        <w:t>除专用合同条款另有约定外，发包人应与当地公安部门协商，在现场建立治安管理机构或联防组织，统一管理施工场地的治安保卫事项，履行合同工程的治安保卫职责。</w:t>
      </w:r>
    </w:p>
    <w:p>
      <w:r>
        <w:t>发包人和承包人除应协助现场治安管理机构或联防组织维护施工场地的社会治安外，还应做好包括生活区在内的各自管辖区的治安保卫工作。</w:t>
      </w:r>
    </w:p>
    <w:p>
      <w: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rPr>
        <w:t>和</w:t>
      </w:r>
      <w:r>
        <w:t>财产损失。</w:t>
      </w:r>
    </w:p>
    <w:p>
      <w:r>
        <w:t>6.1.5 文明施工</w:t>
      </w:r>
    </w:p>
    <w:p>
      <w:r>
        <w:t>承包人在工程施工期间，应当采取措施保持施工现场平整，物料堆放整齐。工程所在地有关政府行政管理部门有特殊要求的，按照其要求执行。</w:t>
      </w:r>
      <w:r>
        <w:rPr>
          <w:rFonts w:hint="eastAsia"/>
        </w:rPr>
        <w:t>合同当事人对文明施工有其他要求的，可以在专用合同条款中明确。</w:t>
      </w:r>
    </w:p>
    <w:p>
      <w: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
        <w:t>6.1.6 安全文明施工费</w:t>
      </w:r>
    </w:p>
    <w:p>
      <w:r>
        <w:t>安全文明施工费由发包人承担，发包人不得以任何形式扣减该部分费用。因基准日期后合同所适用的法律或政府有关规定发生变化，增加的安全文明施工费由发包人承担。</w:t>
      </w:r>
    </w:p>
    <w:p>
      <w: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rPr>
        <w:t>〔</w:t>
      </w:r>
      <w:r>
        <w:t>发包人违约的情形</w:t>
      </w:r>
      <w:r>
        <w:rPr>
          <w:rFonts w:hint="eastAsia"/>
        </w:rPr>
        <w:t>〕</w:t>
      </w:r>
      <w:r>
        <w:t>执行。</w:t>
      </w:r>
    </w:p>
    <w:p>
      <w:r>
        <w:t>承包人对安全文明施工费应专款专用，承包人应在财务账目中单独列项备查，不得挪作他用，否则发包人有权责令其限期改正；逾期未改正的，可以责令其暂停施工，由此增加的费用和（或）延误的工期由承包人承担。</w:t>
      </w:r>
    </w:p>
    <w:p>
      <w:r>
        <w:t>6.1.7 紧急情况</w:t>
      </w:r>
      <w:r>
        <w:rPr>
          <w:rFonts w:hint="eastAsia"/>
        </w:rPr>
        <w:t>处理</w:t>
      </w:r>
    </w:p>
    <w:p>
      <w: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r>
        <w:t>6.1.8 事故处理</w:t>
      </w:r>
    </w:p>
    <w:p>
      <w: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
        <w:t>6.1.9 安全生产责任</w:t>
      </w:r>
    </w:p>
    <w:p>
      <w:r>
        <w:t>6.1.9.1 发包人的安全责任</w:t>
      </w:r>
    </w:p>
    <w:p>
      <w:r>
        <w:t>发包人应负责赔偿以下各种情况造成</w:t>
      </w:r>
      <w:r>
        <w:rPr>
          <w:rFonts w:hint="eastAsia"/>
        </w:rPr>
        <w:t>的</w:t>
      </w:r>
      <w:r>
        <w:t>损失：</w:t>
      </w:r>
    </w:p>
    <w:p>
      <w:r>
        <w:t>（1）工程或工程的任何部分对土地的占用所造成的第三者财产损失；</w:t>
      </w:r>
    </w:p>
    <w:p>
      <w:r>
        <w:t>（2）由于发包人原因在施工场地及其毗邻地带造成的第三者人身伤亡和财产损失</w:t>
      </w:r>
      <w:r>
        <w:rPr>
          <w:rFonts w:hint="eastAsia"/>
        </w:rPr>
        <w:t>；</w:t>
      </w:r>
    </w:p>
    <w:p>
      <w:r>
        <w:rPr>
          <w:rFonts w:hint="eastAsia"/>
        </w:rPr>
        <w:t>（3）由于发包人原因对承包人、监理人造成的人员人身伤亡和财产损失；</w:t>
      </w:r>
    </w:p>
    <w:p>
      <w:r>
        <w:rPr>
          <w:rFonts w:hint="eastAsia"/>
        </w:rPr>
        <w:t>（4）由于发包人原因造成的发包人自身人员的人身伤害以及财产损失。</w:t>
      </w:r>
    </w:p>
    <w:p>
      <w:r>
        <w:t>6.1.9.2 承包人的安全责任</w:t>
      </w:r>
    </w:p>
    <w:p>
      <w:r>
        <w:t>由于承包人原因在施工场地内及其毗邻地带造成的</w:t>
      </w:r>
      <w:r>
        <w:rPr>
          <w:rFonts w:hint="eastAsia"/>
        </w:rPr>
        <w:t>发包人、监理人以及</w:t>
      </w:r>
      <w:r>
        <w:t>第三者人员伤亡和财产损失，由承包人负责赔偿。</w:t>
      </w:r>
    </w:p>
    <w:p>
      <w:bookmarkStart w:id="243" w:name="_Toc351203540"/>
      <w:r>
        <w:t>6</w:t>
      </w:r>
      <w:bookmarkStart w:id="244" w:name="_Toc337558765"/>
      <w:r>
        <w:t>.2 职业健康</w:t>
      </w:r>
      <w:bookmarkEnd w:id="243"/>
    </w:p>
    <w:bookmarkEnd w:id="244"/>
    <w:p>
      <w:r>
        <w:t>6.2.1 劳动保护</w:t>
      </w:r>
    </w:p>
    <w:p>
      <w: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r>
        <w:t>承包人应按</w:t>
      </w:r>
      <w:r>
        <w:rPr>
          <w:rFonts w:hint="eastAsia"/>
        </w:rPr>
        <w:t>法律</w:t>
      </w:r>
      <w:r>
        <w:t>规定安排工作时间，保证其雇佣人员享有休息和休假的权利。因工程施工的特殊需要占用休假日或延长工作时间的，应不超过法律规定的限度，并按法律规定给予补休或付酬。</w:t>
      </w:r>
    </w:p>
    <w:p>
      <w:r>
        <w:t>6.2.2 生活条件</w:t>
      </w:r>
    </w:p>
    <w:p>
      <w: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bookmarkStart w:id="245" w:name="_Toc351203541"/>
      <w:r>
        <w:t>6</w:t>
      </w:r>
      <w:bookmarkStart w:id="246" w:name="_Toc337558766"/>
      <w:r>
        <w:t>.3 环境保护</w:t>
      </w:r>
      <w:bookmarkEnd w:id="245"/>
    </w:p>
    <w:bookmarkEnd w:id="246"/>
    <w:p>
      <w:r>
        <w:t>承包人应在施工组织设计中列明环境保护的具体措施。在合同履行期间，承包人应采取合理措施保护施工现场环境。对施工作业过程中可能引起的大气、水、噪音以及固体废物污染采取具体可行的防范措施。</w:t>
      </w:r>
    </w:p>
    <w:p>
      <w:r>
        <w:t>承包人应当承担因其原因引起的环境污染侵权损害赔偿责任，因上述环境污染引起纠纷而导致暂停施工的，由此增加的费用和（或）延误的工期由承包人承担。</w:t>
      </w:r>
    </w:p>
    <w:p>
      <w:bookmarkStart w:id="247" w:name="_Toc351203542"/>
      <w:r>
        <w:t>7</w:t>
      </w:r>
      <w:bookmarkStart w:id="248" w:name="_Toc337558767"/>
      <w:r>
        <w:t>. 工期和进度</w:t>
      </w:r>
      <w:bookmarkEnd w:id="247"/>
    </w:p>
    <w:bookmarkEnd w:id="248"/>
    <w:p>
      <w:bookmarkStart w:id="249" w:name="_Toc351203543"/>
      <w:r>
        <w:t>7</w:t>
      </w:r>
      <w:bookmarkStart w:id="250" w:name="_Toc337558768"/>
      <w:bookmarkStart w:id="251" w:name="_Toc296503066"/>
      <w:bookmarkStart w:id="252" w:name="_Toc296346567"/>
      <w:r>
        <w:t>.1施工组织设计</w:t>
      </w:r>
      <w:bookmarkEnd w:id="249"/>
    </w:p>
    <w:bookmarkEnd w:id="250"/>
    <w:p>
      <w:r>
        <w:t>7.1.1 施工组织设计的内容</w:t>
      </w:r>
    </w:p>
    <w:p>
      <w:r>
        <w:t>施工组织设计应包含以下内容：</w:t>
      </w:r>
    </w:p>
    <w:p>
      <w:r>
        <w:t xml:space="preserve">（1）施工方案； </w:t>
      </w:r>
    </w:p>
    <w:p>
      <w:r>
        <w:t>（2）施工现场平面布置图；</w:t>
      </w:r>
    </w:p>
    <w:p>
      <w:r>
        <w:t xml:space="preserve">（3）施工进度计划和保证措施； </w:t>
      </w:r>
    </w:p>
    <w:p>
      <w:r>
        <w:t>（4）劳动力及材料供应计划；</w:t>
      </w:r>
    </w:p>
    <w:p>
      <w:r>
        <w:t>（5）施工机械设备的选用；</w:t>
      </w:r>
    </w:p>
    <w:p>
      <w:r>
        <w:t>（6）质量保证体系及措施；</w:t>
      </w:r>
    </w:p>
    <w:p>
      <w:r>
        <w:t>（7）安全生产、文明施工措施；</w:t>
      </w:r>
    </w:p>
    <w:p>
      <w:r>
        <w:t>（8）环境保护、成本控制措施</w:t>
      </w:r>
      <w:r>
        <w:rPr>
          <w:rFonts w:hint="eastAsia"/>
        </w:rPr>
        <w:t>；</w:t>
      </w:r>
    </w:p>
    <w:p>
      <w:r>
        <w:rPr>
          <w:rFonts w:hint="eastAsia"/>
        </w:rPr>
        <w:t>（9）合同当事人约定的其他内容</w:t>
      </w:r>
      <w:r>
        <w:t>。</w:t>
      </w:r>
    </w:p>
    <w:p>
      <w:r>
        <w:t>7.1.2 施工组织设计的提交和修改</w:t>
      </w:r>
    </w:p>
    <w:p>
      <w:r>
        <w:t>除专用合同条款另有约定外，承包人应在合同签订后14天内，但至迟不得晚于第7.3.2项</w:t>
      </w:r>
      <w:r>
        <w:rPr>
          <w:rFonts w:hint="eastAsia"/>
        </w:rPr>
        <w:t>〔</w:t>
      </w:r>
      <w:r>
        <w:t>开工通知</w:t>
      </w:r>
      <w:r>
        <w:rPr>
          <w:rFonts w:hint="eastAsia"/>
        </w:rPr>
        <w:t>〕</w:t>
      </w:r>
      <w:r>
        <w:t>载明的开工日期前7天，向监理人提交详细的施工组织设计，并由监理人报送发包人。</w:t>
      </w:r>
      <w:r>
        <w:rPr>
          <w:rFonts w:hint="eastAsia"/>
        </w:rPr>
        <w:t>除专用合同条款另有约定外，发包人和监理人应在监理人收到施工组织设计后7天内确认或提出修改意见</w:t>
      </w:r>
      <w:r>
        <w:t>。对发包人和监理人提出的合理意见和要求，承包人应自费修改完善。根据工程实际情况需要修改施工组织设计的，承包人应向发包人和监理人提交修改后的施工组织设计。</w:t>
      </w:r>
    </w:p>
    <w:p>
      <w:r>
        <w:t>施工进度计划的编制和修改按照第7.2款</w:t>
      </w:r>
      <w:r>
        <w:rPr>
          <w:rFonts w:hint="eastAsia"/>
        </w:rPr>
        <w:t>〔</w:t>
      </w:r>
      <w:r>
        <w:t>施工进度计划</w:t>
      </w:r>
      <w:r>
        <w:rPr>
          <w:rFonts w:hint="eastAsia"/>
        </w:rPr>
        <w:t>〕</w:t>
      </w:r>
      <w:r>
        <w:t>执行。</w:t>
      </w:r>
    </w:p>
    <w:p>
      <w:bookmarkStart w:id="253" w:name="_Toc351203544"/>
      <w:r>
        <w:t>7</w:t>
      </w:r>
      <w:bookmarkStart w:id="254" w:name="_Toc337558769"/>
      <w:r>
        <w:t>.2 施工进度计划</w:t>
      </w:r>
      <w:bookmarkEnd w:id="253"/>
    </w:p>
    <w:bookmarkEnd w:id="254"/>
    <w:p>
      <w:r>
        <w:t>7.2.1 施工进度计划的编制</w:t>
      </w:r>
    </w:p>
    <w:p>
      <w:r>
        <w:t>承包人应按照第7.1款</w:t>
      </w:r>
      <w:r>
        <w:rPr>
          <w:rFonts w:hint="eastAsia"/>
        </w:rPr>
        <w:t>〔</w:t>
      </w:r>
      <w:r>
        <w:t>施工组织设计</w:t>
      </w:r>
      <w:r>
        <w:rPr>
          <w:rFonts w:hint="eastAsia"/>
        </w:rPr>
        <w:t>〕</w:t>
      </w:r>
      <w: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
        <w:t>7.2.2 施工进度计划的修订</w:t>
      </w:r>
    </w:p>
    <w:p>
      <w: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bookmarkStart w:id="255" w:name="_Toc351203545"/>
      <w:r>
        <w:t>7</w:t>
      </w:r>
      <w:bookmarkStart w:id="256" w:name="_Toc337558770"/>
      <w:r>
        <w:t>.3 开工</w:t>
      </w:r>
      <w:bookmarkEnd w:id="255"/>
    </w:p>
    <w:p>
      <w:r>
        <w:t>7.3.1 开工准备</w:t>
      </w:r>
    </w:p>
    <w:p>
      <w:r>
        <w:t>除专用合同条款另有约定外，承包人应按照第7.1款</w:t>
      </w:r>
      <w:r>
        <w:rPr>
          <w:rFonts w:hint="eastAsia"/>
        </w:rPr>
        <w:t>〔</w:t>
      </w:r>
      <w:r>
        <w:t>施工组织设计</w:t>
      </w:r>
      <w:r>
        <w:rPr>
          <w:rFonts w:hint="eastAsia"/>
        </w:rPr>
        <w:t>〕</w:t>
      </w:r>
      <w: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r>
        <w:t>除专用合同条款另有约定外，合同当事人应按约定完成开工准备工作。</w:t>
      </w:r>
    </w:p>
    <w:p>
      <w:r>
        <w:t>7.3.2 开工通知</w:t>
      </w:r>
    </w:p>
    <w:bookmarkEnd w:id="256"/>
    <w:p>
      <w:r>
        <w:t>发包人应按照法律规定获得工程施工所需的许可。经发包人同意后，监理人发出的开工通知应符合法律规定。监理人应在计划开工日期7天前向承包人发出开工通知，工期自开工通知中载明的开工日期起算。</w:t>
      </w:r>
    </w:p>
    <w:p>
      <w: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bookmarkStart w:id="257" w:name="_Toc351203546"/>
      <w:r>
        <w:t>7.4测量放线</w:t>
      </w:r>
      <w:bookmarkEnd w:id="257"/>
    </w:p>
    <w:p>
      <w:r>
        <w:t>7.4.1 除专用合同条款另有约定外，发包人应在至迟不得晚于第7.3.2项</w:t>
      </w:r>
      <w:r>
        <w:rPr>
          <w:rFonts w:hint="eastAsia"/>
        </w:rPr>
        <w:t>〔</w:t>
      </w:r>
      <w:r>
        <w:t>开工通知</w:t>
      </w:r>
      <w:r>
        <w:rPr>
          <w:rFonts w:hint="eastAsia"/>
        </w:rPr>
        <w:t>〕</w:t>
      </w:r>
      <w:r>
        <w:t>载明的开工日期前7天通过监理人向承包人提供测量基准点、基准线和水准点及其书面资料。发包人应对其提供的测量基准点、基准线和水准点及其书面资料的真实性、准确性和完整性负责。</w:t>
      </w:r>
    </w:p>
    <w:p>
      <w: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r>
        <w:t>7.4.2 承包人负责施工过程中的全部施工测量放线工作，并配置具有相应资质的人员、合格的仪器、设备和其他物品。承包人应矫正工程的位置、标高、尺寸或准线中出现的任何差错，并对工程各部分的定位负责。</w:t>
      </w:r>
    </w:p>
    <w:p>
      <w:r>
        <w:t>施工过程中对施工现场内水准点等测量标志物的保护工作由承包人负责。</w:t>
      </w:r>
      <w:bookmarkStart w:id="258" w:name="_Toc351203547"/>
    </w:p>
    <w:p>
      <w:r>
        <w:t>7</w:t>
      </w:r>
      <w:bookmarkEnd w:id="251"/>
      <w:bookmarkEnd w:id="252"/>
      <w:bookmarkStart w:id="259" w:name="_Toc296346574"/>
      <w:bookmarkStart w:id="260" w:name="_Toc296503073"/>
      <w:bookmarkStart w:id="261" w:name="_Toc337558772"/>
      <w:r>
        <w:t>.5</w:t>
      </w:r>
      <w:r>
        <w:rPr>
          <w:rFonts w:hint="eastAsia"/>
        </w:rPr>
        <w:t xml:space="preserve"> </w:t>
      </w:r>
      <w:r>
        <w:t>工期延误</w:t>
      </w:r>
      <w:bookmarkEnd w:id="258"/>
    </w:p>
    <w:bookmarkEnd w:id="259"/>
    <w:bookmarkEnd w:id="260"/>
    <w:bookmarkEnd w:id="261"/>
    <w:p>
      <w:r>
        <w:t>7.5.1 因发包人原因导致工期延误</w:t>
      </w:r>
    </w:p>
    <w:p>
      <w:r>
        <w:t xml:space="preserve">在合同履行过程中，因下列情况导致工期延误和（或）费用增加的，由发包人承担由此延误的工期和（或）增加的费用，且发包人应支付承包人合理的利润： </w:t>
      </w:r>
    </w:p>
    <w:p>
      <w:r>
        <w:t>（1）发包人未能按合同约定提供图纸或所提供图纸不符合合同约定的；</w:t>
      </w:r>
    </w:p>
    <w:p>
      <w:r>
        <w:t>（2）发包人未能按合同约定提供施工现场、施工条件、基础资料、许可、批准等开工条件的；</w:t>
      </w:r>
    </w:p>
    <w:p>
      <w:r>
        <w:t>（3）发包人提供的测量基准点、基准线和水准点及其书面资料存在错误或疏漏的；</w:t>
      </w:r>
    </w:p>
    <w:p>
      <w:r>
        <w:t>（4）发包人未能在计划开工日期之日起7天内同意下达开工通知的；</w:t>
      </w:r>
    </w:p>
    <w:p>
      <w:r>
        <w:t>（5）发包人未能按合同约定日期支付工程预付款、进度款或竣工结算款的；</w:t>
      </w:r>
    </w:p>
    <w:p>
      <w:r>
        <w:t>（6）监理人未按合同约定发出指示、批准等文件的；</w:t>
      </w:r>
    </w:p>
    <w:p>
      <w:r>
        <w:t>（7）专用合同条款中约定的其他情形。</w:t>
      </w:r>
    </w:p>
    <w:p>
      <w: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rPr>
        <w:t>〔</w:t>
      </w:r>
      <w:r>
        <w:t>施工进度计划的修订</w:t>
      </w:r>
      <w:r>
        <w:rPr>
          <w:rFonts w:hint="eastAsia"/>
        </w:rPr>
        <w:t>〕</w:t>
      </w:r>
      <w:r>
        <w:t>执行。</w:t>
      </w:r>
    </w:p>
    <w:p>
      <w:r>
        <w:t>7.5.2 因承包人原因导致工期延误</w:t>
      </w:r>
    </w:p>
    <w:p>
      <w:bookmarkStart w:id="262" w:name="_Toc296503076"/>
      <w:bookmarkStart w:id="263" w:name="_Toc296346577"/>
      <w:r>
        <w:t>因</w:t>
      </w:r>
      <w:bookmarkEnd w:id="262"/>
      <w:bookmarkEnd w:id="263"/>
      <w:r>
        <w:t>承包人原因造成工期延误的，可以在专用合同条款中约定逾期竣工违约金的计算方法和逾期竣工违约金的上限。承包人支付逾期竣工违约金后，不免除承包人继续完成工程及修补缺陷的义务。</w:t>
      </w:r>
    </w:p>
    <w:p>
      <w:bookmarkStart w:id="264" w:name="_Toc351203548"/>
      <w:r>
        <w:t>7</w:t>
      </w:r>
      <w:bookmarkStart w:id="265" w:name="_Toc337558773"/>
      <w:bookmarkStart w:id="266" w:name="_Toc296346575"/>
      <w:bookmarkStart w:id="267" w:name="_Toc296503074"/>
      <w:bookmarkStart w:id="268" w:name="_Toc296346578"/>
      <w:bookmarkStart w:id="269" w:name="_Toc296503077"/>
      <w:r>
        <w:t>.6 不利物质条件</w:t>
      </w:r>
      <w:bookmarkEnd w:id="264"/>
    </w:p>
    <w:bookmarkEnd w:id="265"/>
    <w:bookmarkEnd w:id="266"/>
    <w:bookmarkEnd w:id="267"/>
    <w:p>
      <w:r>
        <w:t>不利物质条件是指有经验的承包人在施工现场遇到的不可预见的自然物质条件、非自然的物质障碍和污染物，包括地表以下物质条件和水文条件以及专用合同条款约定的其他情形，但不包括气候条件。</w:t>
      </w:r>
    </w:p>
    <w:p>
      <w: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rPr>
        <w:t>〔</w:t>
      </w:r>
      <w:r>
        <w:t>变更</w:t>
      </w:r>
      <w:r>
        <w:rPr>
          <w:rFonts w:hint="eastAsia"/>
        </w:rPr>
        <w:t>〕</w:t>
      </w:r>
      <w:r>
        <w:t>约定执行。承包人因采取合理措施而增加的费用和（或）延误的工期由发包人承担。</w:t>
      </w:r>
    </w:p>
    <w:p>
      <w:bookmarkStart w:id="270" w:name="_Toc351203549"/>
      <w:r>
        <w:t>7</w:t>
      </w:r>
      <w:bookmarkStart w:id="271" w:name="_Toc296346576"/>
      <w:bookmarkStart w:id="272" w:name="_Toc296503075"/>
      <w:bookmarkStart w:id="273" w:name="_Toc337558774"/>
      <w:r>
        <w:t>.7</w:t>
      </w:r>
      <w:r>
        <w:rPr>
          <w:rFonts w:hint="eastAsia"/>
        </w:rPr>
        <w:t xml:space="preserve"> </w:t>
      </w:r>
      <w:r>
        <w:t>异常恶劣的气候条件</w:t>
      </w:r>
      <w:bookmarkEnd w:id="270"/>
    </w:p>
    <w:bookmarkEnd w:id="271"/>
    <w:bookmarkEnd w:id="272"/>
    <w:bookmarkEnd w:id="273"/>
    <w:p>
      <w: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
        <w:t>承包人应采取克服异常恶劣的气候条件的合理措施继续施工，并及时通知发包人和监理人。监理人经发包人同意后应当及时发出指示，指示构成变更的，按第10条</w:t>
      </w:r>
      <w:r>
        <w:rPr>
          <w:rFonts w:hint="eastAsia"/>
        </w:rPr>
        <w:t>〔</w:t>
      </w:r>
      <w:r>
        <w:t>变更</w:t>
      </w:r>
      <w:r>
        <w:rPr>
          <w:rFonts w:hint="eastAsia"/>
        </w:rPr>
        <w:t>〕</w:t>
      </w:r>
      <w:r>
        <w:t>约定办理。承包人因采取合理措施而增加的费用和（或）延误的工期由发包人承担。</w:t>
      </w:r>
      <w:bookmarkStart w:id="274" w:name="_Toc351203550"/>
    </w:p>
    <w:p>
      <w:r>
        <w:t>7</w:t>
      </w:r>
      <w:bookmarkStart w:id="275" w:name="_Toc337558775"/>
      <w:r>
        <w:t>.8</w:t>
      </w:r>
      <w:r>
        <w:rPr>
          <w:rFonts w:hint="eastAsia"/>
        </w:rPr>
        <w:t xml:space="preserve"> </w:t>
      </w:r>
      <w:r>
        <w:t>暂停施工</w:t>
      </w:r>
      <w:bookmarkEnd w:id="274"/>
    </w:p>
    <w:bookmarkEnd w:id="268"/>
    <w:bookmarkEnd w:id="269"/>
    <w:bookmarkEnd w:id="275"/>
    <w:p>
      <w:r>
        <w:t>7.8.1发包人原因引起的暂停施工</w:t>
      </w:r>
    </w:p>
    <w:p>
      <w:r>
        <w:t>因发包人原因引起暂停施工的，监理人经发包人同意后，应及时下达暂停施工指示。情况紧急且监理人未及时下达暂停施工指示的，按照第7.8.4项</w:t>
      </w:r>
      <w:r>
        <w:rPr>
          <w:rFonts w:hint="eastAsia"/>
        </w:rPr>
        <w:t>〔</w:t>
      </w:r>
      <w:r>
        <w:t>紧急情况下的暂停施工</w:t>
      </w:r>
      <w:r>
        <w:rPr>
          <w:rFonts w:hint="eastAsia"/>
        </w:rPr>
        <w:t>〕</w:t>
      </w:r>
      <w:r>
        <w:t>执行。</w:t>
      </w:r>
    </w:p>
    <w:p>
      <w:r>
        <w:t>因发包人原因引起的暂停施工，发包人应承担由此增加的费用和（或）延误的工期，并支付承包人合理的利润。</w:t>
      </w:r>
    </w:p>
    <w:p>
      <w:r>
        <w:t>7.8.2 承包人原因引起的暂停施工</w:t>
      </w:r>
    </w:p>
    <w:p>
      <w:r>
        <w:t>因承包人原因引起的暂停施工，承包人应承担由此增加的费用和（或）延误的工期，且承包人在收到监理人复工指示后</w:t>
      </w:r>
      <w:r>
        <w:rPr>
          <w:rFonts w:hint="eastAsia"/>
        </w:rPr>
        <w:t>84</w:t>
      </w:r>
      <w:r>
        <w:t>天内仍未复工的，视为第16.2.1项</w:t>
      </w:r>
      <w:r>
        <w:rPr>
          <w:rFonts w:hint="eastAsia"/>
        </w:rPr>
        <w:t>〔</w:t>
      </w:r>
      <w:r>
        <w:t>承包人违约的情形</w:t>
      </w:r>
      <w:r>
        <w:rPr>
          <w:rFonts w:hint="eastAsia"/>
        </w:rPr>
        <w:t>〕</w:t>
      </w:r>
      <w:r>
        <w:t>第（7）目约定的承包人无法继续履行合同的情形。</w:t>
      </w:r>
    </w:p>
    <w:p>
      <w:r>
        <w:t>7.8.3 指示暂停施工</w:t>
      </w:r>
    </w:p>
    <w:p>
      <w:r>
        <w:t>监理人认为有必要时，并经发包人批准后，可向承包人作出暂停施工的指示，承包人应按监理人指示暂停施工。</w:t>
      </w:r>
    </w:p>
    <w:p>
      <w:r>
        <w:t>7.8.4 紧急情况下的暂停施工</w:t>
      </w:r>
    </w:p>
    <w:p>
      <w: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rPr>
        <w:t>〔</w:t>
      </w:r>
      <w:r>
        <w:t>争议解决</w:t>
      </w:r>
      <w:r>
        <w:rPr>
          <w:rFonts w:hint="eastAsia"/>
        </w:rPr>
        <w:t>〕</w:t>
      </w:r>
      <w:r>
        <w:t>约定处理。</w:t>
      </w:r>
    </w:p>
    <w:p>
      <w:r>
        <w:t>7.8.5 暂停施工后的复工</w:t>
      </w:r>
    </w:p>
    <w:p>
      <w: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r>
        <w:t>承包人无故拖延和拒绝复工的，承包人承担由此增加的费用和（或）延误的工期；因发包人原因无法按时复工的，按照第7.5.1项</w:t>
      </w:r>
      <w:r>
        <w:rPr>
          <w:rFonts w:hint="eastAsia"/>
        </w:rPr>
        <w:t>〔</w:t>
      </w:r>
      <w:r>
        <w:t>因发包人原因导致工期延误</w:t>
      </w:r>
      <w:r>
        <w:rPr>
          <w:rFonts w:hint="eastAsia"/>
        </w:rPr>
        <w:t>〕</w:t>
      </w:r>
      <w:r>
        <w:t>约定办理。</w:t>
      </w:r>
    </w:p>
    <w:p>
      <w:r>
        <w:t>7.8.6 暂停施工持续56天以上</w:t>
      </w:r>
    </w:p>
    <w:p>
      <w:r>
        <w:t>监理人发出暂停施工指示后56天内未向承包人发出复工通知，除该项停工属于第7.8.2项</w:t>
      </w:r>
      <w:r>
        <w:rPr>
          <w:rFonts w:hint="eastAsia"/>
        </w:rPr>
        <w:t>〔</w:t>
      </w:r>
      <w:r>
        <w:t>承包人原因引起的暂停施工</w:t>
      </w:r>
      <w:r>
        <w:rPr>
          <w:rFonts w:hint="eastAsia"/>
        </w:rPr>
        <w:t>〕</w:t>
      </w:r>
      <w:r>
        <w:t>及第17条</w:t>
      </w:r>
      <w:r>
        <w:rPr>
          <w:rFonts w:hint="eastAsia"/>
        </w:rPr>
        <w:t>〔</w:t>
      </w:r>
      <w:r>
        <w:t>不可抗力</w:t>
      </w:r>
      <w:r>
        <w:rPr>
          <w:rFonts w:hint="eastAsia"/>
        </w:rPr>
        <w:t>〕</w:t>
      </w:r>
      <w: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rPr>
        <w:t>〔</w:t>
      </w:r>
      <w:r>
        <w:t>变更的范围</w:t>
      </w:r>
      <w:r>
        <w:rPr>
          <w:rFonts w:hint="eastAsia"/>
        </w:rPr>
        <w:t>〕</w:t>
      </w:r>
      <w:r>
        <w:t>第（2）项的可取消工作。</w:t>
      </w:r>
    </w:p>
    <w:p>
      <w:r>
        <w:t>暂停施工持续</w:t>
      </w:r>
      <w:r>
        <w:rPr>
          <w:rFonts w:hint="eastAsia"/>
        </w:rPr>
        <w:t>84</w:t>
      </w:r>
      <w:r>
        <w:t>天以上不复工的，且不属于第7.8.2项</w:t>
      </w:r>
      <w:r>
        <w:rPr>
          <w:rFonts w:hint="eastAsia"/>
        </w:rPr>
        <w:t>〔</w:t>
      </w:r>
      <w:r>
        <w:t>承包人原因引起的暂停施工</w:t>
      </w:r>
      <w:r>
        <w:rPr>
          <w:rFonts w:hint="eastAsia"/>
        </w:rPr>
        <w:t>〕</w:t>
      </w:r>
      <w:r>
        <w:t>及第17条</w:t>
      </w:r>
      <w:r>
        <w:rPr>
          <w:rFonts w:hint="eastAsia"/>
        </w:rPr>
        <w:t>〔</w:t>
      </w:r>
      <w:r>
        <w:t>不可抗力</w:t>
      </w:r>
      <w:r>
        <w:rPr>
          <w:rFonts w:hint="eastAsia"/>
        </w:rPr>
        <w:t>〕</w:t>
      </w:r>
      <w:r>
        <w:t>约定的情形，并影响到整个工程以及合同目的实现的，承包人有权提出价格调整要求，或者解除合同。解除合同的，按照第16.1.3项</w:t>
      </w:r>
      <w:r>
        <w:rPr>
          <w:rFonts w:hint="eastAsia"/>
        </w:rPr>
        <w:t>〔</w:t>
      </w:r>
      <w:r>
        <w:t>因发包人违约解除合同</w:t>
      </w:r>
      <w:r>
        <w:rPr>
          <w:rFonts w:hint="eastAsia"/>
        </w:rPr>
        <w:t>〕</w:t>
      </w:r>
      <w:r>
        <w:t>执行。</w:t>
      </w:r>
    </w:p>
    <w:p>
      <w:r>
        <w:t>7.8.7 暂停施工期间的工程照管</w:t>
      </w:r>
    </w:p>
    <w:p>
      <w:r>
        <w:t>暂停施工期间，承包人应负责妥善照管工程并提供安全保障，由此增加的费用由责任方承担。</w:t>
      </w:r>
    </w:p>
    <w:p>
      <w:r>
        <w:t>7.8.8 暂停施工的措施</w:t>
      </w:r>
    </w:p>
    <w:p>
      <w:r>
        <w:t>暂停施工期间，发包人和承包人均应采取必要的措施确保工程质量及安全，防止因暂停施工扩大损失。</w:t>
      </w:r>
    </w:p>
    <w:p>
      <w:bookmarkStart w:id="276" w:name="_Toc351203551"/>
      <w:r>
        <w:t>7.9提前竣工</w:t>
      </w:r>
      <w:bookmarkEnd w:id="276"/>
    </w:p>
    <w:p>
      <w: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rPr>
        <w:t>承包人认为提前竣工指示无法执行的，应向监理人和发包人提出书面异议，发包人和监理人应在收到异议后7天内予以答复。任何情况下，发包人不得压缩合理工期。</w:t>
      </w:r>
    </w:p>
    <w:p>
      <w:r>
        <w:t>7.9.2 发包人要求承包人提前竣工，或承包人提出提前竣工的建议能够给发包人带来效益的，合同当事人可以在专用合同条款中约定提前竣工的奖励。</w:t>
      </w:r>
    </w:p>
    <w:p>
      <w:bookmarkStart w:id="277" w:name="_Toc351203552"/>
      <w:r>
        <w:t>8</w:t>
      </w:r>
      <w:bookmarkStart w:id="278" w:name="_Toc296346559"/>
      <w:bookmarkStart w:id="279" w:name="_Toc296503058"/>
      <w:bookmarkStart w:id="280" w:name="_Toc337558776"/>
      <w:r>
        <w:t>. 材料与设备</w:t>
      </w:r>
      <w:bookmarkEnd w:id="277"/>
    </w:p>
    <w:bookmarkEnd w:id="278"/>
    <w:bookmarkEnd w:id="279"/>
    <w:bookmarkEnd w:id="280"/>
    <w:p>
      <w:bookmarkStart w:id="281" w:name="_Toc351203553"/>
      <w:r>
        <w:t>8</w:t>
      </w:r>
      <w:bookmarkStart w:id="282" w:name="_Toc337558777"/>
      <w:bookmarkStart w:id="283" w:name="_Toc296503059"/>
      <w:bookmarkStart w:id="284" w:name="_Toc296346560"/>
      <w:bookmarkStart w:id="285" w:name="_Toc468936960"/>
      <w:r>
        <w:t>.1发包人供应材料与工程设备</w:t>
      </w:r>
      <w:bookmarkEnd w:id="281"/>
    </w:p>
    <w:bookmarkEnd w:id="282"/>
    <w:bookmarkEnd w:id="283"/>
    <w:bookmarkEnd w:id="284"/>
    <w:p>
      <w:r>
        <w:t>发包人自行供应材料、工程设备的，应在签订合同时在专用合同条款的附件《发包人供应材料设备一览表》中明确材料、工程设备的品种、规格、型号、数量、单价、质量等级和送达地点。</w:t>
      </w:r>
    </w:p>
    <w:p>
      <w:r>
        <w:t>承包人应提前30天通过监理人以书面形式通知发包人供应材料与工程设备进场。承包人按照第7.2.2项</w:t>
      </w:r>
      <w:r>
        <w:rPr>
          <w:rFonts w:hint="eastAsia"/>
        </w:rPr>
        <w:t>〔</w:t>
      </w:r>
      <w:r>
        <w:t>施工进度计划的修订</w:t>
      </w:r>
      <w:r>
        <w:rPr>
          <w:rFonts w:hint="eastAsia"/>
        </w:rPr>
        <w:t>〕</w:t>
      </w:r>
      <w:r>
        <w:t>约定修订施工进度计划时，需同时提交经修订后的发包人供应材料与工程设备的进场计划。</w:t>
      </w:r>
    </w:p>
    <w:p>
      <w:bookmarkStart w:id="286" w:name="_Toc351203554"/>
      <w:r>
        <w:t>8</w:t>
      </w:r>
      <w:bookmarkStart w:id="287" w:name="_Toc296346561"/>
      <w:bookmarkStart w:id="288" w:name="_Toc337558778"/>
      <w:bookmarkStart w:id="289" w:name="_Toc296503060"/>
      <w:r>
        <w:t>.2承包人采购材料与工程设备</w:t>
      </w:r>
      <w:bookmarkEnd w:id="286"/>
    </w:p>
    <w:bookmarkEnd w:id="287"/>
    <w:bookmarkEnd w:id="288"/>
    <w:bookmarkEnd w:id="289"/>
    <w:p>
      <w: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rPr>
        <w:t>相应责任</w:t>
      </w:r>
      <w:r>
        <w:t>。</w:t>
      </w:r>
    </w:p>
    <w:p>
      <w:bookmarkStart w:id="290" w:name="_Toc351203555"/>
      <w:r>
        <w:t>8</w:t>
      </w:r>
      <w:bookmarkStart w:id="291" w:name="_Toc296346562"/>
      <w:bookmarkStart w:id="292" w:name="_Toc296503061"/>
      <w:bookmarkStart w:id="293" w:name="_Toc337558779"/>
      <w:r>
        <w:t>.3材料与工程设备的接收与拒收</w:t>
      </w:r>
      <w:bookmarkEnd w:id="290"/>
    </w:p>
    <w:bookmarkEnd w:id="291"/>
    <w:bookmarkEnd w:id="292"/>
    <w:bookmarkEnd w:id="293"/>
    <w:p>
      <w: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r>
        <w:t>发包人提供的材料和工程设备的规格、数量或质量不符合合同约定的，或因发包人原因导致交货日期延误或交货地点变更等情况的，按照第16.1款</w:t>
      </w:r>
      <w:r>
        <w:rPr>
          <w:rFonts w:hint="eastAsia"/>
        </w:rPr>
        <w:t>〔</w:t>
      </w:r>
      <w:r>
        <w:t>发包人违约</w:t>
      </w:r>
      <w:r>
        <w:rPr>
          <w:rFonts w:hint="eastAsia"/>
        </w:rPr>
        <w:t>〕</w:t>
      </w:r>
      <w:r>
        <w:t>约定办理。</w:t>
      </w:r>
    </w:p>
    <w:p>
      <w:r>
        <w:t>8.3.2 承包人采购的材料和工程设备，应保证产品质量合格，承包人应在材料和工程设备到货前24小时通知监理人检验。承</w:t>
      </w:r>
      <w:bookmarkStart w:id="294" w:name="_Toc250655469"/>
      <w:r>
        <w:t>包人进行永久设备、材料的制造和生产的，应符合相关质量标准，并向监理人提交材料的样本以及有关资料，并应在使用该材料或工程设备之前获得监理人同意。</w:t>
      </w:r>
    </w:p>
    <w:bookmarkEnd w:id="294"/>
    <w:p>
      <w: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bookmarkStart w:id="295" w:name="_Toc351203556"/>
      <w:r>
        <w:t>8</w:t>
      </w:r>
      <w:bookmarkStart w:id="296" w:name="_Toc296503062"/>
      <w:bookmarkStart w:id="297" w:name="_Toc296346563"/>
      <w:bookmarkStart w:id="298" w:name="_Toc337558780"/>
      <w:r>
        <w:t>.4材料与工程设备的保管与使用</w:t>
      </w:r>
      <w:bookmarkEnd w:id="295"/>
    </w:p>
    <w:bookmarkEnd w:id="296"/>
    <w:bookmarkEnd w:id="297"/>
    <w:bookmarkEnd w:id="298"/>
    <w:p>
      <w:r>
        <w:t>8.4.1 发包人供应材料与工程设备的保管与使用</w:t>
      </w:r>
    </w:p>
    <w:p>
      <w: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
        <w:t>发包人供应的材料和工程设备使用前，由承包人负责检验，检验费用由发包人承担，不合格的不得使用。</w:t>
      </w:r>
    </w:p>
    <w:p>
      <w:r>
        <w:t>8.4.2 承包人采购材料与工程设备的保管与使用</w:t>
      </w:r>
    </w:p>
    <w:p>
      <w: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
        <w:t>发包人或监理人发现承包人使用不符合设计或有关标准要求的材料和工程设备时，有权要求承包人进行修复、拆除或重新采购，由此增加的费用和（或）延误的工期，由承包人承担。</w:t>
      </w:r>
    </w:p>
    <w:p>
      <w:bookmarkStart w:id="299" w:name="_Toc351203557"/>
      <w:r>
        <w:t>8.5禁止使用不合格的材料和工程设备</w:t>
      </w:r>
      <w:bookmarkEnd w:id="299"/>
    </w:p>
    <w:p>
      <w:r>
        <w:t>8.5.1 监理人有权拒绝承包人提供的不合格材料或工程设备，并要求承包人立即进行更换。监理人应在更换后再次进行检查和检验，由此增加的费用和（或）延误的工期由承包人承担。</w:t>
      </w:r>
    </w:p>
    <w:p>
      <w:r>
        <w:t>8.5.2 监理人发现承包人使用了不合格的材料和工程设备，承包人应按照监理人的指示立即改正，并禁止在工程中继续使用不合格的材料和工程设备。</w:t>
      </w:r>
    </w:p>
    <w:p>
      <w:r>
        <w:t>8.5.3 发包人提供的材料或工程设备不符合合同要求的，承包人有权拒绝，并可要求发包人更换，由此增加的费用和（或）延误的工期由发包人承担</w:t>
      </w:r>
      <w:r>
        <w:rPr>
          <w:rFonts w:hint="eastAsia"/>
        </w:rPr>
        <w:t>，并支付承包人合理的利润</w:t>
      </w:r>
      <w:r>
        <w:t>。</w:t>
      </w:r>
    </w:p>
    <w:p>
      <w:bookmarkStart w:id="300" w:name="_Toc351203558"/>
      <w:r>
        <w:t>8.6 样品</w:t>
      </w:r>
      <w:bookmarkEnd w:id="300"/>
    </w:p>
    <w:p>
      <w:r>
        <w:t>8.6.1</w:t>
      </w:r>
      <w:r>
        <w:tab/>
      </w:r>
      <w:r>
        <w:t>样品的报送</w:t>
      </w:r>
      <w:r>
        <w:rPr>
          <w:rFonts w:hint="eastAsia"/>
        </w:rPr>
        <w:t>与封存</w:t>
      </w:r>
    </w:p>
    <w:p>
      <w:r>
        <w:t>需要承包人报送样品的材料或工程设备，样品的种类、名称、规格、数量等要求均应在专用合同条款中约定。样品的报送程序如下：</w:t>
      </w:r>
    </w:p>
    <w:p>
      <w:r>
        <w:t>（1）承包人应在计划采购前28天向监理人报送样品。承包人报送的样品均应来自供应材料的实际生产地，且提供的样品的规格、数量足以表明材料或工程设备的质量、型号、颜色、表面处理、质地、误差和其他要求的特征。</w:t>
      </w:r>
    </w:p>
    <w:p>
      <w: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r>
        <w:t>（3）经发包人和监理人审批确认的样品</w:t>
      </w:r>
      <w:r>
        <w:rPr>
          <w:rFonts w:hint="eastAsia"/>
        </w:rPr>
        <w:t>应按约定的方法封样，封存的样品</w:t>
      </w:r>
      <w:r>
        <w:t>作为检验工程相关部分的标准之一。承包人在施工过程中不得使用与样品不符的材料或工程设备。</w:t>
      </w:r>
    </w:p>
    <w:p>
      <w:r>
        <w:t>（4）发包人和监理人对样品的审批确认仅为确认相关材料或工程设备的特征或用途，不得被理解为对合同的修改或改变，也并不减轻或免除承包人任何的责任和义务。</w:t>
      </w:r>
      <w:r>
        <w:rPr>
          <w:rFonts w:hint="eastAsia"/>
        </w:rPr>
        <w:t>如果封存的样品修改或改变了合同约定，合同当事人应当以书面协议予以确认。</w:t>
      </w:r>
    </w:p>
    <w:p>
      <w:r>
        <w:t>8.6.2 样品的保管</w:t>
      </w:r>
    </w:p>
    <w:p>
      <w:r>
        <w:t>经批准的样品应由监理人负责封存于现场，承包人应在现场为保存样品提供适当和固定的场所并保持适当和良好的存储环境条件。</w:t>
      </w:r>
    </w:p>
    <w:p>
      <w:bookmarkStart w:id="301" w:name="_Toc351203559"/>
      <w:r>
        <w:t>8.7材料与工程设备的替代</w:t>
      </w:r>
      <w:bookmarkEnd w:id="301"/>
    </w:p>
    <w:p>
      <w:r>
        <w:t>8.7.1 出现下列情况需要使用替代材料和工程设备的，承包人应按照第8.7.2项约定的程序执行：</w:t>
      </w:r>
    </w:p>
    <w:p>
      <w:r>
        <w:t>（1）基准日</w:t>
      </w:r>
      <w:r>
        <w:rPr>
          <w:rFonts w:hint="eastAsia"/>
        </w:rPr>
        <w:t>期</w:t>
      </w:r>
      <w:r>
        <w:t>后生效的法律规定禁止使用的；</w:t>
      </w:r>
    </w:p>
    <w:p>
      <w:r>
        <w:t>（2）发包人要求使用替代品的；</w:t>
      </w:r>
    </w:p>
    <w:p>
      <w:r>
        <w:t>（3）因其他原因必须使用替代品的。</w:t>
      </w:r>
    </w:p>
    <w:p>
      <w:r>
        <w:t>8.7.2 承包人应在使用替代材料和工程设备28天前书面通知监理人，并附下列文件：</w:t>
      </w:r>
    </w:p>
    <w:p>
      <w:r>
        <w:t>（1）被替代的材料和工程设备的名称、数量、规格、型号、品牌、性能、价格及其他相关资料；</w:t>
      </w:r>
    </w:p>
    <w:p>
      <w:r>
        <w:t>（2）替代品的名称、数量、规格、型号、品牌、性能、价格及其他相关资料；</w:t>
      </w:r>
    </w:p>
    <w:p>
      <w:r>
        <w:t>（3）替代品与被替代产品之间的差异以及使用替代品可能对工程产生的影响；</w:t>
      </w:r>
    </w:p>
    <w:p>
      <w:r>
        <w:t>（4）替代品与被替代产品的价格差异；</w:t>
      </w:r>
    </w:p>
    <w:p>
      <w:r>
        <w:t>（5）使用替代品的理由和原因说明；</w:t>
      </w:r>
    </w:p>
    <w:p>
      <w:r>
        <w:t>（6）监理人要求的其他文件。</w:t>
      </w:r>
    </w:p>
    <w:p>
      <w:r>
        <w:t>监理人应在收到通知后14天内向承包人发出经发包人签认的书面指示；监理人逾期发出书面指示的，视为发包人和监理人同意使用替代品。</w:t>
      </w:r>
    </w:p>
    <w:p>
      <w:r>
        <w:t>8.7.3 发包人认可使用替代材料和工程设备的，替代材料和工程设备的价格，按照已标价工程量清单或预算书相同项目的价格认定；无相同项目的，参考相似项目价格认定；</w:t>
      </w:r>
      <w:r>
        <w:rPr>
          <w:rFonts w:hint="eastAsia"/>
        </w:rPr>
        <w:t>既无</w:t>
      </w:r>
      <w:r>
        <w:t>相同项目</w:t>
      </w:r>
      <w:r>
        <w:rPr>
          <w:rFonts w:hint="eastAsia"/>
        </w:rPr>
        <w:t>也</w:t>
      </w:r>
      <w:r>
        <w:t>无相似项目的，</w:t>
      </w:r>
      <w:r>
        <w:rPr>
          <w:rFonts w:hint="eastAsia"/>
        </w:rPr>
        <w:t>按照合理的成本与利润构成的原则，</w:t>
      </w:r>
      <w:r>
        <w:t>由合同当事人按照第4.4款</w:t>
      </w:r>
      <w:r>
        <w:rPr>
          <w:rFonts w:hint="eastAsia"/>
        </w:rPr>
        <w:t>〔</w:t>
      </w:r>
      <w:r>
        <w:t>商定或确定</w:t>
      </w:r>
      <w:r>
        <w:rPr>
          <w:rFonts w:hint="eastAsia"/>
        </w:rPr>
        <w:t>〕</w:t>
      </w:r>
      <w:r>
        <w:t>确定价格。</w:t>
      </w:r>
    </w:p>
    <w:p>
      <w:bookmarkStart w:id="302" w:name="_Toc351203560"/>
      <w:r>
        <w:t>8.8施工设备和临时设施</w:t>
      </w:r>
      <w:bookmarkEnd w:id="302"/>
    </w:p>
    <w:p>
      <w:r>
        <w:t>8.8.1 承包人提供的施工设备和临时设施</w:t>
      </w:r>
    </w:p>
    <w:p>
      <w:r>
        <w:t>承包人应按合同进度计划的要求，及时配置施工设备和修建临时设施。进入施工场地的承包人设备需经监理人核查后才能投入使用。承包人更换合同约定的承包人设备的，应报监理人批准。</w:t>
      </w:r>
    </w:p>
    <w:p>
      <w:r>
        <w:t>除专用合同条款另有约定外，承包人应自行承担修建临时设施的费用，需要临时占地的，应由发包人办理申请手续并承担相应费用。</w:t>
      </w:r>
    </w:p>
    <w:p>
      <w:r>
        <w:t>8.8.2发包人提供的施工设备和临时设施</w:t>
      </w:r>
    </w:p>
    <w:p>
      <w:r>
        <w:t>发包人提供的施工设备或临时设施在专用合同条款中约定。</w:t>
      </w:r>
    </w:p>
    <w:p>
      <w:r>
        <w:t>8.8.3要求承包人增加或更换施工设备</w:t>
      </w:r>
    </w:p>
    <w:p>
      <w:r>
        <w:t>承包人使用的施工设备不能满足合同进度计划和（或）质量要求时，监理人有权要求承包人增加或更换施工设备，承包人应及时增加或更换，由此增加的费用和（或）延误的工期由承包人承担。</w:t>
      </w:r>
    </w:p>
    <w:p>
      <w:bookmarkStart w:id="303" w:name="_Toc351203561"/>
      <w:r>
        <w:t>8</w:t>
      </w:r>
      <w:bookmarkStart w:id="304" w:name="_Toc337558781"/>
      <w:bookmarkStart w:id="305" w:name="_Toc296346564"/>
      <w:bookmarkStart w:id="306" w:name="_Toc296503063"/>
      <w:r>
        <w:t>.9材料与设备专用</w:t>
      </w:r>
      <w:bookmarkEnd w:id="303"/>
      <w:r>
        <w:rPr>
          <w:rFonts w:hint="eastAsia"/>
        </w:rPr>
        <w:t>要求</w:t>
      </w:r>
    </w:p>
    <w:bookmarkEnd w:id="304"/>
    <w:bookmarkEnd w:id="305"/>
    <w:bookmarkEnd w:id="306"/>
    <w:p>
      <w:r>
        <w:t>承包人运入施工现场的材料、工程设备、施工设备以及在施工场地建设的临时设施，包括备品备件、安装工具与资料，必须专用于工程。未经发包人批准，承包人不得运出施工现场或挪作他用；</w:t>
      </w:r>
      <w:bookmarkEnd w:id="285"/>
      <w:r>
        <w:t>经发包人批准，承包人可以根据施工进度计划撤走闲置的施工设备和其他物品。</w:t>
      </w:r>
    </w:p>
    <w:p>
      <w:bookmarkStart w:id="307" w:name="_Toc351203562"/>
      <w:r>
        <w:t>9</w:t>
      </w:r>
      <w:bookmarkStart w:id="308" w:name="_Toc337558782"/>
      <w:bookmarkStart w:id="309" w:name="_Toc296503083"/>
      <w:bookmarkStart w:id="310" w:name="_Toc296346584"/>
      <w:r>
        <w:t>. 试验与检验</w:t>
      </w:r>
      <w:bookmarkEnd w:id="307"/>
    </w:p>
    <w:bookmarkEnd w:id="308"/>
    <w:p>
      <w:bookmarkStart w:id="311" w:name="_Toc351203563"/>
      <w:r>
        <w:t>9</w:t>
      </w:r>
      <w:bookmarkStart w:id="312" w:name="_Toc337558783"/>
      <w:r>
        <w:t>.1试验设备与试验人员</w:t>
      </w:r>
      <w:bookmarkEnd w:id="311"/>
    </w:p>
    <w:bookmarkEnd w:id="312"/>
    <w:p>
      <w: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
        <w:t>9.1.2 承包人应按专用合同条款的约定提供试验设备、取样装置、试验场所和试验条件，并向监理人提交相应进场计划表。</w:t>
      </w:r>
    </w:p>
    <w:p>
      <w:r>
        <w:t>承包人配置的试验设备要符合相应试验规程的要求并经过具有资质的检测单位检测，且在正式使用该试验设备前，需要经过监理人与承包人共同校定。</w:t>
      </w:r>
    </w:p>
    <w:p>
      <w:r>
        <w:t>9.1.3 承包人应向监理人提交试验人员的名单及其岗位、资格等证明资料，试验人员必须能够熟练进行相应的检测试验，承包人对试验人员的试验程序和试验结果的正确性负责。</w:t>
      </w:r>
    </w:p>
    <w:p>
      <w:bookmarkStart w:id="313" w:name="_Toc351203564"/>
      <w:r>
        <w:t>9</w:t>
      </w:r>
      <w:bookmarkStart w:id="314" w:name="_Toc337558784"/>
      <w:r>
        <w:t>.2取样</w:t>
      </w:r>
      <w:bookmarkEnd w:id="313"/>
    </w:p>
    <w:bookmarkEnd w:id="314"/>
    <w:p>
      <w:r>
        <w:t>试验属于自检性质的，承包人可以单独取样。试验属于监理人抽检性质的，可由监理人取样，也可由承包人的试验人员在监理人的监督下取样。</w:t>
      </w:r>
    </w:p>
    <w:p>
      <w:bookmarkStart w:id="315" w:name="_Toc351203565"/>
      <w:r>
        <w:t>9</w:t>
      </w:r>
      <w:bookmarkStart w:id="316" w:name="_Toc337558785"/>
      <w:r>
        <w:t>.3材料、工程设备和工程的试验和检验</w:t>
      </w:r>
      <w:bookmarkEnd w:id="315"/>
    </w:p>
    <w:bookmarkEnd w:id="316"/>
    <w:p>
      <w: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bookmarkStart w:id="317" w:name="_Toc351203566"/>
      <w:r>
        <w:t>9</w:t>
      </w:r>
      <w:bookmarkStart w:id="318" w:name="_Toc337558786"/>
      <w:r>
        <w:t>.4现场工艺试验</w:t>
      </w:r>
      <w:bookmarkEnd w:id="317"/>
    </w:p>
    <w:bookmarkEnd w:id="318"/>
    <w:p>
      <w:r>
        <w:t>承包人应按合同约定或监理人指示进行现场工艺试验。对大型的现场工艺试验，监理人认为必要时，承包人应根据监理人提出的工艺试验要求，编制工艺试验措施计划，报送监理人审查。</w:t>
      </w:r>
    </w:p>
    <w:p>
      <w:bookmarkStart w:id="319" w:name="_Toc351203567"/>
      <w:r>
        <w:t>1</w:t>
      </w:r>
      <w:bookmarkStart w:id="320" w:name="_Toc337558787"/>
      <w:r>
        <w:t>0. 变更</w:t>
      </w:r>
      <w:bookmarkEnd w:id="309"/>
      <w:bookmarkEnd w:id="310"/>
      <w:bookmarkEnd w:id="319"/>
    </w:p>
    <w:bookmarkEnd w:id="320"/>
    <w:p>
      <w:bookmarkStart w:id="321" w:name="_Toc351203568"/>
      <w:r>
        <w:t>1</w:t>
      </w:r>
      <w:bookmarkStart w:id="322" w:name="_Toc296346585"/>
      <w:bookmarkStart w:id="323" w:name="_Toc296503084"/>
      <w:bookmarkStart w:id="324" w:name="_Toc337558788"/>
      <w:r>
        <w:t>0.1变更的范围</w:t>
      </w:r>
      <w:bookmarkEnd w:id="321"/>
    </w:p>
    <w:bookmarkEnd w:id="322"/>
    <w:bookmarkEnd w:id="323"/>
    <w:bookmarkEnd w:id="324"/>
    <w:p>
      <w:r>
        <w:t>除专用合同条款另有约定外，合同履行过程中发生以下情形的，应按照本条约定进行变更：</w:t>
      </w:r>
    </w:p>
    <w:p>
      <w:r>
        <w:t>（1）增加或减少合同中任何工作，或追加额外的工作；</w:t>
      </w:r>
    </w:p>
    <w:p>
      <w:r>
        <w:t>（2）取消合同中任何工作，但转由他人实施的工作除外；</w:t>
      </w:r>
    </w:p>
    <w:p>
      <w:r>
        <w:t>（3）改变合同中任何工作的质量标准或其他特性；</w:t>
      </w:r>
    </w:p>
    <w:p>
      <w:r>
        <w:t>（4）改变工程的基线、标高、位置和尺寸；</w:t>
      </w:r>
    </w:p>
    <w:p>
      <w:r>
        <w:t>（5）改变工程的时间安排或实施顺序。</w:t>
      </w:r>
    </w:p>
    <w:p>
      <w:bookmarkStart w:id="325" w:name="_Toc351203569"/>
      <w:r>
        <w:t>1</w:t>
      </w:r>
      <w:bookmarkStart w:id="326" w:name="_Toc337558789"/>
      <w:bookmarkStart w:id="327" w:name="_Toc296346586"/>
      <w:bookmarkStart w:id="328" w:name="_Toc296503085"/>
      <w:r>
        <w:t>0.2变更权</w:t>
      </w:r>
      <w:bookmarkEnd w:id="325"/>
    </w:p>
    <w:bookmarkEnd w:id="326"/>
    <w:bookmarkEnd w:id="327"/>
    <w:bookmarkEnd w:id="328"/>
    <w:p>
      <w: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r>
        <w:t>涉及设计变更的，应由设计人提供变更后的图纸和说明。如变更超过原设计标准或批准的建设规模时，发包人应及时办理规划、设计变更</w:t>
      </w:r>
      <w:r>
        <w:rPr>
          <w:rFonts w:hint="eastAsia"/>
        </w:rPr>
        <w:t>等</w:t>
      </w:r>
      <w:r>
        <w:t>审批手续。</w:t>
      </w:r>
    </w:p>
    <w:p>
      <w:bookmarkStart w:id="329" w:name="_Toc351203570"/>
      <w:r>
        <w:t>1</w:t>
      </w:r>
      <w:bookmarkStart w:id="330" w:name="_Toc337558790"/>
      <w:bookmarkStart w:id="331" w:name="_Toc296503086"/>
      <w:bookmarkStart w:id="332" w:name="_Toc296346587"/>
      <w:r>
        <w:t>0.3变更程序</w:t>
      </w:r>
      <w:bookmarkEnd w:id="329"/>
    </w:p>
    <w:bookmarkEnd w:id="330"/>
    <w:bookmarkEnd w:id="331"/>
    <w:bookmarkEnd w:id="332"/>
    <w:p>
      <w:r>
        <w:t>10.3.1 发包人提出变更</w:t>
      </w:r>
    </w:p>
    <w:p>
      <w:r>
        <w:t>发包人提出变更的，应通过监理人向承包人发出变更指示，变更指示应说明计划变更的工程范围和变更的内容。</w:t>
      </w:r>
    </w:p>
    <w:p>
      <w:r>
        <w:t>10.3.2 监理人提出变更建议</w:t>
      </w:r>
    </w:p>
    <w:p>
      <w: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
        <w:rPr>
          <w:rFonts w:hint="eastAsia"/>
        </w:rPr>
        <w:t>10.3.3 变更执行</w:t>
      </w:r>
    </w:p>
    <w:p>
      <w:r>
        <w:t>承包人收到监理人下达的变更指示后，</w:t>
      </w:r>
      <w:r>
        <w:rPr>
          <w:rFonts w:hint="eastAsia"/>
        </w:rPr>
        <w:t>认为不能执行，应立即</w:t>
      </w:r>
      <w:r>
        <w:t>提出不能执行该变更指示的理由。承包人</w:t>
      </w:r>
      <w:r>
        <w:rPr>
          <w:rFonts w:hint="eastAsia"/>
        </w:rPr>
        <w:t>认为可以</w:t>
      </w:r>
      <w:r>
        <w:t>执行变更的，</w:t>
      </w:r>
      <w:r>
        <w:rPr>
          <w:rFonts w:hint="eastAsia"/>
        </w:rPr>
        <w:t>应当书面说明实施该变更指示对合同价格和工期的影响，且合同当事人应当按照第10.4款〔变更估价〕约定确定变更估价</w:t>
      </w:r>
      <w:r>
        <w:t>。</w:t>
      </w:r>
    </w:p>
    <w:p>
      <w:bookmarkStart w:id="333" w:name="_Toc351203571"/>
      <w:r>
        <w:t>1</w:t>
      </w:r>
      <w:bookmarkStart w:id="334" w:name="_Toc296346588"/>
      <w:bookmarkStart w:id="335" w:name="_Toc337558791"/>
      <w:bookmarkStart w:id="336" w:name="_Toc296503087"/>
      <w:r>
        <w:t>0.4变更估价</w:t>
      </w:r>
      <w:bookmarkEnd w:id="333"/>
    </w:p>
    <w:bookmarkEnd w:id="334"/>
    <w:bookmarkEnd w:id="335"/>
    <w:bookmarkEnd w:id="336"/>
    <w:p>
      <w:r>
        <w:rPr>
          <w:rFonts w:hint="eastAsia"/>
        </w:rPr>
        <w:t>10.4.1 变更估价原则</w:t>
      </w:r>
    </w:p>
    <w:p>
      <w:r>
        <w:t>除专用合同条款另有约定外，变更估价按照本款约定处理：</w:t>
      </w:r>
    </w:p>
    <w:p>
      <w:r>
        <w:t>（1）已标价工程量清单或预算书有相同项目的，按照相同项目单价认定；</w:t>
      </w:r>
    </w:p>
    <w:p>
      <w:r>
        <w:t>（2）已标价工程量清单或预算书中无相同项目，但有类似项目的，参照类似项目的单价认定；</w:t>
      </w:r>
    </w:p>
    <w:p>
      <w: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rPr>
        <w:t>〔</w:t>
      </w:r>
      <w:r>
        <w:t>商定或确定</w:t>
      </w:r>
      <w:r>
        <w:rPr>
          <w:rFonts w:hint="eastAsia"/>
        </w:rPr>
        <w:t>〕</w:t>
      </w:r>
      <w:r>
        <w:t>确定变更工作的单价。</w:t>
      </w:r>
    </w:p>
    <w:p>
      <w:r>
        <w:rPr>
          <w:rFonts w:hint="eastAsia"/>
        </w:rPr>
        <w:t>10.4.2 变更估价程序</w:t>
      </w:r>
    </w:p>
    <w:p>
      <w:r>
        <w:rPr>
          <w:rFonts w:hint="eastAsia"/>
        </w:rPr>
        <w:t>承包人应在收到变更指示后14天内，向监理人提交变更估价申请。监理人应在收到承包人提交的变更估价申请后7天内审查完毕并报送发包人，监理人对变更估价申请有异议</w:t>
      </w:r>
      <w:r>
        <w:t>，通知承包人</w:t>
      </w:r>
      <w:r>
        <w:rPr>
          <w:rFonts w:hint="eastAsia"/>
        </w:rPr>
        <w:t>修</w:t>
      </w:r>
      <w:r>
        <w:t>改</w:t>
      </w:r>
      <w:r>
        <w:rPr>
          <w:rFonts w:hint="eastAsia"/>
        </w:rPr>
        <w:t>后重新提交</w:t>
      </w:r>
      <w:r>
        <w:t>。发包人应在</w:t>
      </w:r>
      <w:r>
        <w:rPr>
          <w:rFonts w:hint="eastAsia"/>
        </w:rPr>
        <w:t>承包人提交变更估价申请</w:t>
      </w:r>
      <w:r>
        <w:t>后</w:t>
      </w:r>
      <w:r>
        <w:rPr>
          <w:rFonts w:hint="eastAsia"/>
        </w:rPr>
        <w:t>14</w:t>
      </w:r>
      <w:r>
        <w:t>天内审批完毕。</w:t>
      </w:r>
      <w:r>
        <w:rPr>
          <w:rFonts w:hint="eastAsia"/>
        </w:rPr>
        <w:t>发包人逾期未完成审批或未提出异议的，视为认可承包人提交的变更估价申请。</w:t>
      </w:r>
    </w:p>
    <w:p>
      <w:r>
        <w:t>因变更引起的价格调整应计入最近一期的进度款中支付。</w:t>
      </w:r>
    </w:p>
    <w:p>
      <w:bookmarkStart w:id="337" w:name="_Toc351203572"/>
      <w:r>
        <w:t>1</w:t>
      </w:r>
      <w:bookmarkStart w:id="338" w:name="_Toc296346595"/>
      <w:bookmarkStart w:id="339" w:name="_Toc296503094"/>
      <w:bookmarkStart w:id="340" w:name="_Toc337558792"/>
      <w:r>
        <w:t>0.5承包人的合理化建议</w:t>
      </w:r>
      <w:bookmarkEnd w:id="337"/>
    </w:p>
    <w:bookmarkEnd w:id="338"/>
    <w:bookmarkEnd w:id="339"/>
    <w:bookmarkEnd w:id="340"/>
    <w:p>
      <w:r>
        <w:t>承包人提出合理化建议的，应向监理人提交合理化建议说明，说明建议的内容和理由，以及实施该建议对合同价格和工期的影响。</w:t>
      </w:r>
    </w:p>
    <w:p>
      <w: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rPr>
        <w:t>〔</w:t>
      </w:r>
      <w:r>
        <w:t>变更估价</w:t>
      </w:r>
      <w:r>
        <w:rPr>
          <w:rFonts w:hint="eastAsia"/>
        </w:rPr>
        <w:t>〕</w:t>
      </w:r>
      <w:r>
        <w:t>约定执行。发包人不同意变更的，监理人应书面通知承包人。</w:t>
      </w:r>
    </w:p>
    <w:p>
      <w:r>
        <w:t>合理化建议降低了合同价格或者提高了工程经济效益的，发包人可对承包人给予奖励，奖励的方法和金额在专用合同条款中约定。</w:t>
      </w:r>
    </w:p>
    <w:p>
      <w:bookmarkStart w:id="341" w:name="_Toc351203573"/>
      <w:r>
        <w:t>1</w:t>
      </w:r>
      <w:bookmarkStart w:id="342" w:name="_Toc337558793"/>
      <w:r>
        <w:t>0.6变更引起的工期调整</w:t>
      </w:r>
      <w:bookmarkEnd w:id="341"/>
      <w:r>
        <w:t xml:space="preserve"> </w:t>
      </w:r>
      <w:bookmarkEnd w:id="342"/>
      <w:r>
        <w:t xml:space="preserve">  </w:t>
      </w:r>
    </w:p>
    <w:p>
      <w:r>
        <w:t>因变更引起工期变化的，合同当事人均可要求调整合同工期，由合同当事人按照第4.4款</w:t>
      </w:r>
      <w:r>
        <w:rPr>
          <w:rFonts w:hint="eastAsia"/>
        </w:rPr>
        <w:t>〔</w:t>
      </w:r>
      <w:r>
        <w:t>商定或确定</w:t>
      </w:r>
      <w:r>
        <w:rPr>
          <w:rFonts w:hint="eastAsia"/>
        </w:rPr>
        <w:t>〕</w:t>
      </w:r>
      <w:r>
        <w:t>并参考工程所在地的工期定额标准确定增减工期天数。</w:t>
      </w:r>
    </w:p>
    <w:p>
      <w:bookmarkStart w:id="343" w:name="_Toc351203574"/>
      <w:r>
        <w:t>10.7暂估价</w:t>
      </w:r>
      <w:bookmarkEnd w:id="343"/>
    </w:p>
    <w:p>
      <w:r>
        <w:t>暂估价专业分包工程、</w:t>
      </w:r>
      <w:r>
        <w:rPr>
          <w:rFonts w:hint="eastAsia"/>
        </w:rPr>
        <w:t>服务、</w:t>
      </w:r>
      <w:r>
        <w:t>材料和工程设备的明细由合同当事人在专用合同条款中约定。</w:t>
      </w:r>
    </w:p>
    <w:p>
      <w:r>
        <w:t>10.7.1 依法必须招标的暂估价项目</w:t>
      </w:r>
    </w:p>
    <w:p>
      <w:r>
        <w:t>对于依法必须招标的暂估价项目，采取以下第1种方式确定</w:t>
      </w:r>
      <w:r>
        <w:rPr>
          <w:rFonts w:hint="eastAsia"/>
        </w:rPr>
        <w:t>。合同当事人也可以在</w:t>
      </w:r>
      <w:r>
        <w:t>专用合同条款</w:t>
      </w:r>
      <w:r>
        <w:rPr>
          <w:rFonts w:hint="eastAsia"/>
        </w:rPr>
        <w:t>中选择其他招标方式。</w:t>
      </w:r>
    </w:p>
    <w:p>
      <w:r>
        <w:t>第1种方式：对于依法必须招标的暂估价项目，由承包人招标，对该暂估价项目的确认和批准按照以下约定执行：</w:t>
      </w:r>
    </w:p>
    <w:p>
      <w: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r>
        <w:t>（2）承包人应当根据施工进度计划，提前14天将招标文件通过监理人报送发包人审批，发包人应当在收到承包人报送的相关文件后7天内完成审批或提出修改意见；发包人有权确定招标控制价</w:t>
      </w:r>
      <w:r>
        <w:rPr>
          <w:rFonts w:hint="eastAsia"/>
        </w:rPr>
        <w:t>并按照法律规定参加评标</w:t>
      </w:r>
      <w:r>
        <w:t>；</w:t>
      </w:r>
    </w:p>
    <w:p>
      <w: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r>
        <w:t>10.7.2不属于依法必须招标的暂估价项目</w:t>
      </w:r>
    </w:p>
    <w:p>
      <w:r>
        <w:t>除专用合同条款另有约定外，对于不属于依法必须招标的暂估价项目，采取以下第1种方式确定：</w:t>
      </w:r>
      <w:r>
        <w:rPr>
          <w:rFonts w:hint="eastAsia"/>
        </w:rPr>
        <w:t xml:space="preserve"> </w:t>
      </w:r>
    </w:p>
    <w:p>
      <w:r>
        <w:t>第1种方式：对于不属于依法必须招标的暂估价项目，按本项约定确认和批准：</w:t>
      </w:r>
    </w:p>
    <w:p>
      <w: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r>
        <w:t>（2）发包人认为承包人确定的供应商、分包人无法满足工程质量或合同要求的，发包人可以要求承包人重新确定暂估价项目的供应商、分包人;</w:t>
      </w:r>
    </w:p>
    <w:p>
      <w:r>
        <w:t>（3）承包人应当在签订暂估价合同后7天内，将暂估价合同副本报送发包人留存。</w:t>
      </w:r>
    </w:p>
    <w:p>
      <w:r>
        <w:t>第2种方式：承包人按照第10.7.1项</w:t>
      </w:r>
      <w:r>
        <w:rPr>
          <w:rFonts w:hint="eastAsia"/>
        </w:rPr>
        <w:t>〔</w:t>
      </w:r>
      <w:r>
        <w:t>依法必须招标的暂估价项目</w:t>
      </w:r>
      <w:r>
        <w:rPr>
          <w:rFonts w:hint="eastAsia"/>
        </w:rPr>
        <w:t>〕</w:t>
      </w:r>
      <w:r>
        <w:t>约定的第1种方式确定暂估价项目。</w:t>
      </w:r>
    </w:p>
    <w:p>
      <w:r>
        <w:t>第3种方式：承包人直接实施的暂估价项目</w:t>
      </w:r>
    </w:p>
    <w:p>
      <w:r>
        <w:t>承包人具备实施暂估价项目的资格和条件的，经发包人和承包人协商一致后，可由承包人自行实施暂估价项目，合同当事人可以在专用合同条款约定具体事项。</w:t>
      </w:r>
    </w:p>
    <w:p>
      <w: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bookmarkStart w:id="344" w:name="_Toc351203575"/>
      <w:r>
        <w:t>1</w:t>
      </w:r>
      <w:bookmarkStart w:id="345" w:name="_Toc337558794"/>
      <w:bookmarkStart w:id="346" w:name="_Toc322522561"/>
      <w:bookmarkStart w:id="347" w:name="_Toc296503090"/>
      <w:bookmarkStart w:id="348" w:name="_Toc296346591"/>
      <w:r>
        <w:t>0.8暂列金额</w:t>
      </w:r>
      <w:bookmarkEnd w:id="344"/>
    </w:p>
    <w:bookmarkEnd w:id="345"/>
    <w:p>
      <w:r>
        <w:t>暂列金额应按照发包人的要求使用，发包人的要求应通过监理人发出。</w:t>
      </w:r>
      <w:r>
        <w:rPr>
          <w:rFonts w:hint="eastAsia"/>
        </w:rPr>
        <w:t>合同当事人可以在专用合同条款中协商确定有关事项。</w:t>
      </w:r>
    </w:p>
    <w:bookmarkEnd w:id="346"/>
    <w:bookmarkEnd w:id="347"/>
    <w:bookmarkEnd w:id="348"/>
    <w:p>
      <w:bookmarkStart w:id="349" w:name="_Toc351203576"/>
      <w:r>
        <w:t>1</w:t>
      </w:r>
      <w:bookmarkStart w:id="350" w:name="_Toc337558796"/>
      <w:bookmarkStart w:id="351" w:name="_Toc296503091"/>
      <w:bookmarkStart w:id="352" w:name="_Toc296346592"/>
      <w:r>
        <w:t>0.9计日工</w:t>
      </w:r>
      <w:bookmarkEnd w:id="349"/>
      <w:r>
        <w:t xml:space="preserve"> </w:t>
      </w:r>
      <w:bookmarkEnd w:id="350"/>
      <w:bookmarkEnd w:id="351"/>
      <w:bookmarkEnd w:id="352"/>
    </w:p>
    <w:p>
      <w:r>
        <w:rPr>
          <w:rFonts w:hint="eastAsia"/>
        </w:rPr>
        <w:t>需要采用计日工方式的，经发包人同意后</w:t>
      </w:r>
      <w:r>
        <w:t>，由监理人通知承包人以计日工计价方式实施</w:t>
      </w:r>
      <w:r>
        <w:rPr>
          <w:rFonts w:hint="eastAsia"/>
        </w:rPr>
        <w:t>相应</w:t>
      </w:r>
      <w: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rPr>
        <w:t>〔</w:t>
      </w:r>
      <w:r>
        <w:t>商定或确定</w:t>
      </w:r>
      <w:r>
        <w:rPr>
          <w:rFonts w:hint="eastAsia"/>
        </w:rPr>
        <w:t>〕</w:t>
      </w:r>
      <w:r>
        <w:t>确定</w:t>
      </w:r>
      <w:r>
        <w:rPr>
          <w:rFonts w:hint="eastAsia"/>
        </w:rPr>
        <w:t>计日工</w:t>
      </w:r>
      <w:r>
        <w:t>的单价。</w:t>
      </w:r>
    </w:p>
    <w:p>
      <w:r>
        <w:t>采用计日工计价的任何一项工作，承包人应在该项工作实施过程中，每天提交以下报表和有关凭证报送监理人审查：</w:t>
      </w:r>
    </w:p>
    <w:p>
      <w:r>
        <w:t>（1）工作名称、内容和数量；</w:t>
      </w:r>
    </w:p>
    <w:p>
      <w:r>
        <w:t>（2）投入该工作的所有人员的姓名、专业、工种、级别和耗用工时；</w:t>
      </w:r>
    </w:p>
    <w:p>
      <w:r>
        <w:t>（3）投入该工作的材料类别和数量；</w:t>
      </w:r>
    </w:p>
    <w:p>
      <w:r>
        <w:t>（4）投入该工作的施工设备型号、台数和耗用台时；</w:t>
      </w:r>
    </w:p>
    <w:p>
      <w:r>
        <w:t>（5）其他有关资料和凭证。</w:t>
      </w:r>
    </w:p>
    <w:p>
      <w:r>
        <w:t xml:space="preserve"> 计日工由承包人汇总后，列入最近一期进度付款申请单，由监理人审查并经发包人批准后列入进度付款。</w:t>
      </w:r>
    </w:p>
    <w:p>
      <w:bookmarkStart w:id="353" w:name="_Toc351203577"/>
      <w:r>
        <w:t>11. 价格调整</w:t>
      </w:r>
      <w:bookmarkEnd w:id="353"/>
    </w:p>
    <w:p>
      <w:bookmarkStart w:id="354" w:name="_Toc351203578"/>
      <w:bookmarkStart w:id="355" w:name="_Toc296346593"/>
      <w:bookmarkStart w:id="356" w:name="_Toc337558797"/>
      <w:bookmarkStart w:id="357" w:name="_Toc296503092"/>
      <w:r>
        <w:t>11.1市场价格波动引起的调整</w:t>
      </w:r>
      <w:bookmarkEnd w:id="354"/>
    </w:p>
    <w:bookmarkEnd w:id="355"/>
    <w:bookmarkEnd w:id="356"/>
    <w:bookmarkEnd w:id="357"/>
    <w:p>
      <w:r>
        <w:t>除专用合同条款另有约定外，市场价格波动超过合同当事人约定的范围，合同价格应当调整。合同当事人可以在专用合同条款中约定选择以下一种方式对合同价格进行调整：</w:t>
      </w:r>
    </w:p>
    <w:p>
      <w:r>
        <w:t>第1种方式：采用价格指数</w:t>
      </w:r>
      <w:r>
        <w:rPr>
          <w:rFonts w:hint="eastAsia"/>
        </w:rPr>
        <w:t>进行价格</w:t>
      </w:r>
      <w:r>
        <w:t>调整。</w:t>
      </w:r>
    </w:p>
    <w:p>
      <w:r>
        <w:t>（1）价格调整公式</w:t>
      </w:r>
    </w:p>
    <w:p>
      <w:r>
        <w:t>因人工、材料和设备等价格波动影响合同价格时，根据专用合同条款中约定的数据，按以下公式计算差额并调整合同价格：</w:t>
      </w:r>
    </w:p>
    <w:p>
      <w:r>
        <w:rPr>
          <w:rFonts w:hint="eastAsia" w:ascii="Times New Roman" w:eastAsia="仿宋_GB2312"/>
          <w:color w:val="000000"/>
          <w:position w:val="-30"/>
          <w:szCs w:val="21"/>
        </w:rPr>
        <w:object>
          <v:shape id="_x0000_i1025" o:spt="75" type="#_x0000_t75" style="height:44.3pt;width:360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p>
      <w:r>
        <w:t>公式中：ΔP——需调整的价格差额；</w:t>
      </w:r>
    </w:p>
    <w:p>
      <w:r>
        <w:rPr>
          <w:rFonts w:ascii="Times New Roman" w:eastAsia="仿宋_GB2312"/>
          <w:color w:val="000000"/>
          <w:position w:val="-6"/>
          <w:szCs w:val="21"/>
        </w:rPr>
        <w:object>
          <v:shape id="_x0000_i1026" o:spt="75" type="#_x0000_t75" style="height:18pt;width:18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t>——约定的付款证书中承包人应得到的已完成工程量的金额。此项金额应不包括价格调整、不计质量保证金的扣留和支付、预付款的支付和扣回。约定的变更及其他金额已按现行价格计价的，也不计在内；</w:t>
      </w:r>
    </w:p>
    <w:p>
      <w:r>
        <w:t>A——定值权重（即不调部分的权重）；</w:t>
      </w:r>
    </w:p>
    <w:p>
      <w:r>
        <w:rPr>
          <w:rFonts w:ascii="Times New Roman" w:eastAsia="仿宋_GB2312"/>
          <w:color w:val="000000"/>
          <w:position w:val="-10"/>
          <w:szCs w:val="21"/>
        </w:rPr>
        <w:object>
          <v:shape id="_x0000_i1027" o:spt="75" type="#_x0000_t75" style="height:21.75pt;width:101.25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r>
        <w:t>——各可调因子的变值权重（即可调部分的权重），为各可调因子在签约合同价中所占的比例；</w:t>
      </w:r>
    </w:p>
    <w:p>
      <w:r>
        <w:rPr>
          <w:rFonts w:ascii="Times New Roman" w:eastAsia="仿宋_GB2312"/>
          <w:color w:val="000000"/>
          <w:position w:val="-10"/>
          <w:szCs w:val="21"/>
        </w:rPr>
        <w:object>
          <v:shape id="_x0000_i1028" o:spt="75" type="#_x0000_t75" style="height:20.25pt;width:102.05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r>
        <w:t>——各可调因子的现行价格指数，指约定的付款证书相关周期最后一天的前42天的各可调因子的价格指数；</w:t>
      </w:r>
    </w:p>
    <w:p>
      <w:r>
        <w:rPr>
          <w:rFonts w:ascii="Times New Roman" w:eastAsia="仿宋_GB2312"/>
          <w:color w:val="000000"/>
          <w:position w:val="-10"/>
          <w:szCs w:val="21"/>
        </w:rPr>
        <w:object>
          <v:shape id="_x0000_i1029" o:spt="75" type="#_x0000_t75" style="height:20.25pt;width:108.75pt;" o:ole="t" filled="f" o:preferrelative="t" stroked="f" coordsize="21600,21600">
            <v:path/>
            <v:fill on="f" focussize="0,0"/>
            <v:stroke on="f" joinstyle="miter"/>
            <v:imagedata r:id="rId21" o:title=""/>
            <o:lock v:ext="edit" aspectratio="t"/>
            <w10:wrap type="none"/>
            <w10:anchorlock/>
          </v:shape>
          <o:OLEObject Type="Embed" ProgID="Equation.3" ShapeID="_x0000_i1029" DrawAspect="Content" ObjectID="_1468075729" r:id="rId20">
            <o:LockedField>false</o:LockedField>
          </o:OLEObject>
        </w:object>
      </w:r>
      <w:r>
        <w:t>——各可调因子的基本价格指数，指基准日期的各可调因子的价格指数。</w:t>
      </w:r>
    </w:p>
    <w:p>
      <w: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
        <w:t>（2）暂时确定调整差额</w:t>
      </w:r>
    </w:p>
    <w:p>
      <w:r>
        <w:t>在计算调整差额时无现行价格指数的，合同当事人同意暂用前次价格指数计算。实际价格指数有调整的，合同当事人进行相应调整。</w:t>
      </w:r>
    </w:p>
    <w:p>
      <w:r>
        <w:t>（3）权重的调整</w:t>
      </w:r>
    </w:p>
    <w:p>
      <w:r>
        <w:t>因变更导致合同约定的权重不合理时，按照第4.4款</w:t>
      </w:r>
      <w:r>
        <w:rPr>
          <w:rFonts w:hint="eastAsia"/>
        </w:rPr>
        <w:t>〔</w:t>
      </w:r>
      <w:r>
        <w:t>商定或确定</w:t>
      </w:r>
      <w:r>
        <w:rPr>
          <w:rFonts w:hint="eastAsia"/>
        </w:rPr>
        <w:t>〕</w:t>
      </w:r>
      <w:r>
        <w:t>执行。</w:t>
      </w:r>
    </w:p>
    <w:p>
      <w:r>
        <w:t>（4）因承包人原因工期延误后的价格调整</w:t>
      </w:r>
    </w:p>
    <w:p>
      <w:r>
        <w:t>因承包人原因未按期竣工的，对合同约定的竣工日期后继续施工的工程，在使用价格调整公式时，应采用计划竣工日期与实际竣工日期的两个价格指数中较低的一个作为现行价格指数。</w:t>
      </w:r>
    </w:p>
    <w:p>
      <w:r>
        <w:t>第2种方式：采用造价信息</w:t>
      </w:r>
      <w:r>
        <w:rPr>
          <w:rFonts w:hint="eastAsia"/>
        </w:rPr>
        <w:t>进行价格</w:t>
      </w:r>
      <w:r>
        <w:t>调整。</w:t>
      </w:r>
    </w:p>
    <w:p>
      <w: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rPr>
        <w:t>量</w:t>
      </w:r>
      <w:r>
        <w:t>应由发包人审批，发包人确认需调整的材料单价及数量，作为调整合同价格的依据。</w:t>
      </w:r>
    </w:p>
    <w:p>
      <w: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
        <w:t>（2）材料、工程设备价格变化的价款调整按照发包人提供的基准价格，按以下风险范围规定执行:</w:t>
      </w:r>
    </w:p>
    <w:p>
      <w:r>
        <w:rPr>
          <w:rFonts w:hint="eastAsia"/>
        </w:rPr>
        <w:t>①</w:t>
      </w:r>
      <w: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r>
        <w:rPr>
          <w:rFonts w:hint="eastAsia"/>
        </w:rPr>
        <w:t>②</w:t>
      </w:r>
      <w: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r>
        <w:rPr>
          <w:rFonts w:hint="eastAsia"/>
        </w:rPr>
        <w:t>③</w:t>
      </w:r>
      <w:r>
        <w:t>承包人在已标价工程量清单或预算书中载明材料单价等于基准价格的：除专用合同条款另有约定外，合同履行期间材料单价涨跌幅以基准价格为基础超过±5%时，其超过部分据实调整。</w:t>
      </w:r>
    </w:p>
    <w:p>
      <w:r>
        <w:rPr>
          <w:rFonts w:hint="eastAsia"/>
        </w:rPr>
        <w:t>④</w:t>
      </w:r>
      <w: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r>
        <w:t>前述基准价格是指由发包人在招标文件或专用合同条款中给定的材料、工程设备的价格，该价格原则上应当按照省级或行业建设主管部门或其授权的工程造价管理机构发布的信息价编制。</w:t>
      </w:r>
    </w:p>
    <w:p>
      <w:r>
        <w:t>（3）施工机械台班单价或施工机械使用费发生变化超过省级或行业建设主管部门或其授权的工程造价管理机构规定的范围时，按规定调整合同价格。</w:t>
      </w:r>
    </w:p>
    <w:p>
      <w:r>
        <w:t>第3种方式：专用合同条款约定的其他方式。</w:t>
      </w:r>
    </w:p>
    <w:p>
      <w:bookmarkStart w:id="358" w:name="_Toc351203579"/>
      <w:bookmarkStart w:id="359" w:name="_Toc337558798"/>
      <w:bookmarkStart w:id="360" w:name="_Toc296346594"/>
      <w:bookmarkStart w:id="361" w:name="_Toc296503093"/>
      <w:r>
        <w:t>11.2法律变化引起的调整</w:t>
      </w:r>
      <w:bookmarkEnd w:id="358"/>
    </w:p>
    <w:bookmarkEnd w:id="359"/>
    <w:bookmarkEnd w:id="360"/>
    <w:bookmarkEnd w:id="361"/>
    <w:p>
      <w:r>
        <w:t>基准日</w:t>
      </w:r>
      <w:r>
        <w:rPr>
          <w:rFonts w:hint="eastAsia"/>
        </w:rPr>
        <w:t>期</w:t>
      </w:r>
      <w:r>
        <w:t>后，法律变化</w:t>
      </w:r>
      <w:r>
        <w:rPr>
          <w:rFonts w:hint="eastAsia"/>
        </w:rPr>
        <w:t>导致承包人在合同履行过程中所需要的费用发生除第11.1款〔市场价格波动引起的调整〕约定以外的增加时，由发包人承担由此增加的费用；减少时，应从合同价格中予以扣减。</w:t>
      </w:r>
      <w:r>
        <w:t>基准日</w:t>
      </w:r>
      <w:r>
        <w:rPr>
          <w:rFonts w:hint="eastAsia"/>
        </w:rPr>
        <w:t>期</w:t>
      </w:r>
      <w:r>
        <w:t>后，</w:t>
      </w:r>
      <w:r>
        <w:rPr>
          <w:rFonts w:hint="eastAsia"/>
        </w:rPr>
        <w:t>因</w:t>
      </w:r>
      <w:r>
        <w:t>法律变化</w:t>
      </w:r>
      <w:r>
        <w:rPr>
          <w:rFonts w:hint="eastAsia"/>
        </w:rPr>
        <w:t>造成工期延误时，工期应予以顺延。</w:t>
      </w:r>
    </w:p>
    <w:p>
      <w:r>
        <w:rPr>
          <w:rFonts w:hint="eastAsia"/>
        </w:rPr>
        <w:t>因法律变化引起的合同价格和工期调整，合同当事人无法达成一致的，由总监理工程师按第4.4款〔商定或确定〕的约定处理。</w:t>
      </w:r>
    </w:p>
    <w:p>
      <w:r>
        <w:t>因承包人原因造成工期延误，在工期延误期间出现法律变化的，由此增加的费用和（或）延误的工期由承包人承担。</w:t>
      </w:r>
    </w:p>
    <w:p>
      <w:bookmarkStart w:id="362" w:name="_Toc351203580"/>
      <w:bookmarkStart w:id="363" w:name="_Toc337558799"/>
      <w:bookmarkStart w:id="364" w:name="_Toc296346597"/>
      <w:bookmarkStart w:id="365" w:name="_Toc296503096"/>
      <w:r>
        <w:t>12. 合同价格、计量与支付</w:t>
      </w:r>
      <w:bookmarkEnd w:id="362"/>
    </w:p>
    <w:bookmarkEnd w:id="363"/>
    <w:p>
      <w:bookmarkStart w:id="366" w:name="_Toc351203581"/>
      <w:bookmarkStart w:id="367" w:name="_Toc337558800"/>
      <w:r>
        <w:t>12.1 合同价</w:t>
      </w:r>
      <w:bookmarkEnd w:id="364"/>
      <w:bookmarkEnd w:id="365"/>
      <w:r>
        <w:t>格形式</w:t>
      </w:r>
      <w:bookmarkEnd w:id="366"/>
    </w:p>
    <w:bookmarkEnd w:id="367"/>
    <w:p>
      <w:r>
        <w:t>发包人和承包人应在合同协议书中</w:t>
      </w:r>
      <w:r>
        <w:rPr>
          <w:rFonts w:hint="eastAsia"/>
        </w:rPr>
        <w:t>选择</w:t>
      </w:r>
      <w:r>
        <w:t xml:space="preserve">下列一种合同价格形式： </w:t>
      </w:r>
    </w:p>
    <w:p>
      <w:r>
        <w:t>1</w:t>
      </w:r>
      <w:r>
        <w:rPr>
          <w:rFonts w:hint="eastAsia"/>
        </w:rPr>
        <w:t>.</w:t>
      </w:r>
      <w:r>
        <w:t>单价合同</w:t>
      </w:r>
    </w:p>
    <w:p>
      <w: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w:t>
      </w:r>
      <w:r>
        <w:rPr>
          <w:rFonts w:hint="eastAsia"/>
        </w:rPr>
        <w:t>〔</w:t>
      </w:r>
      <w:r>
        <w:t>市场价格波动引起的调整</w:t>
      </w:r>
      <w:r>
        <w:rPr>
          <w:rFonts w:hint="eastAsia"/>
        </w:rPr>
        <w:t>〕</w:t>
      </w:r>
      <w:r>
        <w:t>约定执行。</w:t>
      </w:r>
    </w:p>
    <w:p>
      <w:r>
        <w:t>2</w:t>
      </w:r>
      <w:r>
        <w:rPr>
          <w:rFonts w:hint="eastAsia"/>
        </w:rPr>
        <w:t>.</w:t>
      </w:r>
      <w:r>
        <w:t>总价合同</w:t>
      </w:r>
    </w:p>
    <w:p>
      <w: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w:t>
      </w:r>
      <w:r>
        <w:rPr>
          <w:rFonts w:hint="eastAsia"/>
        </w:rPr>
        <w:t>〔</w:t>
      </w:r>
      <w:r>
        <w:t>市场价格波动引起的调整</w:t>
      </w:r>
      <w:r>
        <w:rPr>
          <w:rFonts w:hint="eastAsia"/>
        </w:rPr>
        <w:t>〕</w:t>
      </w:r>
      <w:r>
        <w:t>、因法律变化引起的调整按第11.2款</w:t>
      </w:r>
      <w:r>
        <w:rPr>
          <w:rFonts w:hint="eastAsia"/>
        </w:rPr>
        <w:t>〔</w:t>
      </w:r>
      <w:r>
        <w:t>法律变化引起的调整</w:t>
      </w:r>
      <w:r>
        <w:rPr>
          <w:rFonts w:hint="eastAsia"/>
        </w:rPr>
        <w:t>〕</w:t>
      </w:r>
      <w:r>
        <w:t>约定执行。</w:t>
      </w:r>
    </w:p>
    <w:p>
      <w:r>
        <w:t>3</w:t>
      </w:r>
      <w:r>
        <w:rPr>
          <w:rFonts w:hint="eastAsia"/>
        </w:rPr>
        <w:t>.</w:t>
      </w:r>
      <w:r>
        <w:t>其它价格形式</w:t>
      </w:r>
    </w:p>
    <w:p>
      <w:r>
        <w:t>合同当事人可在专用合同条款中约定其他合同价格形式。</w:t>
      </w:r>
    </w:p>
    <w:p>
      <w:bookmarkStart w:id="368" w:name="_Toc296346598"/>
      <w:bookmarkStart w:id="369" w:name="_Toc296503097"/>
      <w:bookmarkStart w:id="370" w:name="_Toc351203582"/>
      <w:bookmarkStart w:id="371" w:name="_Toc337558801"/>
      <w:r>
        <w:t>12.2预</w:t>
      </w:r>
      <w:bookmarkEnd w:id="368"/>
      <w:bookmarkEnd w:id="369"/>
      <w:bookmarkStart w:id="372" w:name="_Toc296503100"/>
      <w:bookmarkStart w:id="373" w:name="_Toc296346601"/>
      <w:r>
        <w:t>付款</w:t>
      </w:r>
      <w:bookmarkEnd w:id="370"/>
    </w:p>
    <w:bookmarkEnd w:id="371"/>
    <w:bookmarkEnd w:id="372"/>
    <w:bookmarkEnd w:id="373"/>
    <w:p>
      <w:r>
        <w:t>12.2.1预付款的支付</w:t>
      </w:r>
    </w:p>
    <w:p>
      <w:r>
        <w:t>预付款的支付按照专用合同条款约定执行，但至迟应在开工通知载明的开工日期7天前支付。预付款应当用于材料、工程设备、施工设备的采购及修建临时工程、组织施工队伍进场等。</w:t>
      </w:r>
    </w:p>
    <w:p>
      <w:r>
        <w:t>除专用合同条款另有约定外，预付款在进度付款中同比例扣回。在颁发工程接收证书前，提前解除合同的，尚未扣完的预付款应与合同价款一并结算。</w:t>
      </w:r>
    </w:p>
    <w:p>
      <w:r>
        <w:t>发包人逾期支付预付款超过7天的，承包人有权向发包人发出要求预付的催告通知，发包人收到通知后7天内仍未支付的，承包人有权暂停施工，并按第16.1.1项</w:t>
      </w:r>
      <w:r>
        <w:rPr>
          <w:rFonts w:hint="eastAsia"/>
        </w:rPr>
        <w:t>〔</w:t>
      </w:r>
      <w:r>
        <w:t>发包人违约的情形</w:t>
      </w:r>
      <w:r>
        <w:rPr>
          <w:rFonts w:hint="eastAsia"/>
        </w:rPr>
        <w:t>〕</w:t>
      </w:r>
      <w:r>
        <w:t>执行。</w:t>
      </w:r>
    </w:p>
    <w:p>
      <w:r>
        <w:t>12.2.2 预付款担保</w:t>
      </w:r>
    </w:p>
    <w:p>
      <w:r>
        <w:rPr>
          <w:rFonts w:hint="eastAsia"/>
        </w:rPr>
        <w:t>发包人要求承包人提供预付款担保的</w:t>
      </w:r>
      <w:r>
        <w:t>，承包人应在发包人支付预付款7天前提供预付款担保</w:t>
      </w:r>
      <w:r>
        <w:rPr>
          <w:rFonts w:hint="eastAsia"/>
        </w:rPr>
        <w:t>，</w:t>
      </w:r>
      <w:r>
        <w:t>专用合同条款另有约定</w:t>
      </w:r>
      <w:r>
        <w:rPr>
          <w:rFonts w:hint="eastAsia"/>
        </w:rPr>
        <w:t>除</w:t>
      </w:r>
      <w:r>
        <w:t>外。预付款担保可采用银行保函、担保公司担保等形式，具体由合同当事人在专用合同条款中约定。在预付款完全扣回之前，承包人应保证预付款担保持续有效。</w:t>
      </w:r>
    </w:p>
    <w:p>
      <w:r>
        <w:t>发包人在工程款中逐期扣回预付款后，预付款担保额度应相应减少，但剩余的预付款担保金额不得低于未被扣回的预付款金额。</w:t>
      </w:r>
    </w:p>
    <w:p>
      <w:bookmarkStart w:id="374" w:name="_Toc351203583"/>
      <w:bookmarkStart w:id="375" w:name="_Toc337558802"/>
      <w:r>
        <w:t>12.3计量</w:t>
      </w:r>
      <w:bookmarkEnd w:id="374"/>
    </w:p>
    <w:bookmarkEnd w:id="375"/>
    <w:p>
      <w:r>
        <w:t>12.3.1 计量原则</w:t>
      </w:r>
    </w:p>
    <w:p>
      <w:r>
        <w:t>工程量计量按照合同约定的工程量计算规则、图纸及变更指示</w:t>
      </w:r>
      <w:r>
        <w:rPr>
          <w:rFonts w:hint="eastAsia"/>
        </w:rPr>
        <w:t>等</w:t>
      </w:r>
      <w:r>
        <w:t>进行计量。工程量计算规则应以相关的国家标准、行业标准</w:t>
      </w:r>
      <w:r>
        <w:rPr>
          <w:rFonts w:hint="eastAsia"/>
        </w:rPr>
        <w:t>等</w:t>
      </w:r>
      <w:r>
        <w:t>为依据，由合同当事人在专用合同条款中约定。</w:t>
      </w:r>
    </w:p>
    <w:p>
      <w:r>
        <w:t>12.3.2 计量周期</w:t>
      </w:r>
    </w:p>
    <w:p>
      <w:r>
        <w:t>除专用合同条款另有约定外，工程量的计量按月进行。</w:t>
      </w:r>
    </w:p>
    <w:p>
      <w:r>
        <w:t>12.3.3 单价合同的计量</w:t>
      </w:r>
    </w:p>
    <w:p>
      <w:r>
        <w:t>除专用合同条款另有约定外，单价合同的计量按照本项约定执行：</w:t>
      </w:r>
    </w:p>
    <w:p>
      <w:r>
        <w:t>（1）承包人应于每月25日向监理人报送上月20日至当月19日已完成的工程量报告，并附具进度付款申请单、已完成工程量报表和有关资料。</w:t>
      </w:r>
    </w:p>
    <w:p>
      <w: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
        <w:t>（3）监理人未在收到承包人提交的工程量报表后的7天内完成审核的，承包人报送的工程量报告中的工程量视为承包人实际完成的工程量，据此计算工程价款。</w:t>
      </w:r>
    </w:p>
    <w:p>
      <w:r>
        <w:t>12.3.4 总价合同的计量</w:t>
      </w:r>
    </w:p>
    <w:p>
      <w:r>
        <w:t>除专用合同条款另有约定外，按</w:t>
      </w:r>
      <w:r>
        <w:rPr>
          <w:rFonts w:hint="eastAsia"/>
        </w:rPr>
        <w:t>月计量支付</w:t>
      </w:r>
      <w:r>
        <w:t>的总价合同，按照本项约定执行：</w:t>
      </w:r>
    </w:p>
    <w:p>
      <w:r>
        <w:t>（1）承包人应于每月25日向监理人报送上月20日至当月19日已完成的工程量报告，并附具进度付款申请单、已完成工程量报表和有关资料。</w:t>
      </w:r>
    </w:p>
    <w:p>
      <w: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
        <w:t>（3）监理人未在收到承包人提交的工程量报表后的7天内完成复核的，承包人提交的工程量报告中的工程量视为承包人实际完成的工程量。</w:t>
      </w:r>
    </w:p>
    <w:p>
      <w:r>
        <w:t>12.3.5 总价合同采用支付分解表计量支付的，可以按照第12.3.4项</w:t>
      </w:r>
      <w:r>
        <w:rPr>
          <w:rFonts w:hint="eastAsia"/>
        </w:rPr>
        <w:t>〔</w:t>
      </w:r>
      <w:r>
        <w:t>总价合同的计量</w:t>
      </w:r>
      <w:r>
        <w:rPr>
          <w:rFonts w:hint="eastAsia"/>
        </w:rPr>
        <w:t>〕</w:t>
      </w:r>
      <w:r>
        <w:t>约定进行计量，但合同价款按照支付分解表进行支付。</w:t>
      </w:r>
    </w:p>
    <w:p>
      <w:r>
        <w:t>12.3.6 其他价格形式合同的计量</w:t>
      </w:r>
    </w:p>
    <w:p>
      <w:r>
        <w:t>合同当事人可在专用合同条款中约定其他价格形式合同的计量方式和程序。</w:t>
      </w:r>
    </w:p>
    <w:p>
      <w:bookmarkStart w:id="376" w:name="_Toc296503101"/>
      <w:bookmarkStart w:id="377" w:name="_Toc296346602"/>
      <w:bookmarkStart w:id="378" w:name="_Toc351203584"/>
      <w:bookmarkStart w:id="379" w:name="_Toc337558803"/>
      <w:r>
        <w:t>12.4工程进度款支</w:t>
      </w:r>
      <w:bookmarkEnd w:id="376"/>
      <w:bookmarkEnd w:id="377"/>
      <w:r>
        <w:t>付</w:t>
      </w:r>
      <w:bookmarkEnd w:id="378"/>
    </w:p>
    <w:bookmarkEnd w:id="379"/>
    <w:p>
      <w:r>
        <w:t>12.4.1 付款周期</w:t>
      </w:r>
    </w:p>
    <w:p>
      <w:r>
        <w:t>除专用合同条款另有约定外，付款周期应按照第12.3.2</w:t>
      </w:r>
      <w:r>
        <w:rPr>
          <w:rFonts w:hint="eastAsia"/>
        </w:rPr>
        <w:t>项〔</w:t>
      </w:r>
      <w:r>
        <w:t>计量周期</w:t>
      </w:r>
      <w:r>
        <w:rPr>
          <w:rFonts w:hint="eastAsia"/>
        </w:rPr>
        <w:t>〕</w:t>
      </w:r>
      <w:r>
        <w:t>的约定与计量周期保持一致。</w:t>
      </w:r>
    </w:p>
    <w:p>
      <w:r>
        <w:t>12.4.2 进度付款申请单的编制</w:t>
      </w:r>
    </w:p>
    <w:p>
      <w:r>
        <w:t>除专用合同条款另有约定外，进度付款申请单应包括下列内容：</w:t>
      </w:r>
    </w:p>
    <w:p>
      <w:r>
        <w:t>（1）截至本次付款周期已完成工作对应的金额；</w:t>
      </w:r>
    </w:p>
    <w:p>
      <w:r>
        <w:t>（2）根据第10条</w:t>
      </w:r>
      <w:r>
        <w:rPr>
          <w:rFonts w:hint="eastAsia"/>
        </w:rPr>
        <w:t>〔</w:t>
      </w:r>
      <w:r>
        <w:t>变更</w:t>
      </w:r>
      <w:r>
        <w:rPr>
          <w:rFonts w:hint="eastAsia"/>
        </w:rPr>
        <w:t>〕</w:t>
      </w:r>
      <w:r>
        <w:t>应增加和扣减的变更金额；</w:t>
      </w:r>
    </w:p>
    <w:p>
      <w:r>
        <w:t>（3）根据第12.2款</w:t>
      </w:r>
      <w:r>
        <w:rPr>
          <w:rFonts w:hint="eastAsia"/>
        </w:rPr>
        <w:t>〔</w:t>
      </w:r>
      <w:r>
        <w:t>预付款</w:t>
      </w:r>
      <w:r>
        <w:rPr>
          <w:rFonts w:hint="eastAsia"/>
        </w:rPr>
        <w:t>〕</w:t>
      </w:r>
      <w:r>
        <w:t>约定应支付的预付款和扣减的返还预付款；</w:t>
      </w:r>
    </w:p>
    <w:p>
      <w:r>
        <w:t>（4）根据第15.3款</w:t>
      </w:r>
      <w:r>
        <w:rPr>
          <w:rFonts w:hint="eastAsia"/>
        </w:rPr>
        <w:t>〔</w:t>
      </w:r>
      <w:r>
        <w:t>质量保证金</w:t>
      </w:r>
      <w:r>
        <w:rPr>
          <w:rFonts w:hint="eastAsia"/>
        </w:rPr>
        <w:t>〕</w:t>
      </w:r>
      <w:r>
        <w:t>约定应扣减的质量保证金；</w:t>
      </w:r>
    </w:p>
    <w:p>
      <w:r>
        <w:t>（5）根据第19条</w:t>
      </w:r>
      <w:r>
        <w:rPr>
          <w:rFonts w:hint="eastAsia"/>
        </w:rPr>
        <w:t>〔</w:t>
      </w:r>
      <w:r>
        <w:t>索赔</w:t>
      </w:r>
      <w:r>
        <w:rPr>
          <w:rFonts w:hint="eastAsia"/>
        </w:rPr>
        <w:t>〕</w:t>
      </w:r>
      <w:r>
        <w:t>应增加和扣减的索赔金额；</w:t>
      </w:r>
    </w:p>
    <w:p>
      <w:r>
        <w:t>（6）对已签发的进度款支付证书中出现错误的修正，应在本次进度付款中支付或扣除的金额；</w:t>
      </w:r>
    </w:p>
    <w:p>
      <w:r>
        <w:t>（7）根据合同约定应增加和扣减的其他金额。</w:t>
      </w:r>
    </w:p>
    <w:p>
      <w:r>
        <w:t>12.4.3 进度付款申请单的提交</w:t>
      </w:r>
    </w:p>
    <w:p>
      <w:r>
        <w:t>（1）单价合同进度付款申请单的提交</w:t>
      </w:r>
    </w:p>
    <w:p>
      <w:r>
        <w:t>单价合同的进度付款申请单，按照第12.3.3项</w:t>
      </w:r>
      <w:r>
        <w:rPr>
          <w:rFonts w:hint="eastAsia"/>
        </w:rPr>
        <w:t>〔</w:t>
      </w:r>
      <w:r>
        <w:t>单价合同的计量</w:t>
      </w:r>
      <w:r>
        <w:rPr>
          <w:rFonts w:hint="eastAsia"/>
        </w:rPr>
        <w:t>〕</w:t>
      </w:r>
      <w:r>
        <w:t>约定的时间按月向监理人提交，并附上已完成工程量报表和有关资料。单价合同中的总价项目按月进行支付分解，并汇总列入当期进度付款申请单。</w:t>
      </w:r>
    </w:p>
    <w:p>
      <w:r>
        <w:t>（2）总价合同进度付款申请单的提交</w:t>
      </w:r>
    </w:p>
    <w:p>
      <w:r>
        <w:t>总价合同按</w:t>
      </w:r>
      <w:r>
        <w:rPr>
          <w:rFonts w:hint="eastAsia"/>
        </w:rPr>
        <w:t>月计量支付的</w:t>
      </w:r>
      <w:r>
        <w:t>，承包人按照第12.3.4项</w:t>
      </w:r>
      <w:r>
        <w:rPr>
          <w:rFonts w:hint="eastAsia"/>
        </w:rPr>
        <w:t>〔</w:t>
      </w:r>
      <w:r>
        <w:t>总价合同的计量</w:t>
      </w:r>
      <w:r>
        <w:rPr>
          <w:rFonts w:hint="eastAsia"/>
        </w:rPr>
        <w:t>〕</w:t>
      </w:r>
      <w:r>
        <w:t>约定的时间按月向监理人提交进度付款申请单，并附上已完成工程量报表和有关资料。</w:t>
      </w:r>
    </w:p>
    <w:p>
      <w:r>
        <w:t>总价合同按支付分解表支付的，承包人应按照第12.4.6项</w:t>
      </w:r>
      <w:r>
        <w:rPr>
          <w:rFonts w:hint="eastAsia"/>
        </w:rPr>
        <w:t>〔</w:t>
      </w:r>
      <w:r>
        <w:t>支付分解表</w:t>
      </w:r>
      <w:r>
        <w:rPr>
          <w:rFonts w:hint="eastAsia"/>
        </w:rPr>
        <w:t>〕</w:t>
      </w:r>
      <w:r>
        <w:t>及第12.4.2项</w:t>
      </w:r>
      <w:r>
        <w:rPr>
          <w:rFonts w:hint="eastAsia"/>
        </w:rPr>
        <w:t>〔</w:t>
      </w:r>
      <w:r>
        <w:t>进度付款申请单的编制</w:t>
      </w:r>
      <w:r>
        <w:rPr>
          <w:rFonts w:hint="eastAsia"/>
        </w:rPr>
        <w:t>〕</w:t>
      </w:r>
      <w:r>
        <w:t>的约定向监理人提交进度付款申请单。</w:t>
      </w:r>
    </w:p>
    <w:p>
      <w:r>
        <w:t>（3）其他价格形式合同的进度付款申请单的提交</w:t>
      </w:r>
    </w:p>
    <w:p>
      <w:r>
        <w:t>合同当事人可在专用合同条款中约定其他价格形式合同的进度付款申请单的编制和提交程序。</w:t>
      </w:r>
    </w:p>
    <w:p>
      <w:r>
        <w:t>12.4.4 进度款审核和支付</w:t>
      </w:r>
    </w:p>
    <w:p>
      <w: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rPr>
        <w:t>审批</w:t>
      </w:r>
      <w:r>
        <w:t>且未提出异议的，视为已签发进度款支付证书。</w:t>
      </w:r>
    </w:p>
    <w:p>
      <w: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rPr>
        <w:t>〔</w:t>
      </w:r>
      <w:r>
        <w:t>争议解决</w:t>
      </w:r>
      <w:r>
        <w:rPr>
          <w:rFonts w:hint="eastAsia"/>
        </w:rPr>
        <w:t>〕</w:t>
      </w:r>
      <w:r>
        <w:t>的约定处理。</w:t>
      </w:r>
    </w:p>
    <w:p>
      <w:r>
        <w:t>（2）除专用合同条款另有约定外，发包人应在进度款支付证书或临时进度款支付证书签发后14天内完成支付，发包人逾期支付进度款的，应按照中国人民银行发布的同期同类贷款基准利率支付违约金。</w:t>
      </w:r>
    </w:p>
    <w:p>
      <w:r>
        <w:t>（3）发包人签发进度款支付证书或临时进度款支付证书，不表明发包人已同意、批准或接受了承包人完成的相应部分的工作。</w:t>
      </w:r>
    </w:p>
    <w:p>
      <w:r>
        <w:t>12.4.5 进度付款的修正</w:t>
      </w:r>
    </w:p>
    <w:p>
      <w:r>
        <w:t>在对已签发的进度款支付证书进行阶段汇总和复核中发现错误、遗漏或重复的，发包人和承包人均有权提出修正申请。经发包人和承包人同意的修正，应在下期进度付款中支付或扣除。</w:t>
      </w:r>
    </w:p>
    <w:p>
      <w:r>
        <w:t>12.4.6 支付分解表</w:t>
      </w:r>
    </w:p>
    <w:p>
      <w:r>
        <w:t>1</w:t>
      </w:r>
      <w:r>
        <w:rPr>
          <w:rFonts w:hint="eastAsia"/>
        </w:rPr>
        <w:t>.</w:t>
      </w:r>
      <w:r>
        <w:t>支付分解表的编制要求</w:t>
      </w:r>
    </w:p>
    <w:p>
      <w:r>
        <w:t>（1）支付分解表中所列的每期付款金额，应为第12.4.2项</w:t>
      </w:r>
      <w:r>
        <w:rPr>
          <w:rFonts w:hint="eastAsia"/>
        </w:rPr>
        <w:t>〔</w:t>
      </w:r>
      <w:r>
        <w:t>进度付款申请单的编制</w:t>
      </w:r>
      <w:r>
        <w:rPr>
          <w:rFonts w:hint="eastAsia"/>
        </w:rPr>
        <w:t>〕</w:t>
      </w:r>
      <w:r>
        <w:t>第（1）</w:t>
      </w:r>
      <w:r>
        <w:rPr>
          <w:rFonts w:hint="eastAsia"/>
        </w:rPr>
        <w:t>目</w:t>
      </w:r>
      <w:r>
        <w:t>的估算金额；</w:t>
      </w:r>
    </w:p>
    <w:p>
      <w:r>
        <w:t>（2）实际进度与施工进度计划不一致的，合同当事人可按照第4.4款</w:t>
      </w:r>
      <w:r>
        <w:rPr>
          <w:rFonts w:hint="eastAsia"/>
        </w:rPr>
        <w:t>〔</w:t>
      </w:r>
      <w:r>
        <w:t>商定或确定</w:t>
      </w:r>
      <w:r>
        <w:rPr>
          <w:rFonts w:hint="eastAsia"/>
        </w:rPr>
        <w:t>〕</w:t>
      </w:r>
      <w:r>
        <w:t>修改支付分解表；</w:t>
      </w:r>
    </w:p>
    <w:p>
      <w:r>
        <w:t>（3）不采用支付分解表的，承包人应向发包人和监理人提交按季度编制的支付估算分解表，用于支付参考。</w:t>
      </w:r>
    </w:p>
    <w:p>
      <w:r>
        <w:t>2</w:t>
      </w:r>
      <w:r>
        <w:rPr>
          <w:rFonts w:hint="eastAsia"/>
        </w:rPr>
        <w:t>.</w:t>
      </w:r>
      <w:r>
        <w:t>总价合同支付分解表的编制与审批</w:t>
      </w:r>
    </w:p>
    <w:p>
      <w:r>
        <w:t>（1）除专用合同条款另有约定外，承包人应根据第7.2款</w:t>
      </w:r>
      <w:r>
        <w:rPr>
          <w:rFonts w:hint="eastAsia"/>
        </w:rPr>
        <w:t>〔</w:t>
      </w:r>
      <w:r>
        <w:t>施工进度计划</w:t>
      </w:r>
      <w:r>
        <w:rPr>
          <w:rFonts w:hint="eastAsia"/>
        </w:rPr>
        <w:t>〕</w:t>
      </w:r>
      <w: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r>
        <w:t>（2）监理人应在收到支付分解表后7天内完成审核并报送发包人。发包人应在收到经监理人审核的支付分解表后7天内完成审批，经发包人批准的支付分解表为有约束力的支付分解表。</w:t>
      </w:r>
    </w:p>
    <w:p>
      <w:r>
        <w:t xml:space="preserve">    （3）发包人逾期未完成支付分解表</w:t>
      </w:r>
      <w:r>
        <w:rPr>
          <w:rFonts w:hint="eastAsia"/>
        </w:rPr>
        <w:t>审批</w:t>
      </w:r>
      <w:r>
        <w:t>的，也未及时要求承包人进行修正和提供补充资料的，则承包人提交的支付分解表视为已经获得发包人批准。</w:t>
      </w:r>
    </w:p>
    <w:p>
      <w:r>
        <w:t>3</w:t>
      </w:r>
      <w:r>
        <w:rPr>
          <w:rFonts w:hint="eastAsia"/>
        </w:rPr>
        <w:t>.</w:t>
      </w:r>
      <w:r>
        <w:t>单价合同的总价项目支付分解表的编制与审批</w:t>
      </w:r>
    </w:p>
    <w:p>
      <w: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bookmarkStart w:id="380" w:name="_Toc351203585"/>
      <w:r>
        <w:t>12.5支付账户</w:t>
      </w:r>
      <w:bookmarkEnd w:id="380"/>
    </w:p>
    <w:p>
      <w:r>
        <w:t>发包人应将合同价款支付至合同协议书中约定的承包人账户。</w:t>
      </w:r>
    </w:p>
    <w:p>
      <w:bookmarkStart w:id="381" w:name="_Toc351203586"/>
      <w:bookmarkStart w:id="382" w:name="_Toc337558804"/>
      <w:bookmarkStart w:id="383" w:name="_Toc322522574"/>
      <w:bookmarkStart w:id="384" w:name="_Toc296346607"/>
      <w:bookmarkStart w:id="385" w:name="_Toc296503106"/>
      <w:r>
        <w:t>13. 验收和工程试车</w:t>
      </w:r>
      <w:bookmarkEnd w:id="381"/>
    </w:p>
    <w:bookmarkEnd w:id="382"/>
    <w:bookmarkEnd w:id="383"/>
    <w:bookmarkEnd w:id="384"/>
    <w:bookmarkEnd w:id="385"/>
    <w:p>
      <w:bookmarkStart w:id="386" w:name="_Toc351203587"/>
      <w:bookmarkStart w:id="387" w:name="_Toc337558805"/>
      <w:bookmarkStart w:id="388" w:name="_Toc296503110"/>
      <w:bookmarkStart w:id="389" w:name="_Toc296346611"/>
      <w:r>
        <w:t>13.1分部分项工程验收</w:t>
      </w:r>
      <w:bookmarkEnd w:id="386"/>
    </w:p>
    <w:bookmarkEnd w:id="387"/>
    <w:p>
      <w:r>
        <w:t>13.1.1 分部分项工程质量应符合国家有关工程施工验收规范、标准及合同约定，承包人应按照施工组织设计的要求完成分部分项工程施工。</w:t>
      </w:r>
    </w:p>
    <w:p>
      <w: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r>
        <w:t>分部分项工程的验收资料应当作为竣工资料的组成部分。</w:t>
      </w:r>
    </w:p>
    <w:p>
      <w:bookmarkStart w:id="390" w:name="_Toc351203588"/>
      <w:bookmarkStart w:id="391" w:name="_Toc337558806"/>
      <w:r>
        <w:t>13.2竣工验收</w:t>
      </w:r>
      <w:bookmarkEnd w:id="390"/>
    </w:p>
    <w:bookmarkEnd w:id="388"/>
    <w:bookmarkEnd w:id="389"/>
    <w:bookmarkEnd w:id="391"/>
    <w:p>
      <w:r>
        <w:t>13.2.1竣工验收条件</w:t>
      </w:r>
    </w:p>
    <w:p>
      <w:r>
        <w:t>工程具备以下条件的，承包人可以申请竣工验收：</w:t>
      </w:r>
    </w:p>
    <w:p>
      <w:r>
        <w:t>（1）除发包人同意的甩项</w:t>
      </w:r>
      <w:r>
        <w:rPr>
          <w:rFonts w:hint="eastAsia"/>
        </w:rPr>
        <w:t>工作</w:t>
      </w:r>
      <w:r>
        <w:t>和缺陷修补工作外，合同范围内的全部工程以及有关工作，包括合同要求的试验、试运行以及检验均已完成，并符合合同要求；</w:t>
      </w:r>
    </w:p>
    <w:p>
      <w:r>
        <w:t>（2）已按合同约定编制了甩项</w:t>
      </w:r>
      <w:r>
        <w:rPr>
          <w:rFonts w:hint="eastAsia"/>
        </w:rPr>
        <w:t>工作</w:t>
      </w:r>
      <w:r>
        <w:t>和缺陷修补工作清单以及相应的施工计划；</w:t>
      </w:r>
    </w:p>
    <w:p>
      <w:r>
        <w:t>（3）已按合同约定的内容和份数备齐竣工资料。</w:t>
      </w:r>
    </w:p>
    <w:p>
      <w:r>
        <w:t>13.2.2竣工验收程序</w:t>
      </w:r>
    </w:p>
    <w:p>
      <w:r>
        <w:t>除专用合同条款另有约定外，承包人申请竣工验收的，应当按照以下程序进行：</w:t>
      </w:r>
    </w:p>
    <w:p>
      <w: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r>
        <w:t>（2）监理人审查后认为已具备竣工验收条件的，应将竣工验收申请报告提交发包人，发包人应在收到</w:t>
      </w:r>
      <w:r>
        <w:rPr>
          <w:rFonts w:hint="eastAsia"/>
        </w:rPr>
        <w:t>经</w:t>
      </w:r>
      <w:r>
        <w:t>监理人审核的竣工验收申请报告后28天内</w:t>
      </w:r>
      <w:r>
        <w:rPr>
          <w:rFonts w:hint="eastAsia"/>
        </w:rPr>
        <w:t>审批</w:t>
      </w:r>
      <w:r>
        <w:t>完毕并组织监理人、承包人、设计人等相关单位完成竣工验收。</w:t>
      </w:r>
    </w:p>
    <w:p>
      <w:r>
        <w:t>（3）竣工验收合格的，发包人应在验收合格后14天内向承包人签发工程接收证书。发包人无正当理由逾期不颁发工程接收证书的，自验收合格后第15天起视为已颁发工程接收证书。</w:t>
      </w:r>
    </w:p>
    <w:p>
      <w: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
        <w:t>（5）工程未经验收或验收不合格，发包人擅自使用的，应在转移占有工程后7天内向承包人颁发工程接收证书；发包人无正当理由逾期不颁发工程接收证书的，自转移占有后第15天起视为已颁发工程接收证书。</w:t>
      </w:r>
    </w:p>
    <w:p>
      <w:r>
        <w:t>除专用合同条款另有约定外，发包人不按照本项约定组织竣工验收、颁发工程接收证书的，每逾期一天，应以签约合同价为基数，按照中国人民银行发布的同期同类贷款基准利率支付违约金。</w:t>
      </w:r>
    </w:p>
    <w:p>
      <w:r>
        <w:t>13.2.3竣工日期</w:t>
      </w:r>
    </w:p>
    <w:p>
      <w:r>
        <w:t>工程经竣工验收合格的，以承包人提交竣工验收申请报告之日为实际竣工日期，并在工程接收证书中载明；因发包人原因，未在监理人收到承包人提交的竣工验收申请报告42天内完成</w:t>
      </w:r>
      <w:r>
        <w:rPr>
          <w:rFonts w:hint="eastAsia"/>
        </w:rPr>
        <w:t>竣工</w:t>
      </w:r>
      <w:r>
        <w:t>验收</w:t>
      </w:r>
      <w:r>
        <w:rPr>
          <w:rFonts w:hint="eastAsia"/>
        </w:rPr>
        <w:t>，或完成竣工验收不予签发工程接收证书</w:t>
      </w:r>
      <w:r>
        <w:t>的，以提交竣工验</w:t>
      </w:r>
      <w:bookmarkStart w:id="392" w:name="#go14"/>
      <w:bookmarkEnd w:id="392"/>
      <w:r>
        <w:t>收申请报告的日期为实际竣工日期；工程未经竣工验收，发包人擅自使用的，以转移占有工程之日为实际竣工日期。</w:t>
      </w:r>
    </w:p>
    <w:p>
      <w:r>
        <w:t>13.2.4 拒绝接收全部或部分工程</w:t>
      </w:r>
    </w:p>
    <w:p>
      <w:r>
        <w:t>对于竣工验收不合格的工程，承包人完成整改后，</w:t>
      </w:r>
      <w:r>
        <w:rPr>
          <w:rFonts w:hint="eastAsia"/>
        </w:rPr>
        <w:t>应当</w:t>
      </w:r>
      <w: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r>
        <w:t>13.2.5 移交、接收全部与部分工程</w:t>
      </w:r>
    </w:p>
    <w:p>
      <w:r>
        <w:rPr>
          <w:rFonts w:hint="eastAsia"/>
        </w:rPr>
        <w:t>除专用合同条款另有约定外，</w:t>
      </w:r>
      <w:r>
        <w:t>合同当事人应当在颁发工程接收证书</w:t>
      </w:r>
      <w:r>
        <w:rPr>
          <w:rFonts w:hint="eastAsia"/>
        </w:rPr>
        <w:t>后7天内</w:t>
      </w:r>
      <w:r>
        <w:t>完成工程的移交。</w:t>
      </w:r>
    </w:p>
    <w:p>
      <w:r>
        <w:t>发包人无正当理由不接收工程的，发包人自</w:t>
      </w:r>
      <w:r>
        <w:rPr>
          <w:rFonts w:hint="eastAsia"/>
        </w:rPr>
        <w:t>应当接收工程</w:t>
      </w:r>
      <w:r>
        <w:t>之日起，承担工程照管、成品保护、保管等与工程有关的各项费用</w:t>
      </w:r>
      <w:r>
        <w:rPr>
          <w:rFonts w:hint="eastAsia"/>
        </w:rPr>
        <w:t>，合同当事人可以在专用合同条款中另行约定发包人逾期接收工程的违约责任</w:t>
      </w:r>
      <w:r>
        <w:t>。</w:t>
      </w:r>
    </w:p>
    <w:p>
      <w:r>
        <w:t>承包人无正当理由不移交工程的，</w:t>
      </w:r>
      <w:r>
        <w:rPr>
          <w:rFonts w:hint="eastAsia"/>
        </w:rPr>
        <w:t>承包人应承担</w:t>
      </w:r>
      <w:r>
        <w:t>工程照管、成品保护、保管等与工程有关的各项费用</w:t>
      </w:r>
      <w:r>
        <w:rPr>
          <w:rFonts w:hint="eastAsia"/>
        </w:rPr>
        <w:t>，合同当事人可以在专用合同条款中另行约定承包人无正当理由不移交工程的违约责任</w:t>
      </w:r>
      <w:r>
        <w:t>。</w:t>
      </w:r>
    </w:p>
    <w:p>
      <w:bookmarkStart w:id="393" w:name="_Toc351203589"/>
      <w:bookmarkStart w:id="394" w:name="_Toc296503111"/>
      <w:bookmarkStart w:id="395" w:name="_Toc337558807"/>
      <w:bookmarkStart w:id="396" w:name="_Toc296346612"/>
      <w:r>
        <w:t>13.3工程试车</w:t>
      </w:r>
      <w:bookmarkEnd w:id="393"/>
    </w:p>
    <w:bookmarkEnd w:id="394"/>
    <w:bookmarkEnd w:id="395"/>
    <w:bookmarkEnd w:id="396"/>
    <w:p>
      <w:r>
        <w:t>13.3.1试车程序</w:t>
      </w:r>
    </w:p>
    <w:p>
      <w:r>
        <w:t>工程需要试车的，除专用合同条款另有约定外，试车内容应与承包人承包范围相一致，试车费用由承包人承担。工程试车应按如下程序进行：</w:t>
      </w:r>
    </w:p>
    <w:p>
      <w: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r>
        <w:t>13.3.2 试车中的责任</w:t>
      </w:r>
    </w:p>
    <w:p>
      <w: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
        <w:t>13.3.3 投料试车</w:t>
      </w:r>
    </w:p>
    <w:p>
      <w:r>
        <w:rPr>
          <w:rFonts w:hint="eastAsia"/>
        </w:rPr>
        <w:t>如需进行投料试车的，</w:t>
      </w:r>
      <w:r>
        <w:t>发包人</w:t>
      </w:r>
      <w:r>
        <w:rPr>
          <w:rFonts w:hint="eastAsia"/>
        </w:rPr>
        <w:t>应在</w:t>
      </w:r>
      <w:r>
        <w:t>工程竣工验收后</w:t>
      </w:r>
      <w:r>
        <w:rPr>
          <w:rFonts w:hint="eastAsia"/>
        </w:rPr>
        <w:t>组织</w:t>
      </w:r>
      <w:r>
        <w:t>投料试车</w:t>
      </w:r>
      <w:r>
        <w:rPr>
          <w:rFonts w:hint="eastAsia"/>
        </w:rPr>
        <w:t>。</w:t>
      </w:r>
      <w:r>
        <w:t>发包人要求在工程竣工验收前进行或需要承包人配合时，应征得承包人同意</w:t>
      </w:r>
      <w:r>
        <w:rPr>
          <w:rFonts w:hint="eastAsia"/>
        </w:rPr>
        <w:t>，并在专用合同条款中约定有关事项</w:t>
      </w:r>
      <w:r>
        <w:t>。</w:t>
      </w:r>
    </w:p>
    <w:p>
      <w:r>
        <w:t>投料试车合格的，费用由发包人承担；因承包人原因造成投料试车不合格的，承包人应按照发包人要求进行整改，由此产生的整改费用由承包人承担；非因承包人原因导致投料试车不合格的，</w:t>
      </w:r>
      <w:r>
        <w:rPr>
          <w:rFonts w:hint="eastAsia"/>
        </w:rPr>
        <w:t>如</w:t>
      </w:r>
      <w:r>
        <w:t>发包人要求承包人进行整改</w:t>
      </w:r>
      <w:r>
        <w:rPr>
          <w:rFonts w:hint="eastAsia"/>
        </w:rPr>
        <w:t>的</w:t>
      </w:r>
      <w:r>
        <w:t>，由此产生的费用由发包人承担。</w:t>
      </w:r>
    </w:p>
    <w:p>
      <w:bookmarkStart w:id="397" w:name="_Toc337558808"/>
      <w:r>
        <w:t xml:space="preserve">    </w:t>
      </w:r>
      <w:bookmarkStart w:id="398" w:name="_Toc351203590"/>
      <w:r>
        <w:t>13.4提前交付单位工程的验收</w:t>
      </w:r>
      <w:bookmarkEnd w:id="398"/>
    </w:p>
    <w:bookmarkEnd w:id="397"/>
    <w:p>
      <w:r>
        <w:t>13.4.1 发包人需要在工程竣工前使用单位工程的，或承包人提出提前交付已经竣工的单位工程且经发包人同意的，可进行单位工程验收，验收的程序按照第13.2款</w:t>
      </w:r>
      <w:r>
        <w:rPr>
          <w:rFonts w:hint="eastAsia"/>
        </w:rPr>
        <w:t>〔</w:t>
      </w:r>
      <w:r>
        <w:t>竣工验收</w:t>
      </w:r>
      <w:r>
        <w:rPr>
          <w:rFonts w:hint="eastAsia"/>
        </w:rPr>
        <w:t>〕</w:t>
      </w:r>
      <w:r>
        <w:t>的约定进行。</w:t>
      </w:r>
    </w:p>
    <w:p>
      <w:r>
        <w:t>验收合格后，由监理人向承包人出具经发包人签认的单位工程接收证书。已签发单位工程接收证书的单位工程由发包人负责照管。单位工程的验收成果和结论作为整体工程竣工验收申请报告的附件。</w:t>
      </w:r>
    </w:p>
    <w:p>
      <w:r>
        <w:t>13.4.2 发包人要求在工程竣工前交付单位工程，由此导致承包人费用增加和（或）工期延误的，由发包人承担由此增加的费用和（或）延误的工期，并支付承包人合理的利润。</w:t>
      </w:r>
    </w:p>
    <w:p>
      <w:bookmarkStart w:id="399" w:name="_Toc351203591"/>
      <w:r>
        <w:t>13.5 施工期运行</w:t>
      </w:r>
      <w:bookmarkEnd w:id="399"/>
    </w:p>
    <w:p>
      <w:r>
        <w:t>13.5.1 施工期运行是指合同工程尚未全部竣工，其中某项或某几项单位工程或工程设备安装已竣工，根据专用合同条款约定，需要投入施工期运行的，经发包人按第13.4款</w:t>
      </w:r>
      <w:r>
        <w:rPr>
          <w:rFonts w:hint="eastAsia"/>
        </w:rPr>
        <w:t>〔</w:t>
      </w:r>
      <w:r>
        <w:t>提前交付单位工程的验收</w:t>
      </w:r>
      <w:r>
        <w:rPr>
          <w:rFonts w:hint="eastAsia"/>
        </w:rPr>
        <w:t>〕</w:t>
      </w:r>
      <w:r>
        <w:t>的约定验收合格，证明能确保安全后，才能在施工期投入运行。</w:t>
      </w:r>
    </w:p>
    <w:p>
      <w:r>
        <w:t>13.5.2 在施工期运行中发现工程或工程设备损坏或存在缺陷的，由承包人按第15.2款</w:t>
      </w:r>
      <w:r>
        <w:rPr>
          <w:rFonts w:hint="eastAsia"/>
        </w:rPr>
        <w:t>〔</w:t>
      </w:r>
      <w:r>
        <w:t>缺陷责任期</w:t>
      </w:r>
      <w:r>
        <w:rPr>
          <w:rFonts w:hint="eastAsia"/>
        </w:rPr>
        <w:t>〕</w:t>
      </w:r>
      <w:r>
        <w:t>约定进行修复。</w:t>
      </w:r>
    </w:p>
    <w:p>
      <w:bookmarkStart w:id="400" w:name="_Toc296503112"/>
      <w:bookmarkStart w:id="401" w:name="_Toc296346613"/>
      <w:bookmarkStart w:id="402" w:name="_Toc351203592"/>
      <w:bookmarkStart w:id="403" w:name="_Toc337558809"/>
      <w:r>
        <w:t>13.6 竣工退</w:t>
      </w:r>
      <w:bookmarkEnd w:id="400"/>
      <w:bookmarkEnd w:id="401"/>
      <w:r>
        <w:t>场</w:t>
      </w:r>
      <w:bookmarkEnd w:id="402"/>
    </w:p>
    <w:bookmarkEnd w:id="403"/>
    <w:p>
      <w:r>
        <w:t>13.6.1 竣工退场</w:t>
      </w:r>
    </w:p>
    <w:p>
      <w:r>
        <w:t>颁发工程接收证书后，承包人应按以下要求对施工现场进行清理：</w:t>
      </w:r>
    </w:p>
    <w:p>
      <w:r>
        <w:t>（1）施工现场内残留的垃圾已全部清除出场；</w:t>
      </w:r>
    </w:p>
    <w:p>
      <w:r>
        <w:t>（2）临时工程已拆除，场地已进行清理、平整或复原；</w:t>
      </w:r>
    </w:p>
    <w:p>
      <w:r>
        <w:t>（3）按合同约定应撤离的人员、承包人施工设备和剩余的材料，包括废弃的施工设备和材料，已按计划撤离施工现场；</w:t>
      </w:r>
    </w:p>
    <w:p>
      <w:r>
        <w:t>（4）施工现场周边及其附近道路、河道的施工堆积物，已全部清理；</w:t>
      </w:r>
    </w:p>
    <w:p>
      <w:r>
        <w:t>（5）施工现场其他场地清理工作已全部完成。</w:t>
      </w:r>
    </w:p>
    <w:p>
      <w: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
        <w:t>13.6.2 地表还原</w:t>
      </w:r>
    </w:p>
    <w:p>
      <w:r>
        <w:t>承包人应按发包人要求恢复临时占地及清理场地，承包人未按发包人的要求恢复临时占地，或者场地清理未达到合同约定要求的，发包人有权委托其他人恢复或清理，所发生的费用由承包人承担。</w:t>
      </w:r>
    </w:p>
    <w:p>
      <w:bookmarkStart w:id="404" w:name="_Toc351203593"/>
      <w:bookmarkStart w:id="405" w:name="_Toc337558810"/>
      <w:bookmarkStart w:id="406" w:name="_Toc296346614"/>
      <w:bookmarkStart w:id="407" w:name="_Toc296503113"/>
      <w:r>
        <w:t>14. 竣工结算</w:t>
      </w:r>
      <w:bookmarkEnd w:id="404"/>
    </w:p>
    <w:bookmarkEnd w:id="405"/>
    <w:p>
      <w:bookmarkStart w:id="408" w:name="_Toc351203594"/>
      <w:bookmarkStart w:id="409" w:name="_Toc337558811"/>
      <w:r>
        <w:t>14.1 竣工结算申请</w:t>
      </w:r>
      <w:bookmarkEnd w:id="408"/>
    </w:p>
    <w:bookmarkEnd w:id="409"/>
    <w:p>
      <w:r>
        <w:t>除专用合同条款另有约定外，承包人应在工程竣工验收合格后28天内向发包人和监理人提交竣工结算申请单，并提交完整的结算资料，</w:t>
      </w:r>
      <w:r>
        <w:rPr>
          <w:rFonts w:hint="eastAsia"/>
        </w:rPr>
        <w:t>有关</w:t>
      </w:r>
      <w:r>
        <w:t>竣工结算申请单</w:t>
      </w:r>
      <w:r>
        <w:rPr>
          <w:rFonts w:hint="eastAsia"/>
        </w:rPr>
        <w:t>的资料清单和</w:t>
      </w:r>
      <w:r>
        <w:t>份数</w:t>
      </w:r>
      <w:r>
        <w:rPr>
          <w:rFonts w:hint="eastAsia"/>
        </w:rPr>
        <w:t>等要求</w:t>
      </w:r>
      <w:r>
        <w:t>由合同当事人在专用合同条款中约定。</w:t>
      </w:r>
    </w:p>
    <w:p>
      <w:r>
        <w:t>除专用合同条款另有约定外，竣工结算申请单应包括以下内容：</w:t>
      </w:r>
    </w:p>
    <w:p>
      <w:r>
        <w:t>（1）竣工结算合同价格；</w:t>
      </w:r>
    </w:p>
    <w:p>
      <w:r>
        <w:t>（2）发包人已支付承包人的款项；</w:t>
      </w:r>
    </w:p>
    <w:p>
      <w:r>
        <w:t>（3）应扣留的质量保证金</w:t>
      </w:r>
      <w:r>
        <w:rPr>
          <w:rFonts w:hint="eastAsia"/>
        </w:rPr>
        <w:t>。已缴纳履约保证金的或提供其他工程质量担保方式的除外</w:t>
      </w:r>
      <w:r>
        <w:t xml:space="preserve">； </w:t>
      </w:r>
    </w:p>
    <w:p>
      <w:r>
        <w:t>（4）发包人应支付承包人的合同价款。</w:t>
      </w:r>
    </w:p>
    <w:p>
      <w:bookmarkStart w:id="410" w:name="_Toc351203595"/>
      <w:bookmarkStart w:id="411" w:name="_Toc337558812"/>
      <w:r>
        <w:t>14.2 竣工结算审核</w:t>
      </w:r>
      <w:bookmarkEnd w:id="410"/>
    </w:p>
    <w:bookmarkEnd w:id="411"/>
    <w:p>
      <w:r>
        <w:t>（1）除专用合同条款另有约定外，监理人应在收到竣工结算申请单后14天内完成核查并报送发包人。发包人应在收到监理人提交的经审核的竣工结算申请单后14天内完成</w:t>
      </w:r>
      <w:r>
        <w:rPr>
          <w:rFonts w:hint="eastAsia"/>
        </w:rPr>
        <w:t>审批</w:t>
      </w:r>
      <w:r>
        <w:t>，并由监理人向承包人签发经发包人签认的竣工付款证书。监理人或发包人对竣工结算申请单有异议的，有权要求承包人进行修正和提供补充资料，承包人应提交修正后的竣工结算申请单。</w:t>
      </w:r>
    </w:p>
    <w:p>
      <w:r>
        <w:t>发包人在收到承包人提交竣工结算申请书后28天</w:t>
      </w:r>
      <w:r>
        <w:rPr>
          <w:rFonts w:hint="eastAsia"/>
        </w:rPr>
        <w:t>内</w:t>
      </w:r>
      <w:r>
        <w:t>未完成</w:t>
      </w:r>
      <w:r>
        <w:rPr>
          <w:rFonts w:hint="eastAsia"/>
        </w:rPr>
        <w:t>审批</w:t>
      </w:r>
      <w:r>
        <w:t>且未提出异议的，视为发包人认可承包人提交的竣工结算申请单，并自发包人收到承包人提交的竣工结算申请单后第29天起视为已签发竣工付款证书。</w:t>
      </w:r>
    </w:p>
    <w:p>
      <w: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r>
        <w:t>（3）承包人对发包人签认的竣工付款证书有异议的，对于有异议部分应在收到发包人签认的竣工付款证书后7天内提出异议，并由合同当事人按照专用合同条款约定</w:t>
      </w:r>
      <w:r>
        <w:rPr>
          <w:rFonts w:hint="eastAsia"/>
        </w:rPr>
        <w:t>的方式和程序</w:t>
      </w:r>
      <w:r>
        <w:t>进行复核，或按照第20条</w:t>
      </w:r>
      <w:r>
        <w:rPr>
          <w:rFonts w:hint="eastAsia"/>
        </w:rPr>
        <w:t>〔</w:t>
      </w:r>
      <w:r>
        <w:t>争议解决</w:t>
      </w:r>
      <w:r>
        <w:rPr>
          <w:rFonts w:hint="eastAsia"/>
        </w:rPr>
        <w:t>〕</w:t>
      </w:r>
      <w:r>
        <w:t>约定处理。对于无异议部分，发包人应签发临时竣工付款证书，并按本款第（2）项完成付款</w:t>
      </w:r>
      <w:r>
        <w:rPr>
          <w:rFonts w:hint="eastAsia"/>
        </w:rPr>
        <w:t>。</w:t>
      </w:r>
      <w:r>
        <w:t>承包人逾期未提出异议的，视为认可发包人的</w:t>
      </w:r>
      <w:r>
        <w:rPr>
          <w:rFonts w:hint="eastAsia"/>
        </w:rPr>
        <w:t>审批</w:t>
      </w:r>
      <w:r>
        <w:t>结果。</w:t>
      </w:r>
    </w:p>
    <w:p>
      <w:bookmarkStart w:id="412" w:name="_Toc351203596"/>
      <w:bookmarkStart w:id="413" w:name="_Toc337558813"/>
      <w:r>
        <w:t>14.3 甩项竣工协议</w:t>
      </w:r>
      <w:bookmarkEnd w:id="412"/>
    </w:p>
    <w:bookmarkEnd w:id="413"/>
    <w:p>
      <w:r>
        <w:t>发包人要求甩项竣工的，合同当事人应签订甩项竣工协议。在甩项竣工协议中应明确，合同当事人按照第14.1款</w:t>
      </w:r>
      <w:r>
        <w:rPr>
          <w:rFonts w:hint="eastAsia"/>
        </w:rPr>
        <w:t>〔</w:t>
      </w:r>
      <w:r>
        <w:t>竣工</w:t>
      </w:r>
      <w:r>
        <w:rPr>
          <w:rFonts w:hint="eastAsia"/>
        </w:rPr>
        <w:t>结算</w:t>
      </w:r>
      <w:r>
        <w:t>申请</w:t>
      </w:r>
      <w:r>
        <w:rPr>
          <w:rFonts w:hint="eastAsia"/>
        </w:rPr>
        <w:t>〕</w:t>
      </w:r>
      <w:r>
        <w:t>及14.2款</w:t>
      </w:r>
      <w:r>
        <w:rPr>
          <w:rFonts w:hint="eastAsia"/>
        </w:rPr>
        <w:t>〔</w:t>
      </w:r>
      <w:r>
        <w:t>竣工结算审核</w:t>
      </w:r>
      <w:r>
        <w:rPr>
          <w:rFonts w:hint="eastAsia"/>
        </w:rPr>
        <w:t>〕</w:t>
      </w:r>
      <w:r>
        <w:t>的约定，</w:t>
      </w:r>
      <w:r>
        <w:rPr>
          <w:rFonts w:hint="eastAsia"/>
        </w:rPr>
        <w:t>对已</w:t>
      </w:r>
      <w:r>
        <w:t>完合格工程</w:t>
      </w:r>
      <w:r>
        <w:rPr>
          <w:rFonts w:hint="eastAsia"/>
        </w:rPr>
        <w:t>进行</w:t>
      </w:r>
      <w:r>
        <w:t>结算，并支付相应</w:t>
      </w:r>
      <w:r>
        <w:rPr>
          <w:rFonts w:hint="eastAsia"/>
        </w:rPr>
        <w:t>合同</w:t>
      </w:r>
      <w:r>
        <w:t>价款。</w:t>
      </w:r>
    </w:p>
    <w:p>
      <w:bookmarkStart w:id="414" w:name="_Toc351203597"/>
      <w:bookmarkStart w:id="415" w:name="_Toc337558814"/>
      <w:r>
        <w:t>14.4 最终结清</w:t>
      </w:r>
      <w:bookmarkEnd w:id="414"/>
    </w:p>
    <w:bookmarkEnd w:id="415"/>
    <w:p>
      <w:r>
        <w:t>14.4.1 最终结清申请单</w:t>
      </w:r>
    </w:p>
    <w:p>
      <w:r>
        <w:t>（1）除专用合同条款另有约定外，承包人应在缺陷责任期终止证书颁发后7天内，按专用合同条款约定的份数向发包人提交最终结清申请单，并提供相关证明材料。</w:t>
      </w:r>
    </w:p>
    <w:p>
      <w:r>
        <w:t>除专用合同条款另有约定外，最终结清申请单应列明质量保证金、应扣除的质量保证金、缺陷责任期内发生的增减费用。</w:t>
      </w:r>
    </w:p>
    <w:p>
      <w:r>
        <w:t>（2）发包人对最终结清申请单内容有异议的，有权要求承包人进行修正和提供补充资料，承包人应向发包人提交修正后的最终结清申请单。</w:t>
      </w:r>
    </w:p>
    <w:p>
      <w:r>
        <w:t>14.4.2 最终结清证书和支付</w:t>
      </w:r>
    </w:p>
    <w:p>
      <w:r>
        <w:t>（1）除专用合同条款另有约定外，发包人应在收到承包人提交的最终结清申请单后14天内完成审批并向承包人颁发最终结清证书。发包人逾期未完成</w:t>
      </w:r>
      <w:r>
        <w:rPr>
          <w:rFonts w:hint="eastAsia"/>
        </w:rPr>
        <w:t>审批</w:t>
      </w:r>
      <w:r>
        <w:t>，又未提出修改意见的，视为发包人同意承包人提交的最终结清申请单，且自发包人收到承包人提交的最终结清申请单后15天起视为已颁发最终结清证书。</w:t>
      </w:r>
    </w:p>
    <w:p>
      <w: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r>
        <w:t>（3）承包人对发包人颁发的最终结清证书有异议的，按第20条</w:t>
      </w:r>
      <w:r>
        <w:rPr>
          <w:rFonts w:hint="eastAsia"/>
        </w:rPr>
        <w:t>〔</w:t>
      </w:r>
      <w:r>
        <w:t>争议解决</w:t>
      </w:r>
      <w:r>
        <w:rPr>
          <w:rFonts w:hint="eastAsia"/>
        </w:rPr>
        <w:t>〕</w:t>
      </w:r>
      <w:r>
        <w:t>的约定办理。</w:t>
      </w:r>
    </w:p>
    <w:p>
      <w:bookmarkStart w:id="416" w:name="_Toc351203598"/>
      <w:bookmarkStart w:id="417" w:name="_Toc337558815"/>
      <w:r>
        <w:t>15. 缺陷责任与保修</w:t>
      </w:r>
      <w:bookmarkEnd w:id="416"/>
    </w:p>
    <w:bookmarkEnd w:id="406"/>
    <w:bookmarkEnd w:id="407"/>
    <w:bookmarkEnd w:id="417"/>
    <w:p>
      <w:bookmarkStart w:id="418" w:name="_Toc351203599"/>
      <w:bookmarkStart w:id="419" w:name="_Toc337558816"/>
      <w:bookmarkStart w:id="420" w:name="_Toc296503114"/>
      <w:bookmarkStart w:id="421" w:name="_Toc296346615"/>
      <w:r>
        <w:t>15.1 工程保修的原则</w:t>
      </w:r>
      <w:bookmarkEnd w:id="418"/>
    </w:p>
    <w:bookmarkEnd w:id="419"/>
    <w:p>
      <w:r>
        <w:t>在工程移交发包人后，因承包人原因产生的质量缺陷，承包人应承担质量缺陷责任和保修义务。缺陷责任期届满，承包人仍应按合同约定的工程各部位保修年限承担保修义务。</w:t>
      </w:r>
    </w:p>
    <w:p>
      <w:bookmarkStart w:id="422" w:name="_Toc351203600"/>
      <w:bookmarkStart w:id="423" w:name="_Toc337558817"/>
      <w:r>
        <w:t>15.2 缺陷责任期</w:t>
      </w:r>
      <w:bookmarkEnd w:id="420"/>
      <w:bookmarkEnd w:id="421"/>
      <w:bookmarkEnd w:id="422"/>
    </w:p>
    <w:bookmarkEnd w:id="423"/>
    <w:p>
      <w:r>
        <w:t>15.2.1 缺陷责任期</w:t>
      </w:r>
      <w:r>
        <w:rPr>
          <w:rFonts w:hint="eastAsia"/>
        </w:rPr>
        <w:t>从工程通过竣工验收之日</w:t>
      </w:r>
      <w:r>
        <w:t>起计算，合同当事人应在专用合同条款约定缺陷责任期的具体期限，但该期限最长不超过24个月。</w:t>
      </w:r>
    </w:p>
    <w:p>
      <w:r>
        <w:t>单位工程先于全部工程进行验收，经验收合格并交付使用的，该单位工程缺陷责任期自单位工程验收合格之日起算。</w:t>
      </w:r>
      <w:r>
        <w:rPr>
          <w:rFonts w:hint="eastAsia"/>
        </w:rPr>
        <w:t>因承包人原因导致工程无法按合同约定期限进行竣工验收的，缺陷责任期从实际通过竣工验收之日起计算。</w:t>
      </w:r>
      <w:r>
        <w:t>因发包人原因导致工程无法按合同约定期限进行竣工验收的，</w:t>
      </w:r>
      <w:r>
        <w:rPr>
          <w:rFonts w:hint="eastAsia"/>
        </w:rPr>
        <w:t>在承包人提交竣工验收报告90天后，工程自动进入缺陷责任期</w:t>
      </w:r>
      <w:r>
        <w:t>；发包人未经竣工验收擅自使用工程的，缺陷责任期自工程转移占有之日起开始计算。</w:t>
      </w:r>
    </w:p>
    <w:p>
      <w:r>
        <w:t>15.2.2</w:t>
      </w:r>
      <w:r>
        <w:rPr>
          <w:rFonts w:hint="eastAsia"/>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t>发包人有权要求承包人延长缺陷责任期，并应在原缺陷责任期届满前发出延长通知</w:t>
      </w:r>
      <w:r>
        <w:rPr>
          <w:rFonts w:hint="eastAsia"/>
        </w:rPr>
        <w:t>。</w:t>
      </w:r>
      <w:r>
        <w:t>但缺陷责任期</w:t>
      </w:r>
      <w:r>
        <w:rPr>
          <w:rFonts w:hint="eastAsia"/>
        </w:rPr>
        <w:t>（含延长部分）</w:t>
      </w:r>
      <w:r>
        <w:t>最长不能超过24个月。</w:t>
      </w:r>
    </w:p>
    <w:p>
      <w:r>
        <w:rPr>
          <w:rFonts w:hint="eastAsia"/>
        </w:rPr>
        <w:t>由他人原因造成的缺陷，发包人负责组织维修，承包人不承担费用，且发包人不得从保证金中扣除费用。</w:t>
      </w:r>
    </w:p>
    <w:p>
      <w:r>
        <w:t>15.2.3 任何一项缺陷或损坏修复后，经检查证明其影响了工程或工程设备的使用性能，承包人应重新进行合同约定的试验和试运行，试验和试运行的全部费用应由责任方承担。</w:t>
      </w:r>
    </w:p>
    <w:p>
      <w:r>
        <w:t>15.2.4</w:t>
      </w:r>
      <w:r>
        <w:rPr>
          <w:rFonts w:hint="eastAsia"/>
        </w:rPr>
        <w:t xml:space="preserve"> </w:t>
      </w:r>
      <w:r>
        <w:t>除专用合同条款另有约定外，承包人应于缺陷责任期届满后7天内向发包人发出缺陷责任期</w:t>
      </w:r>
      <w:r>
        <w:rPr>
          <w:rFonts w:hint="eastAsia"/>
        </w:rPr>
        <w:t>届</w:t>
      </w:r>
      <w:r>
        <w:t>满通知，发包人应在</w:t>
      </w:r>
      <w:r>
        <w:rPr>
          <w:rFonts w:hint="eastAsia"/>
        </w:rPr>
        <w:t>收</w:t>
      </w:r>
      <w:r>
        <w:t>到缺陷责任期满通知后14天内核实承包人是否履行缺陷</w:t>
      </w:r>
      <w:r>
        <w:rPr>
          <w:rFonts w:hint="eastAsia"/>
        </w:rPr>
        <w:t>修复</w:t>
      </w:r>
      <w:r>
        <w:t>义务，承包人未能履行缺陷</w:t>
      </w:r>
      <w:r>
        <w:rPr>
          <w:rFonts w:hint="eastAsia"/>
        </w:rPr>
        <w:t>修复</w:t>
      </w:r>
      <w:r>
        <w:t>义务的，发包人有权扣除相应金额的维修费用。发包人应在</w:t>
      </w:r>
      <w:r>
        <w:rPr>
          <w:rFonts w:hint="eastAsia"/>
        </w:rPr>
        <w:t>收到</w:t>
      </w:r>
      <w:r>
        <w:t>缺陷责任期</w:t>
      </w:r>
      <w:r>
        <w:rPr>
          <w:rFonts w:hint="eastAsia"/>
        </w:rPr>
        <w:t>届</w:t>
      </w:r>
      <w:r>
        <w:t>满</w:t>
      </w:r>
      <w:r>
        <w:rPr>
          <w:rFonts w:hint="eastAsia"/>
        </w:rPr>
        <w:t>通知后</w:t>
      </w:r>
      <w:r>
        <w:t>14天内，向承包人颁发缺陷责任期终止证</w:t>
      </w:r>
      <w:r>
        <w:rPr>
          <w:rFonts w:hint="eastAsia"/>
        </w:rPr>
        <w:t>书</w:t>
      </w:r>
      <w:r>
        <w:t>。</w:t>
      </w:r>
    </w:p>
    <w:p>
      <w:bookmarkStart w:id="424" w:name="_Toc351203601"/>
      <w:bookmarkStart w:id="425" w:name="_Toc337558818"/>
      <w:bookmarkStart w:id="426" w:name="_Toc296346616"/>
      <w:bookmarkStart w:id="427" w:name="_Toc296503115"/>
      <w:r>
        <w:t>15.3 质量保证金</w:t>
      </w:r>
      <w:bookmarkEnd w:id="424"/>
    </w:p>
    <w:bookmarkEnd w:id="425"/>
    <w:p>
      <w:r>
        <w:rPr>
          <w:rFonts w:hint="eastAsia"/>
        </w:rPr>
        <w:t>经合同当事人协商一致扣留质量保证金的，应在专用合同条款中予以明确。</w:t>
      </w:r>
    </w:p>
    <w:p>
      <w:r>
        <w:rPr>
          <w:rFonts w:hint="eastAsia"/>
        </w:rPr>
        <w:t>在工程项目竣工前，承包人已经提供履约担保的，发包人不得同时预留工程质量保证金。</w:t>
      </w:r>
    </w:p>
    <w:p/>
    <w:p>
      <w:r>
        <w:t xml:space="preserve">15.3.1 </w:t>
      </w:r>
      <w:r>
        <w:rPr>
          <w:rFonts w:hint="eastAsia"/>
        </w:rPr>
        <w:t>承包人提供</w:t>
      </w:r>
      <w:r>
        <w:t>质量保证金的</w:t>
      </w:r>
      <w:r>
        <w:rPr>
          <w:rFonts w:hint="eastAsia"/>
        </w:rPr>
        <w:t>方</w:t>
      </w:r>
      <w:r>
        <w:t>式</w:t>
      </w:r>
    </w:p>
    <w:p>
      <w:r>
        <w:rPr>
          <w:rFonts w:hint="eastAsia"/>
        </w:rPr>
        <w:t>承包人提供</w:t>
      </w:r>
      <w:r>
        <w:t>质量保证金</w:t>
      </w:r>
      <w:r>
        <w:rPr>
          <w:rFonts w:hint="eastAsia"/>
        </w:rPr>
        <w:t>有</w:t>
      </w:r>
      <w:r>
        <w:t>以下</w:t>
      </w:r>
      <w:r>
        <w:rPr>
          <w:rFonts w:hint="eastAsia"/>
        </w:rPr>
        <w:t>三种方</w:t>
      </w:r>
      <w:r>
        <w:t>式：</w:t>
      </w:r>
    </w:p>
    <w:p>
      <w:r>
        <w:t xml:space="preserve">（1）质量保证金保函； </w:t>
      </w:r>
    </w:p>
    <w:p>
      <w:r>
        <w:rPr>
          <w:rFonts w:hint="eastAsia"/>
        </w:rPr>
        <w:t>（</w:t>
      </w:r>
      <w:r>
        <w:t>2）相应比例的工程款；</w:t>
      </w:r>
    </w:p>
    <w:p>
      <w:r>
        <w:t>（3）双方约定的其他</w:t>
      </w:r>
      <w:r>
        <w:rPr>
          <w:rFonts w:hint="eastAsia"/>
        </w:rPr>
        <w:t>方</w:t>
      </w:r>
      <w:r>
        <w:t>式。</w:t>
      </w:r>
    </w:p>
    <w:p>
      <w:r>
        <w:t>除专用合同条款另有约定外，质量保证金</w:t>
      </w:r>
      <w:r>
        <w:rPr>
          <w:rFonts w:hint="eastAsia"/>
        </w:rPr>
        <w:t>原则上</w:t>
      </w:r>
      <w:r>
        <w:t>采</w:t>
      </w:r>
      <w:r>
        <w:rPr>
          <w:rFonts w:hint="eastAsia"/>
        </w:rPr>
        <w:t>用上述</w:t>
      </w:r>
      <w:r>
        <w:t>第（1）种</w:t>
      </w:r>
      <w:r>
        <w:rPr>
          <w:rFonts w:hint="eastAsia"/>
        </w:rPr>
        <w:t>方式。</w:t>
      </w:r>
    </w:p>
    <w:p>
      <w:r>
        <w:t>15.3.2 质量保证金的扣留</w:t>
      </w:r>
    </w:p>
    <w:p>
      <w:r>
        <w:t>质量保证金</w:t>
      </w:r>
      <w:r>
        <w:rPr>
          <w:rFonts w:hint="eastAsia"/>
        </w:rPr>
        <w:t>的</w:t>
      </w:r>
      <w:r>
        <w:t>扣留</w:t>
      </w:r>
      <w:r>
        <w:rPr>
          <w:rFonts w:hint="eastAsia"/>
        </w:rPr>
        <w:t>有</w:t>
      </w:r>
      <w:r>
        <w:t>以下</w:t>
      </w:r>
      <w:r>
        <w:rPr>
          <w:rFonts w:hint="eastAsia"/>
        </w:rPr>
        <w:t>三</w:t>
      </w:r>
      <w:r>
        <w:t>种</w:t>
      </w:r>
      <w:r>
        <w:rPr>
          <w:rFonts w:hint="eastAsia"/>
        </w:rPr>
        <w:t>方式</w:t>
      </w:r>
      <w:r>
        <w:t>：</w:t>
      </w:r>
    </w:p>
    <w:p>
      <w:r>
        <w:t>（1）在支付工程进度款时逐次扣留，在此情形下，质量保证金的计算基数不包括预付款的支付、扣回以及价格调整的金额；</w:t>
      </w:r>
    </w:p>
    <w:p>
      <w:r>
        <w:t>（2）工</w:t>
      </w:r>
      <w:bookmarkStart w:id="428" w:name="#go6"/>
      <w:bookmarkEnd w:id="428"/>
      <w:r>
        <w:t>程竣工结算时一次性扣留质量保证金；</w:t>
      </w:r>
    </w:p>
    <w:p>
      <w:r>
        <w:t>（3）双方约定的其他扣留方式。</w:t>
      </w:r>
    </w:p>
    <w:p>
      <w:r>
        <w:t>除专用合同条款另有约定外，质量保证金</w:t>
      </w:r>
      <w:r>
        <w:rPr>
          <w:rFonts w:hint="eastAsia"/>
        </w:rPr>
        <w:t>的</w:t>
      </w:r>
      <w:r>
        <w:t>扣留</w:t>
      </w:r>
      <w:r>
        <w:rPr>
          <w:rFonts w:hint="eastAsia"/>
        </w:rPr>
        <w:t>原则上</w:t>
      </w:r>
      <w:r>
        <w:t>采</w:t>
      </w:r>
      <w:r>
        <w:rPr>
          <w:rFonts w:hint="eastAsia"/>
        </w:rPr>
        <w:t>用上述</w:t>
      </w:r>
      <w:r>
        <w:t>第（1）种方式</w:t>
      </w:r>
      <w:r>
        <w:rPr>
          <w:rFonts w:hint="eastAsia"/>
        </w:rPr>
        <w:t>。</w:t>
      </w:r>
    </w:p>
    <w:p>
      <w:r>
        <w:t>发</w:t>
      </w:r>
      <w:bookmarkStart w:id="429" w:name="#go4"/>
      <w:bookmarkEnd w:id="429"/>
      <w:r>
        <w:t>包人累计扣留的质量保证金不得超过</w:t>
      </w:r>
      <w:r>
        <w:rPr>
          <w:rFonts w:hint="eastAsia"/>
        </w:rPr>
        <w:t>工程价款结算总额</w:t>
      </w:r>
      <w:r>
        <w:t>的3%</w:t>
      </w:r>
      <w:r>
        <w:rPr>
          <w:rFonts w:hint="eastAsia"/>
        </w:rPr>
        <w:t>。如</w:t>
      </w:r>
      <w:r>
        <w:t>承包人在发包人签发竣工付款证书后28天内提交质量保证金保函，发包人应同时退还扣留的作为质量保证金的工程价款</w:t>
      </w:r>
      <w:r>
        <w:rPr>
          <w:rFonts w:hint="eastAsia"/>
        </w:rPr>
        <w:t>；保函金额不得超过工程价款结算总额的3%</w:t>
      </w:r>
      <w:r>
        <w:t>。</w:t>
      </w:r>
    </w:p>
    <w:p>
      <w:r>
        <w:rPr>
          <w:rFonts w:hint="eastAsia"/>
        </w:rPr>
        <w:t>发包人在退还质量保证金的同时</w:t>
      </w:r>
      <w:r>
        <w:t>按照中国人民银行发布的同期同类贷款基准利率支付</w:t>
      </w:r>
      <w:r>
        <w:rPr>
          <w:rFonts w:hint="eastAsia"/>
        </w:rPr>
        <w:t>利息。</w:t>
      </w:r>
    </w:p>
    <w:p>
      <w:r>
        <w:t>15.3.3 质量保证金的退还</w:t>
      </w:r>
    </w:p>
    <w:p>
      <w:r>
        <w:rPr>
          <w:rFonts w:hint="eastAsia"/>
        </w:rPr>
        <w:t>缺陷责任期内，承包人认真履行合同约定的责任，到期后，承包人可向发包人申请返还保证金。</w:t>
      </w:r>
    </w:p>
    <w:p>
      <w:r>
        <w:rPr>
          <w:rFonts w:hint="eastAsia"/>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r>
        <w:rPr>
          <w:rFonts w:hint="eastAsia"/>
        </w:rPr>
        <w:t>发包人和承包人对保证金预留、返还以及工程维修质量、费用有争议的，按本合同第20条约定的争议和纠纷解决程序处理</w:t>
      </w:r>
      <w:r>
        <w:t>。</w:t>
      </w:r>
    </w:p>
    <w:p>
      <w:bookmarkStart w:id="430" w:name="_Toc351203602"/>
      <w:bookmarkStart w:id="431" w:name="_Toc337558819"/>
      <w:r>
        <w:t>15.4 保修</w:t>
      </w:r>
      <w:bookmarkEnd w:id="430"/>
    </w:p>
    <w:bookmarkEnd w:id="426"/>
    <w:bookmarkEnd w:id="427"/>
    <w:bookmarkEnd w:id="431"/>
    <w:p>
      <w:r>
        <w:t>15.4.1保修责任</w:t>
      </w:r>
    </w:p>
    <w:p>
      <w: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
        <w:t>发包人未经竣工验收擅自使用工程的，保修期自转移占有之日起算。</w:t>
      </w:r>
    </w:p>
    <w:p>
      <w:r>
        <w:t>15.4.2 修复费用</w:t>
      </w:r>
    </w:p>
    <w:p>
      <w:r>
        <w:t>保修期内，修复的费用按照以下约定处理：</w:t>
      </w:r>
    </w:p>
    <w:p>
      <w:r>
        <w:t>（1）保修期内，因承包人原因造成工程的缺陷、损坏，承包人应负责修复，并承担修复的费用以及因工程的缺陷、损坏造成的人身伤害和财产损失；</w:t>
      </w:r>
    </w:p>
    <w:p>
      <w:r>
        <w:t>（2）保修期内，因发包人使用不当造成工程的缺陷、损坏，可以委托承包人修复，但发包人应承担修复的费用，并支付承包人合理利润；</w:t>
      </w:r>
    </w:p>
    <w:p>
      <w:r>
        <w:t>（3）因其他原因造成工程的缺陷、损坏，可以委托承包人修复，发包人应承担修复的费用，并支付承包人合理的利润，因工程的缺陷、损坏造成的人身伤害和财产损失由责任方承担。</w:t>
      </w:r>
    </w:p>
    <w:p>
      <w:r>
        <w:t>15.4.3 修复通知</w:t>
      </w:r>
    </w:p>
    <w:p>
      <w: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r>
        <w:t>15.4.4 未能修复</w:t>
      </w:r>
    </w:p>
    <w:p>
      <w: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rPr>
        <w:t>但修复范围超出缺陷或损坏范围的，超出范围部分的修复费用由发包人承担。</w:t>
      </w:r>
    </w:p>
    <w:p>
      <w:r>
        <w:t>15.4.5 承包人出入权</w:t>
      </w:r>
    </w:p>
    <w:p>
      <w: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bookmarkStart w:id="432" w:name="_Toc351203603"/>
      <w:bookmarkStart w:id="433" w:name="_Toc337558820"/>
      <w:r>
        <w:t>16. 违约</w:t>
      </w:r>
      <w:bookmarkEnd w:id="432"/>
    </w:p>
    <w:bookmarkEnd w:id="433"/>
    <w:p>
      <w:bookmarkStart w:id="434" w:name="_Toc296503129"/>
      <w:bookmarkStart w:id="435" w:name="_Toc296346630"/>
      <w:bookmarkStart w:id="436" w:name="_Toc351203604"/>
      <w:bookmarkStart w:id="437" w:name="_Toc337558821"/>
      <w:r>
        <w:t>16.1 发</w:t>
      </w:r>
      <w:bookmarkEnd w:id="434"/>
      <w:bookmarkEnd w:id="435"/>
      <w:r>
        <w:t>包人违约</w:t>
      </w:r>
      <w:bookmarkEnd w:id="436"/>
    </w:p>
    <w:bookmarkEnd w:id="437"/>
    <w:p>
      <w:r>
        <w:t>16.1.1 发包人违约的情形</w:t>
      </w:r>
    </w:p>
    <w:p>
      <w:r>
        <w:t>在合同履行过程中发生的下列情形，属于发包人违约：</w:t>
      </w:r>
    </w:p>
    <w:p>
      <w:r>
        <w:t>（1）因发包人原因未能在计划开工日期前7天内下达开工通知的；</w:t>
      </w:r>
    </w:p>
    <w:p>
      <w:r>
        <w:t>（2）因发包人原因未能按合同约定支付合同价款的；</w:t>
      </w:r>
    </w:p>
    <w:p>
      <w:r>
        <w:t>（3）发包人违反第10.1款</w:t>
      </w:r>
      <w:r>
        <w:rPr>
          <w:rFonts w:hint="eastAsia"/>
        </w:rPr>
        <w:t>〔</w:t>
      </w:r>
      <w:r>
        <w:t>变更的范围</w:t>
      </w:r>
      <w:r>
        <w:rPr>
          <w:rFonts w:hint="eastAsia"/>
        </w:rPr>
        <w:t>〕</w:t>
      </w:r>
      <w:r>
        <w:t>第（2）项约定，自行实施被取消的工作或转由他人实施的；</w:t>
      </w:r>
    </w:p>
    <w:p>
      <w:r>
        <w:t>（4）发包人提供的材料、工程设备的规格、数量或质量不符合合同约定，或因发包人原因导致交货日期延误或交货地点变更等情况的；</w:t>
      </w:r>
    </w:p>
    <w:p>
      <w:r>
        <w:t>（5）因发包人违反合同约定造成暂停施工的；</w:t>
      </w:r>
    </w:p>
    <w:p>
      <w:r>
        <w:t>（6）发包人无正当理由没有在约定期限内发出复工指示，导致承包人无法复工的；</w:t>
      </w:r>
    </w:p>
    <w:p>
      <w:r>
        <w:t>（7）发包人明确表示或者以其行为表明不履行合同主要义务的；</w:t>
      </w:r>
    </w:p>
    <w:p>
      <w:r>
        <w:t>（8）发包人未能按照合同约定履行其他义务的。</w:t>
      </w:r>
    </w:p>
    <w:p>
      <w: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r>
        <w:t>16.1.2 发包人违约的责任</w:t>
      </w:r>
    </w:p>
    <w:p>
      <w:r>
        <w:t>发包人应承担因其违约给承包人增加的费用和（或）延误的工期，并支付承包人合理的利润。此外，合同当事人可在专用合同条款中另行约定发包人违约责任的承担方式和计算方法。</w:t>
      </w:r>
    </w:p>
    <w:p>
      <w:r>
        <w:t>16.1.3 因发包人违约解除合同</w:t>
      </w:r>
    </w:p>
    <w:p>
      <w:r>
        <w:t>除专用合同条款另有约定外，承包人按第16.1.1项</w:t>
      </w:r>
      <w:r>
        <w:rPr>
          <w:rFonts w:hint="eastAsia"/>
        </w:rPr>
        <w:t>〔</w:t>
      </w:r>
      <w:r>
        <w:t>发包人违约的情形</w:t>
      </w:r>
      <w:r>
        <w:rPr>
          <w:rFonts w:hint="eastAsia"/>
        </w:rPr>
        <w:t>〕</w:t>
      </w:r>
      <w:r>
        <w:t>约定暂停施工满28天后</w:t>
      </w:r>
      <w:r>
        <w:rPr>
          <w:rFonts w:hint="eastAsia"/>
        </w:rPr>
        <w:t>，</w:t>
      </w:r>
      <w:r>
        <w:t>发包人仍不纠正其违约行为并致使合同目的不能实现的，</w:t>
      </w:r>
      <w:r>
        <w:rPr>
          <w:rFonts w:hint="eastAsia"/>
        </w:rPr>
        <w:t>或</w:t>
      </w:r>
      <w:r>
        <w:t>出现第16.1.1项</w:t>
      </w:r>
      <w:r>
        <w:rPr>
          <w:rFonts w:hint="eastAsia"/>
        </w:rPr>
        <w:t>〔</w:t>
      </w:r>
      <w:r>
        <w:t>发包人违约的情形</w:t>
      </w:r>
      <w:r>
        <w:rPr>
          <w:rFonts w:hint="eastAsia"/>
        </w:rPr>
        <w:t>〕</w:t>
      </w:r>
      <w:r>
        <w:t>第（7）目约定的违约情况，承包人有权解除合同，发包人应承担由此增加的费用，并支付承包人合理的利润。</w:t>
      </w:r>
    </w:p>
    <w:p>
      <w:r>
        <w:t>16.1.4 因发包人违约解除合同后的付款</w:t>
      </w:r>
    </w:p>
    <w:p>
      <w:r>
        <w:t>承包人按照本款约定解除合同的，发包人应在解除合同后28天内支付下列款项，并解除履约担保：</w:t>
      </w:r>
    </w:p>
    <w:p>
      <w:r>
        <w:t>（1）合同解除前所完成工作的价款；</w:t>
      </w:r>
    </w:p>
    <w:p>
      <w:r>
        <w:t>（2）承包人为工程施工订购并已付款的材料、工程设备和其他物品的价款；</w:t>
      </w:r>
    </w:p>
    <w:p>
      <w:r>
        <w:t>（3）承包人撤离施工现场以及遣散承包人人员的款项；</w:t>
      </w:r>
    </w:p>
    <w:p>
      <w:r>
        <w:t>（4）按照合同约定在合同解除前应支付的违约金；</w:t>
      </w:r>
    </w:p>
    <w:p>
      <w:r>
        <w:t>（5）按照合同约定应当支付给承包人的其他款项；</w:t>
      </w:r>
    </w:p>
    <w:p>
      <w:r>
        <w:t>（6）按照合同约定应退还的质量保证金；</w:t>
      </w:r>
    </w:p>
    <w:p>
      <w:r>
        <w:t>（7）因解除合同给承包人造成的损失。</w:t>
      </w:r>
    </w:p>
    <w:p>
      <w:r>
        <w:t>合同当事人未能就解除合同后的结清达成一致的，按照第20条</w:t>
      </w:r>
      <w:r>
        <w:rPr>
          <w:rFonts w:hint="eastAsia"/>
        </w:rPr>
        <w:t>〔</w:t>
      </w:r>
      <w:r>
        <w:t>争议解决</w:t>
      </w:r>
      <w:r>
        <w:rPr>
          <w:rFonts w:hint="eastAsia"/>
        </w:rPr>
        <w:t>〕</w:t>
      </w:r>
      <w:r>
        <w:t>的约定处理。</w:t>
      </w:r>
    </w:p>
    <w:p>
      <w:r>
        <w:t>承包人应妥善做好已完工程和与工程有关的已购材料、工程设备的保护和移交工作，并将施工设备和人员撤出施工现场，发包人应为承包人撤出提供必要条件。</w:t>
      </w:r>
    </w:p>
    <w:p>
      <w:bookmarkStart w:id="438" w:name="_Toc351203605"/>
      <w:bookmarkStart w:id="439" w:name="_Toc337558822"/>
      <w:bookmarkStart w:id="440" w:name="_Toc296503131"/>
      <w:bookmarkStart w:id="441" w:name="_Toc296346632"/>
      <w:r>
        <w:t>16.2 承包人违约</w:t>
      </w:r>
      <w:bookmarkEnd w:id="438"/>
    </w:p>
    <w:bookmarkEnd w:id="439"/>
    <w:bookmarkEnd w:id="440"/>
    <w:bookmarkEnd w:id="441"/>
    <w:p>
      <w:r>
        <w:t>16.2.1 承包人违约的情形</w:t>
      </w:r>
    </w:p>
    <w:p>
      <w:r>
        <w:t>在合同履行过程中发生的下列情形，属于承包人违约：</w:t>
      </w:r>
    </w:p>
    <w:p>
      <w:r>
        <w:t>（1）承包人违反合同约定进行转包或违法分包的；</w:t>
      </w:r>
    </w:p>
    <w:p>
      <w:r>
        <w:t>（2）承包人违反合同约定采购和使用不合格的材料和工程设备的；</w:t>
      </w:r>
    </w:p>
    <w:p>
      <w:r>
        <w:t xml:space="preserve">（3）因承包人原因导致工程质量不符合合同要求的； </w:t>
      </w:r>
    </w:p>
    <w:p>
      <w:r>
        <w:t>（4）承包人违反第8.9款</w:t>
      </w:r>
      <w:r>
        <w:rPr>
          <w:rFonts w:hint="eastAsia"/>
        </w:rPr>
        <w:t>〔</w:t>
      </w:r>
      <w:r>
        <w:t>材料与设备专用</w:t>
      </w:r>
      <w:r>
        <w:rPr>
          <w:rFonts w:hint="eastAsia"/>
        </w:rPr>
        <w:t>要求〕</w:t>
      </w:r>
      <w:r>
        <w:t>的约定，未经批准，私自将已按照合同约定进入施工现场的材料或设备撤离施工现场的；</w:t>
      </w:r>
    </w:p>
    <w:p>
      <w:r>
        <w:t>（5）承包人未能按施工进度计划及时完成合同约定的工作，造成工期延误的；</w:t>
      </w:r>
    </w:p>
    <w:p>
      <w:r>
        <w:t>（6）承包人在缺陷责任期及保修期内，未能在合理期限对工程缺陷进行修复，或拒绝按发包人要求进行修复的；</w:t>
      </w:r>
    </w:p>
    <w:p>
      <w:r>
        <w:t>（7）承包人明确表示或者以其行为表明不履行合同主要义务的；</w:t>
      </w:r>
    </w:p>
    <w:p>
      <w:r>
        <w:t>（8）承包人未能按照合同约定履行其他义务的。</w:t>
      </w:r>
    </w:p>
    <w:p>
      <w:r>
        <w:t>承包人发生除本项第（7）目约定以外的其他违约情况时，监理人可向承包人发出整改通知，要求其在指定的期限内改正。</w:t>
      </w:r>
    </w:p>
    <w:p>
      <w:r>
        <w:t>16.2.2 承包人违约的责任</w:t>
      </w:r>
    </w:p>
    <w:p>
      <w:r>
        <w:t>承包人应承担因其违约行为而增加的费用</w:t>
      </w:r>
      <w:r>
        <w:rPr>
          <w:rFonts w:hint="eastAsia"/>
        </w:rPr>
        <w:t>和（或）延误的</w:t>
      </w:r>
      <w:r>
        <w:t>工期。此外，合同当事人可在专用合同条款中另行约定承包人违约责任的承担方式和计算方法。</w:t>
      </w:r>
    </w:p>
    <w:p>
      <w:r>
        <w:t>16.2.3 因承包人违约解除合同</w:t>
      </w:r>
    </w:p>
    <w:p>
      <w:r>
        <w:t>除专用合同条款另有约定外，出现第16.2.1项</w:t>
      </w:r>
      <w:r>
        <w:rPr>
          <w:rFonts w:hint="eastAsia"/>
        </w:rPr>
        <w:t>〔</w:t>
      </w:r>
      <w:r>
        <w:t>承包人违约的情形</w:t>
      </w:r>
      <w:r>
        <w:rPr>
          <w:rFonts w:hint="eastAsia"/>
        </w:rPr>
        <w:t>〕</w:t>
      </w:r>
      <w: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rPr>
        <w:t>合同当事人应在专用合同条款约定相应费用的承担方式。</w:t>
      </w:r>
      <w:r>
        <w:t>发包人</w:t>
      </w:r>
      <w:r>
        <w:rPr>
          <w:rFonts w:hint="eastAsia"/>
        </w:rPr>
        <w:t>继续使用的</w:t>
      </w:r>
      <w:r>
        <w:t>行为不免除或减轻承包人应承担的违约责任。</w:t>
      </w:r>
    </w:p>
    <w:p>
      <w:r>
        <w:t>16.2.4因承包人违约解除合同后的处理</w:t>
      </w:r>
    </w:p>
    <w:p>
      <w:r>
        <w:t>因承包人原因导致合同解除的，则合同当事人应在合同解除后28天内完成估价、付款和清算，并按以下约定执行：</w:t>
      </w:r>
    </w:p>
    <w:p>
      <w:r>
        <w:t>（1）合同解除后，按第4.4款</w:t>
      </w:r>
      <w:r>
        <w:rPr>
          <w:rFonts w:hint="eastAsia"/>
        </w:rPr>
        <w:t>〔</w:t>
      </w:r>
      <w:r>
        <w:t>商定或确定</w:t>
      </w:r>
      <w:r>
        <w:rPr>
          <w:rFonts w:hint="eastAsia"/>
        </w:rPr>
        <w:t>〕</w:t>
      </w:r>
      <w:r>
        <w:t>商定或确定承包人实际完成工作对应的合同价款，以及承包人已提供的材料、工程设备、施工设备和临时工程等的价值；</w:t>
      </w:r>
    </w:p>
    <w:p>
      <w:r>
        <w:t>（2）合同解除后，承包人应支付的违约金；</w:t>
      </w:r>
    </w:p>
    <w:p>
      <w:r>
        <w:t>（3）合同解除后，因解除合同给发包人造成的损失；</w:t>
      </w:r>
    </w:p>
    <w:p>
      <w:r>
        <w:t>（4）合同解除后，承包人应按照发包人要求和监理人的指示完成现场的清理和撤离；</w:t>
      </w:r>
    </w:p>
    <w:p>
      <w:r>
        <w:t>（5）发包人和承包人应在合同解除后进行清算，出具最终结清付款证书，结清全部款项。</w:t>
      </w:r>
    </w:p>
    <w:p>
      <w:r>
        <w:rPr>
          <w:rFonts w:hint="eastAsia"/>
        </w:rPr>
        <w:t>因承包人违约解除合同的，</w:t>
      </w:r>
      <w:r>
        <w:t>发包人有权暂停对承包人的付款，查清各项付款和已扣款项。发包人和承包人未能就合同解除后的清算和款项支付达成一致的，按照第20条</w:t>
      </w:r>
      <w:r>
        <w:rPr>
          <w:rFonts w:hint="eastAsia"/>
        </w:rPr>
        <w:t>〔</w:t>
      </w:r>
      <w:r>
        <w:t>争议解决</w:t>
      </w:r>
      <w:r>
        <w:rPr>
          <w:rFonts w:hint="eastAsia"/>
        </w:rPr>
        <w:t>〕</w:t>
      </w:r>
      <w:r>
        <w:t>的约定处理。</w:t>
      </w:r>
    </w:p>
    <w:p>
      <w:r>
        <w:t>16.2.5采购合同权益转让</w:t>
      </w:r>
    </w:p>
    <w:p>
      <w: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bookmarkStart w:id="442" w:name="_Toc351203606"/>
      <w:r>
        <w:t>16.3 第三人造成的违约</w:t>
      </w:r>
      <w:bookmarkEnd w:id="442"/>
    </w:p>
    <w:p>
      <w:r>
        <w:t>在履行合同过程中，一方当事人因第三人的原因造成违约的，应当向对方当事人承担违约责任。一方当事人和第三人之间的纠纷，依照法律规定或者按照约定解决。</w:t>
      </w:r>
    </w:p>
    <w:p>
      <w:bookmarkStart w:id="443" w:name="_Toc351203607"/>
      <w:bookmarkStart w:id="444" w:name="_Toc296346617"/>
      <w:bookmarkStart w:id="445" w:name="_Toc337558823"/>
      <w:bookmarkStart w:id="446" w:name="_Toc296503116"/>
      <w:r>
        <w:t>17. 不可抗力</w:t>
      </w:r>
      <w:bookmarkEnd w:id="443"/>
      <w:r>
        <w:t xml:space="preserve"> </w:t>
      </w:r>
      <w:bookmarkEnd w:id="444"/>
      <w:bookmarkEnd w:id="445"/>
      <w:bookmarkEnd w:id="446"/>
    </w:p>
    <w:p>
      <w:bookmarkStart w:id="447" w:name="_Toc351203608"/>
      <w:bookmarkStart w:id="448" w:name="_Toc337558824"/>
      <w:bookmarkStart w:id="449" w:name="_Toc296346618"/>
      <w:bookmarkStart w:id="450" w:name="_Toc296503117"/>
      <w:r>
        <w:t>17.1 不可抗力的确认</w:t>
      </w:r>
      <w:bookmarkEnd w:id="447"/>
    </w:p>
    <w:bookmarkEnd w:id="448"/>
    <w:bookmarkEnd w:id="449"/>
    <w:bookmarkEnd w:id="450"/>
    <w:p>
      <w:r>
        <w:t>不可抗力是指合同当事人在签订合同时不可预见，在合同履行过程中不可避免且不能克服的自然灾害和社会性突发事件，如地震、海啸、瘟疫、骚乱、戒严、暴动、战争和专用合同条款中约定的其他情形。</w:t>
      </w:r>
    </w:p>
    <w:p>
      <w: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rPr>
        <w:t>〔</w:t>
      </w:r>
      <w:r>
        <w:t>商定或确定</w:t>
      </w:r>
      <w:r>
        <w:rPr>
          <w:rFonts w:hint="eastAsia"/>
        </w:rPr>
        <w:t>〕</w:t>
      </w:r>
      <w:r>
        <w:t>的约定处理。发生争议时，按第20条</w:t>
      </w:r>
      <w:r>
        <w:rPr>
          <w:rFonts w:hint="eastAsia"/>
        </w:rPr>
        <w:t>〔</w:t>
      </w:r>
      <w:r>
        <w:t>争议解决</w:t>
      </w:r>
      <w:r>
        <w:rPr>
          <w:rFonts w:hint="eastAsia"/>
        </w:rPr>
        <w:t>〕</w:t>
      </w:r>
      <w:r>
        <w:t>的约定处理。</w:t>
      </w:r>
    </w:p>
    <w:p>
      <w:bookmarkStart w:id="451" w:name="_Toc351203609"/>
      <w:bookmarkStart w:id="452" w:name="_Toc296503118"/>
      <w:bookmarkStart w:id="453" w:name="_Toc337558825"/>
      <w:bookmarkStart w:id="454" w:name="_Toc296346619"/>
      <w:r>
        <w:t>17.2 不可抗力的通知</w:t>
      </w:r>
      <w:bookmarkEnd w:id="451"/>
    </w:p>
    <w:bookmarkEnd w:id="452"/>
    <w:bookmarkEnd w:id="453"/>
    <w:bookmarkEnd w:id="454"/>
    <w:p>
      <w:r>
        <w:rPr>
          <w:rFonts w:hint="eastAsia"/>
        </w:rPr>
        <w:t>合同</w:t>
      </w:r>
      <w:r>
        <w:t>一方当事人遇到不可抗力事件，使其履行合同义务受到阻碍时，应立即通知合同另一方当事人和监理人，书面说明不可抗力和受阻碍的详细情况，并提供必要的证明。</w:t>
      </w:r>
    </w:p>
    <w:p>
      <w:r>
        <w:t>不可抗力持续发生的，合同一方当事人应及时向合同另一方当事人和监理人提交中间报告，说明不可抗力和履行合同受阻的情况，并于不可抗力事件结束后28天内提交最终报告及有关资料。</w:t>
      </w:r>
    </w:p>
    <w:p>
      <w:bookmarkStart w:id="455" w:name="_Toc351203610"/>
      <w:bookmarkStart w:id="456" w:name="_Toc337558826"/>
      <w:bookmarkStart w:id="457" w:name="_Toc296346620"/>
      <w:bookmarkStart w:id="458" w:name="_Toc296503119"/>
      <w:r>
        <w:t>17.3 不可抗力后果的承担</w:t>
      </w:r>
      <w:bookmarkEnd w:id="455"/>
    </w:p>
    <w:bookmarkEnd w:id="456"/>
    <w:bookmarkEnd w:id="457"/>
    <w:bookmarkEnd w:id="458"/>
    <w:p>
      <w:r>
        <w:t xml:space="preserve">17.3.1 </w:t>
      </w:r>
      <w:r>
        <w:rPr>
          <w:rFonts w:hint="eastAsia"/>
        </w:rPr>
        <w:t>不可抗力引起的后果及造成的损失由合同当事人按照法律规定及合同约定各自承担。</w:t>
      </w:r>
      <w:r>
        <w:t>不可抗力发生前已完</w:t>
      </w:r>
      <w:r>
        <w:rPr>
          <w:rFonts w:hint="eastAsia"/>
        </w:rPr>
        <w:t>成的</w:t>
      </w:r>
      <w:r>
        <w:t>工程应当按照合同约定进行计量</w:t>
      </w:r>
      <w:r>
        <w:rPr>
          <w:rFonts w:hint="eastAsia"/>
        </w:rPr>
        <w:t>支付</w:t>
      </w:r>
      <w:r>
        <w:t>。</w:t>
      </w:r>
    </w:p>
    <w:p>
      <w:r>
        <w:t>17.3.2 不可抗力导致的人员伤亡、财产损失、费用增加和（或）工期延误等后果，由合同当事人按以下原则承担：</w:t>
      </w:r>
    </w:p>
    <w:p>
      <w:r>
        <w:t>（1）永久工程、已运至施工现场的材料和工程设备的损坏，以及因工程损坏造成的第三人人员伤亡和财产损失由发包人承担；</w:t>
      </w:r>
    </w:p>
    <w:p>
      <w:r>
        <w:t>（2）承包人施工设备的损坏由承包人承担；</w:t>
      </w:r>
    </w:p>
    <w:p>
      <w:r>
        <w:t>（3）发包人和承包人承担各自人员伤亡和财产的损失；</w:t>
      </w:r>
    </w:p>
    <w:p>
      <w:r>
        <w:t>（4）因不可抗力影响承包人履行合同约定的义务，已经引起或将引起工期延误的，应当顺延工期，由此导致承包人停工的费用损失由发包人和承包人合理分担，停工期间必须支付的工人工资由发包人承担；</w:t>
      </w:r>
    </w:p>
    <w:p>
      <w:r>
        <w:t>（5）因不可抗力引起或将引起工期延误，发包人要求赶工的，由此增加的赶工费用由发包人承担；</w:t>
      </w:r>
    </w:p>
    <w:p>
      <w:r>
        <w:t>（6）承包人在停工期间按照发包人要求照管、清理和修复工程的费用由发包人承担。</w:t>
      </w:r>
    </w:p>
    <w:p>
      <w:r>
        <w:t>不可抗力发生后，合同当事人均应采取措施尽量避免和减少损失的扩大，任何一方当事人没有采取有效措施导致损失扩大的，应对扩大的损失承担责任。</w:t>
      </w:r>
    </w:p>
    <w:p>
      <w:r>
        <w:t>因合同一方迟延履行合同义务，在迟延履行期间遭遇不可抗力的，不免除其违约责任。</w:t>
      </w:r>
    </w:p>
    <w:p>
      <w:bookmarkStart w:id="459" w:name="_Toc351203611"/>
      <w:bookmarkStart w:id="460" w:name="_Toc337558827"/>
      <w:r>
        <w:t>17.4 因不可抗力解除合同</w:t>
      </w:r>
      <w:bookmarkEnd w:id="459"/>
    </w:p>
    <w:bookmarkEnd w:id="460"/>
    <w:p>
      <w:r>
        <w:t>因不可抗力导致合同无法履行连续超过84天或累计超过140天的，发包人和承包人均有权解除合同。合同解除后，由双方当事人按照第4.4款</w:t>
      </w:r>
      <w:r>
        <w:rPr>
          <w:rFonts w:hint="eastAsia"/>
        </w:rPr>
        <w:t>〔</w:t>
      </w:r>
      <w:r>
        <w:t>商定或确定</w:t>
      </w:r>
      <w:r>
        <w:rPr>
          <w:rFonts w:hint="eastAsia"/>
        </w:rPr>
        <w:t>〕</w:t>
      </w:r>
      <w:r>
        <w:t>商定或确定发包人应支付的款项，该款项包括：</w:t>
      </w:r>
    </w:p>
    <w:p>
      <w:r>
        <w:t>（1）合同解除前承包人已完成工作的价款；</w:t>
      </w:r>
    </w:p>
    <w:p>
      <w:r>
        <w:t>（2）承包人为工程订购的并已交付给承包人，或承包人有责任接受交付的材料、工程设备和其他物品的价款；</w:t>
      </w:r>
    </w:p>
    <w:p>
      <w:r>
        <w:t>（3）发包人要求承包人退货或解除订货合同而产生的费用，或因不能退货或解除合同而产生的损失；</w:t>
      </w:r>
    </w:p>
    <w:p>
      <w:r>
        <w:t>（4）承包人撤离施工现场以及遣散承包人人员的费用；</w:t>
      </w:r>
    </w:p>
    <w:p>
      <w:r>
        <w:t>（5）按照合同约定在合同解除前应支付给承包人的其他款项；</w:t>
      </w:r>
    </w:p>
    <w:p>
      <w:r>
        <w:t>（6）扣减承包人按照合同约定应向发包人支付的款项；</w:t>
      </w:r>
    </w:p>
    <w:p>
      <w:r>
        <w:t>（7）双方商定或确定的其他款项。</w:t>
      </w:r>
    </w:p>
    <w:p>
      <w:r>
        <w:t>除专用合同条款另有约定外，合同解除后，发包人应在商定或确定上述款项后28天内完成上述款项的支付。</w:t>
      </w:r>
    </w:p>
    <w:p>
      <w:bookmarkStart w:id="461" w:name="_Toc351203612"/>
      <w:bookmarkStart w:id="462" w:name="_Toc337558828"/>
      <w:bookmarkStart w:id="463" w:name="_Toc296503120"/>
      <w:bookmarkStart w:id="464" w:name="_Toc296346621"/>
      <w:r>
        <w:t>18. 保险</w:t>
      </w:r>
      <w:bookmarkEnd w:id="461"/>
    </w:p>
    <w:bookmarkEnd w:id="462"/>
    <w:bookmarkEnd w:id="463"/>
    <w:bookmarkEnd w:id="464"/>
    <w:p>
      <w:bookmarkStart w:id="465" w:name="_Toc351203613"/>
      <w:bookmarkStart w:id="466" w:name="_Toc337558829"/>
      <w:bookmarkStart w:id="467" w:name="_Toc296346622"/>
      <w:bookmarkStart w:id="468" w:name="_Toc296503121"/>
      <w:r>
        <w:t>18.1 工程保险</w:t>
      </w:r>
      <w:bookmarkEnd w:id="465"/>
    </w:p>
    <w:bookmarkEnd w:id="466"/>
    <w:bookmarkEnd w:id="467"/>
    <w:bookmarkEnd w:id="468"/>
    <w:p>
      <w:r>
        <w:t>除专用合同条款另有约定外，发包人应投保建筑工程一切险或安装工程一切险；发包人委托承包人投保的，因投保产生的保险费和其他相关费用由发包人承担。</w:t>
      </w:r>
    </w:p>
    <w:p>
      <w:bookmarkStart w:id="469" w:name="_Toc351203614"/>
      <w:bookmarkStart w:id="470" w:name="_Toc296346623"/>
      <w:bookmarkStart w:id="471" w:name="_Toc296503122"/>
      <w:bookmarkStart w:id="472" w:name="_Toc337558830"/>
      <w:r>
        <w:t>18.2 工伤保险</w:t>
      </w:r>
      <w:bookmarkEnd w:id="469"/>
    </w:p>
    <w:bookmarkEnd w:id="470"/>
    <w:bookmarkEnd w:id="471"/>
    <w:bookmarkEnd w:id="472"/>
    <w:p>
      <w:r>
        <w:t>18.2.1 发包人应依照法律规定参加工伤保险，并为在施工现场的全部员工办理工伤保险，缴纳工伤保险费，并要求监理人及由发包人为履行合同聘请的第三方依法参加工伤保险。</w:t>
      </w:r>
    </w:p>
    <w:p>
      <w:r>
        <w:t>18.2.2 承包人应依照法律规定参加工伤保险，并为其履行合同的全部员工办理工伤保险，缴纳工伤保险费，并要求分包人及由承包人为履行合同聘请的第三方依法参加工伤保险。</w:t>
      </w:r>
    </w:p>
    <w:p>
      <w:bookmarkStart w:id="473" w:name="_Toc351203615"/>
      <w:bookmarkStart w:id="474" w:name="_Toc296346626"/>
      <w:bookmarkStart w:id="475" w:name="_Toc337558831"/>
      <w:bookmarkStart w:id="476" w:name="_Toc296503125"/>
      <w:r>
        <w:t>18.3其他保险</w:t>
      </w:r>
      <w:bookmarkEnd w:id="473"/>
    </w:p>
    <w:bookmarkEnd w:id="474"/>
    <w:bookmarkEnd w:id="475"/>
    <w:bookmarkEnd w:id="476"/>
    <w:p>
      <w:r>
        <w:t>发包人和承包人可以为其施工现场的全部人员办理意外伤害保险并支付保险费，包括其员工及为履行合同聘请的第三方的人员，具体事项由合同当事人在专用合同条款约定。</w:t>
      </w:r>
    </w:p>
    <w:p>
      <w:r>
        <w:t>除专用合同条款另有约定外，承包人应为其施工设备等办理财产保险。</w:t>
      </w:r>
    </w:p>
    <w:p>
      <w:bookmarkStart w:id="477" w:name="_Toc351203616"/>
      <w:r>
        <w:t>18.4持续保险</w:t>
      </w:r>
      <w:bookmarkEnd w:id="477"/>
    </w:p>
    <w:p>
      <w:r>
        <w:t>合同当事人应与保险人保持联系，使保险人能够随时了解工程实施中的变动，并确保按保险合同条款要求持续保险。</w:t>
      </w:r>
    </w:p>
    <w:p>
      <w:bookmarkStart w:id="478" w:name="_Toc351203617"/>
      <w:bookmarkStart w:id="479" w:name="_Toc337558832"/>
      <w:bookmarkStart w:id="480" w:name="_Toc296346627"/>
      <w:bookmarkStart w:id="481" w:name="_Toc296503126"/>
      <w:r>
        <w:t>18.5 保险凭证</w:t>
      </w:r>
      <w:bookmarkEnd w:id="478"/>
    </w:p>
    <w:bookmarkEnd w:id="479"/>
    <w:bookmarkEnd w:id="480"/>
    <w:bookmarkEnd w:id="481"/>
    <w:p>
      <w:r>
        <w:t>合同当事人应及时向另一方当事人提交其已投保的各项保险的凭证和保险单复印件。</w:t>
      </w:r>
    </w:p>
    <w:p>
      <w:bookmarkStart w:id="482" w:name="_Toc351203618"/>
      <w:bookmarkStart w:id="483" w:name="_Toc337558833"/>
      <w:bookmarkStart w:id="484" w:name="_Toc296346628"/>
      <w:bookmarkStart w:id="485" w:name="_Toc296503127"/>
      <w:r>
        <w:t>18.6 未按约定投保的补救</w:t>
      </w:r>
      <w:bookmarkEnd w:id="482"/>
    </w:p>
    <w:bookmarkEnd w:id="483"/>
    <w:bookmarkEnd w:id="484"/>
    <w:bookmarkEnd w:id="485"/>
    <w:p>
      <w:r>
        <w:t>18.6.1发包人未按合同约定办理保险，或未能使保险持续有效的，则承包人可代为办理，所需费用由发包人承担。发包人未按合同约定办理保险，导致未能得到足额赔偿的，由发包人负责补足。</w:t>
      </w:r>
    </w:p>
    <w:p>
      <w:r>
        <w:t>18.6.2承包人未按合同约定办理保险，或未能使保险持续有效的，则发包人可代为办理，所需费用由承包人承担。承包人未按合同约定办理保险，导致未能得到足额赔偿的，由承包人负责补足。</w:t>
      </w:r>
    </w:p>
    <w:p>
      <w:bookmarkStart w:id="486" w:name="_Toc351203619"/>
      <w:bookmarkStart w:id="487" w:name="_Toc337558834"/>
      <w:r>
        <w:t>18.7 通知义务</w:t>
      </w:r>
      <w:bookmarkEnd w:id="486"/>
    </w:p>
    <w:bookmarkEnd w:id="487"/>
    <w:p>
      <w:r>
        <w:t>除专用合同条款另有约定外，发包人变更除工伤保险之外的保险合同时，应事先征得承包人同意，并通知监理人；承包人变更除工伤保险之外的保险合同时，应事先征得发包人同意，并通知监理人。</w:t>
      </w:r>
    </w:p>
    <w:p>
      <w:r>
        <w:t>保险事故发生时，投保人应按照保险合同规定的条件和期限及时向保险人报告。发包人和承包人应当在知道保险事故发生后及时通知对方。</w:t>
      </w:r>
    </w:p>
    <w:p>
      <w:bookmarkStart w:id="488" w:name="_Toc351203620"/>
      <w:bookmarkStart w:id="489" w:name="_Toc296503140"/>
      <w:bookmarkStart w:id="490" w:name="_Toc337558835"/>
      <w:bookmarkStart w:id="491" w:name="_Toc296346641"/>
      <w:r>
        <w:t>19. 索赔</w:t>
      </w:r>
      <w:bookmarkEnd w:id="488"/>
    </w:p>
    <w:bookmarkEnd w:id="489"/>
    <w:bookmarkEnd w:id="490"/>
    <w:bookmarkEnd w:id="491"/>
    <w:p>
      <w:bookmarkStart w:id="492" w:name="_Toc351203621"/>
      <w:bookmarkStart w:id="493" w:name="_Toc296346642"/>
      <w:bookmarkStart w:id="494" w:name="_Toc337558836"/>
      <w:bookmarkStart w:id="495" w:name="_Toc296503141"/>
      <w:r>
        <w:t>19.1承包人的索赔</w:t>
      </w:r>
      <w:bookmarkEnd w:id="492"/>
    </w:p>
    <w:bookmarkEnd w:id="493"/>
    <w:bookmarkEnd w:id="494"/>
    <w:bookmarkEnd w:id="495"/>
    <w:p>
      <w:r>
        <w:t>根据合同约定，承包人认为有权得到追加付款和（或）延长工期的，应按以下程序向</w:t>
      </w:r>
      <w:r>
        <w:rPr>
          <w:rFonts w:hint="eastAsia"/>
        </w:rPr>
        <w:t>发包</w:t>
      </w:r>
      <w:r>
        <w:t>人提出索赔：</w:t>
      </w:r>
    </w:p>
    <w:p>
      <w:r>
        <w:t>（1）承包人应在知道或应当知道索赔事件发生后28天内，向监理人递交索赔意向通知书，并说明发生索赔事件的事由；承包人未在前述28天内发出索赔意向通知书的，丧失要求追加付款和（或）延长工期的权利；</w:t>
      </w:r>
    </w:p>
    <w:p>
      <w:r>
        <w:t>（2）承包人应在发出索赔意向通知书后28天内，向监理人正式递交索赔报告；索赔报告应详细说明索赔理由以及要求追加的付款金额和（或）延长的工期，并附必要的记录和证明材料；</w:t>
      </w:r>
    </w:p>
    <w:p>
      <w:r>
        <w:t>（3）索赔事件具有持续影响的，承包人应按合理时间间隔继续递交延续索赔通知，说明持续影响的实际情况和记录，列出累计的追加付款金额和（或）工期延长天数；</w:t>
      </w:r>
    </w:p>
    <w:p>
      <w:r>
        <w:t>（4）在索赔事件影响结束后28天内，承包人应向监理人递交最终索赔报告，说明最终要求索赔的追加付款金额和（或）延长的工期，并附必要的记录和证明材料。</w:t>
      </w:r>
    </w:p>
    <w:p>
      <w:bookmarkStart w:id="496" w:name="_Toc351203622"/>
      <w:bookmarkStart w:id="497" w:name="_Toc337558837"/>
      <w:bookmarkStart w:id="498" w:name="_Toc296346643"/>
      <w:bookmarkStart w:id="499" w:name="_Toc296503142"/>
      <w:r>
        <w:t>19.2 对承包人索赔的处理</w:t>
      </w:r>
      <w:bookmarkEnd w:id="496"/>
    </w:p>
    <w:bookmarkEnd w:id="497"/>
    <w:bookmarkEnd w:id="498"/>
    <w:bookmarkEnd w:id="499"/>
    <w:p>
      <w:r>
        <w:t>对承包人索赔的处理如下：</w:t>
      </w:r>
    </w:p>
    <w:p>
      <w:r>
        <w:t>（1）监理人应在收到索赔报告后14天内完成审查并报送发包人。监理人对索赔报告存在异议的，有权要求承包人提交全部原始记录副本；</w:t>
      </w:r>
    </w:p>
    <w:p>
      <w:r>
        <w:t>（2）发包人应在监理人收到索赔报告或有关索赔的进一步证明材料后的28天内，由监理人向承包人出具经发包人签认的索赔处理结果。发包人逾期答复的，则视为认可承包人的索赔要求；</w:t>
      </w:r>
    </w:p>
    <w:p>
      <w:r>
        <w:t>（3）承包人接受索赔处理结果的，索赔款项在当期进度款中进行支付；承包人不接受索赔处理结果的，按照第20条</w:t>
      </w:r>
      <w:r>
        <w:rPr>
          <w:rFonts w:hint="eastAsia"/>
        </w:rPr>
        <w:t>〔</w:t>
      </w:r>
      <w:r>
        <w:t>争议解决</w:t>
      </w:r>
      <w:r>
        <w:rPr>
          <w:rFonts w:hint="eastAsia"/>
        </w:rPr>
        <w:t>〕</w:t>
      </w:r>
      <w:r>
        <w:t>约定处理。</w:t>
      </w:r>
    </w:p>
    <w:p>
      <w:bookmarkStart w:id="500" w:name="_Toc351203623"/>
      <w:bookmarkStart w:id="501" w:name="_Toc296346644"/>
      <w:bookmarkStart w:id="502" w:name="_Toc337558838"/>
      <w:bookmarkStart w:id="503" w:name="_Toc296503143"/>
      <w:r>
        <w:t>19.3发包人的索赔</w:t>
      </w:r>
      <w:bookmarkEnd w:id="500"/>
    </w:p>
    <w:bookmarkEnd w:id="501"/>
    <w:bookmarkEnd w:id="502"/>
    <w:bookmarkEnd w:id="503"/>
    <w:p>
      <w:r>
        <w:t>根据合同约定，发包人认为有权得到赔付金额和（或）延长缺陷责任期的，监理人应向承包人发出通知并附有详细的证明。</w:t>
      </w:r>
    </w:p>
    <w:p>
      <w: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bookmarkStart w:id="504" w:name="_Toc351203624"/>
      <w:bookmarkStart w:id="505" w:name="_Toc296346645"/>
      <w:bookmarkStart w:id="506" w:name="_Toc337558839"/>
      <w:bookmarkStart w:id="507" w:name="_Toc296503144"/>
      <w:r>
        <w:t>19.4 对发包人索赔的处理</w:t>
      </w:r>
      <w:bookmarkEnd w:id="504"/>
    </w:p>
    <w:bookmarkEnd w:id="505"/>
    <w:bookmarkEnd w:id="506"/>
    <w:bookmarkEnd w:id="507"/>
    <w:p>
      <w:r>
        <w:t>对发包人索赔的处理如下：</w:t>
      </w:r>
    </w:p>
    <w:p>
      <w:r>
        <w:t>（1）承包人收到发包人提交的索赔报告后，应及时审查索赔报告的内容、查验发包人证明材料；</w:t>
      </w:r>
    </w:p>
    <w:p>
      <w:r>
        <w:t>（2）承包人应在收到索赔报告或有关索赔的进一步证明材料后28天内，将索赔处理结果答复发包人。如果承包人未在上述期限内作出答复的，则视为对发包人索赔要求的认可；</w:t>
      </w:r>
    </w:p>
    <w:p>
      <w:r>
        <w:t>（3）承包人接受索赔处理结果的，发包人可从应支付给承包人的合同价款中扣除赔付的金额或延长缺陷责任期；发包人不接受索赔处理结果的，按第20条</w:t>
      </w:r>
      <w:r>
        <w:rPr>
          <w:rFonts w:hint="eastAsia"/>
        </w:rPr>
        <w:t>〔</w:t>
      </w:r>
      <w:r>
        <w:t>争议解决</w:t>
      </w:r>
      <w:r>
        <w:rPr>
          <w:rFonts w:hint="eastAsia"/>
        </w:rPr>
        <w:t>〕</w:t>
      </w:r>
      <w:r>
        <w:t>约定处理。</w:t>
      </w:r>
    </w:p>
    <w:p>
      <w:bookmarkStart w:id="508" w:name="_Toc351203625"/>
      <w:r>
        <w:t>19.5 提出索赔的期限</w:t>
      </w:r>
      <w:bookmarkEnd w:id="508"/>
    </w:p>
    <w:p>
      <w:r>
        <w:t>（1）承包人按第14.2款</w:t>
      </w:r>
      <w:r>
        <w:rPr>
          <w:rFonts w:hint="eastAsia"/>
        </w:rPr>
        <w:t>〔</w:t>
      </w:r>
      <w:r>
        <w:t>竣工结算审核</w:t>
      </w:r>
      <w:r>
        <w:rPr>
          <w:rFonts w:hint="eastAsia"/>
        </w:rPr>
        <w:t>〕</w:t>
      </w:r>
      <w:r>
        <w:t>约定接收竣工付款证书后，应被视为已无权再提出在工程接收证书颁发前所发生的任何索赔。</w:t>
      </w:r>
    </w:p>
    <w:p>
      <w:r>
        <w:t>（2）承包人按第14.4款</w:t>
      </w:r>
      <w:r>
        <w:rPr>
          <w:rFonts w:hint="eastAsia"/>
        </w:rPr>
        <w:t>〔</w:t>
      </w:r>
      <w:r>
        <w:t>最终结清</w:t>
      </w:r>
      <w:r>
        <w:rPr>
          <w:rFonts w:hint="eastAsia"/>
        </w:rPr>
        <w:t>〕</w:t>
      </w:r>
      <w:r>
        <w:t>提交的最终结清申请单中，只限于提出工程接收证书颁发后发生的索赔。提出索赔的期限自接受最终结清证书时终止。</w:t>
      </w:r>
    </w:p>
    <w:p>
      <w:bookmarkStart w:id="509" w:name="_Toc351203626"/>
      <w:r>
        <w:t>20</w:t>
      </w:r>
      <w:bookmarkStart w:id="510" w:name="_Toc337558840"/>
      <w:bookmarkStart w:id="511" w:name="_Toc296346647"/>
      <w:bookmarkStart w:id="512" w:name="_Toc296503146"/>
      <w:r>
        <w:t>. 争议解决</w:t>
      </w:r>
      <w:bookmarkEnd w:id="509"/>
    </w:p>
    <w:bookmarkEnd w:id="510"/>
    <w:bookmarkEnd w:id="511"/>
    <w:bookmarkEnd w:id="512"/>
    <w:p>
      <w:bookmarkStart w:id="513" w:name="_Toc351203627"/>
      <w:bookmarkStart w:id="514" w:name="_Toc296346648"/>
      <w:bookmarkStart w:id="515" w:name="_Toc296503147"/>
      <w:bookmarkStart w:id="516" w:name="_Toc337558841"/>
      <w:r>
        <w:t>20.1和解</w:t>
      </w:r>
      <w:bookmarkEnd w:id="513"/>
    </w:p>
    <w:bookmarkEnd w:id="514"/>
    <w:bookmarkEnd w:id="515"/>
    <w:bookmarkEnd w:id="516"/>
    <w:p>
      <w:r>
        <w:t>合同当事人可以就争议自行和解，自行和解达成协议的经双方签字并盖章后作为合同补充文件，双方均应遵照执行。</w:t>
      </w:r>
    </w:p>
    <w:p>
      <w:bookmarkStart w:id="517" w:name="_Toc351203628"/>
      <w:r>
        <w:t>20</w:t>
      </w:r>
      <w:bookmarkStart w:id="518" w:name="_Toc296346649"/>
      <w:bookmarkStart w:id="519" w:name="_Toc296503148"/>
      <w:bookmarkStart w:id="520" w:name="_Toc337558842"/>
      <w:r>
        <w:t>.2调解</w:t>
      </w:r>
      <w:bookmarkEnd w:id="517"/>
    </w:p>
    <w:bookmarkEnd w:id="518"/>
    <w:bookmarkEnd w:id="519"/>
    <w:bookmarkEnd w:id="520"/>
    <w:p>
      <w:r>
        <w:t>合同当事人可以就争议请求建设行政主管部门</w:t>
      </w:r>
      <w:r>
        <w:rPr>
          <w:rFonts w:hint="eastAsia"/>
        </w:rPr>
        <w:t>、行业协会</w:t>
      </w:r>
      <w:r>
        <w:t>或</w:t>
      </w:r>
      <w:r>
        <w:rPr>
          <w:rFonts w:hint="eastAsia"/>
        </w:rPr>
        <w:t>其他</w:t>
      </w:r>
      <w:r>
        <w:t>第三方进行调解，调解达成协议的，经双方签字并盖章后作为合同补充文件，双方均应遵照执行。</w:t>
      </w:r>
    </w:p>
    <w:p>
      <w:bookmarkStart w:id="521" w:name="_Toc351203629"/>
      <w:bookmarkStart w:id="522" w:name="_Toc296346650"/>
      <w:bookmarkStart w:id="523" w:name="_Toc337558843"/>
      <w:bookmarkStart w:id="524" w:name="_Toc296503149"/>
      <w:r>
        <w:t>20.3争议评审</w:t>
      </w:r>
      <w:bookmarkEnd w:id="521"/>
    </w:p>
    <w:bookmarkEnd w:id="522"/>
    <w:bookmarkEnd w:id="523"/>
    <w:bookmarkEnd w:id="524"/>
    <w:p>
      <w:r>
        <w:t>合同当事人在专用合同条款中约定采取争议评审方式解决争议</w:t>
      </w:r>
      <w:r>
        <w:rPr>
          <w:rFonts w:hint="eastAsia"/>
        </w:rPr>
        <w:t>以及评审规则，并</w:t>
      </w:r>
      <w:r>
        <w:t xml:space="preserve">按下列约定执行： </w:t>
      </w:r>
    </w:p>
    <w:p>
      <w:r>
        <w:t>20.3.1 争议评审小组的确定</w:t>
      </w:r>
    </w:p>
    <w:p>
      <w:r>
        <w:t>合同当事人可以共同选择一名或三名争议评审员，组成争议评审小组。除专用合同条款另有约定外，合同当事人应当自合同签订后28天内，或者争议发生后14天内，选定争议评审员。</w:t>
      </w:r>
    </w:p>
    <w:p>
      <w: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rPr>
        <w:t>评审</w:t>
      </w:r>
      <w:r>
        <w:t xml:space="preserve">机构指定第三名首席争议评审员。 </w:t>
      </w:r>
    </w:p>
    <w:p>
      <w:r>
        <w:t>除专用合同条款另有约定外，评审员报酬由发包人和承包人各承担一半。</w:t>
      </w:r>
    </w:p>
    <w:p>
      <w:r>
        <w:t>20.3.2 争议评审小组的决定</w:t>
      </w:r>
    </w:p>
    <w:p>
      <w: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r>
        <w:t>20.3.3 争议评审小组决定的效力</w:t>
      </w:r>
    </w:p>
    <w:p>
      <w:r>
        <w:t>争议评审小组作出的书面决定经合同当事人签字确认后，对双方具有约束力，双方应遵照执行。</w:t>
      </w:r>
    </w:p>
    <w:p>
      <w:r>
        <w:t>任何一方当事人不接受争议评审小组决定</w:t>
      </w:r>
      <w:r>
        <w:rPr>
          <w:rFonts w:hint="eastAsia"/>
        </w:rPr>
        <w:t>或不履行争议评审小组决定的</w:t>
      </w:r>
      <w:r>
        <w:t>，双方可选择采用其他争议解决方式。</w:t>
      </w:r>
    </w:p>
    <w:p>
      <w:bookmarkStart w:id="525" w:name="_Toc351203630"/>
      <w:bookmarkStart w:id="526" w:name="_Toc296346651"/>
      <w:bookmarkStart w:id="527" w:name="_Toc337558844"/>
      <w:bookmarkStart w:id="528" w:name="_Toc296503150"/>
      <w:r>
        <w:t>20.4仲裁或诉讼</w:t>
      </w:r>
      <w:bookmarkEnd w:id="525"/>
    </w:p>
    <w:bookmarkEnd w:id="526"/>
    <w:bookmarkEnd w:id="527"/>
    <w:bookmarkEnd w:id="528"/>
    <w:p>
      <w:r>
        <w:t>因合同及合同有关事项产生的争议，合同当事人可以在专用合同条款中约定以下一种方式解决争议：</w:t>
      </w:r>
    </w:p>
    <w:p>
      <w:r>
        <w:t>（1）向约定的仲裁委员会申请仲裁；</w:t>
      </w:r>
    </w:p>
    <w:p>
      <w:r>
        <w:t>（2）向有管辖权的人民法院起诉。</w:t>
      </w:r>
    </w:p>
    <w:p>
      <w:bookmarkStart w:id="529" w:name="_Toc351203631"/>
      <w:bookmarkStart w:id="530" w:name="_Toc337558845"/>
      <w:bookmarkStart w:id="531" w:name="_Toc296346653"/>
      <w:bookmarkStart w:id="532" w:name="_Toc296503152"/>
      <w:r>
        <w:t>20.5争议解决条款效力</w:t>
      </w:r>
      <w:bookmarkEnd w:id="529"/>
    </w:p>
    <w:bookmarkEnd w:id="530"/>
    <w:bookmarkEnd w:id="531"/>
    <w:bookmarkEnd w:id="532"/>
    <w:p>
      <w:r>
        <w:t xml:space="preserve">合同有关争议解决的条款独立存在，合同的变更、解除、终止、无效或者被撤销均不影响其效力。 </w:t>
      </w:r>
    </w:p>
    <w:p>
      <w:bookmarkStart w:id="533" w:name="_Toc351203632"/>
      <w:r>
        <w:br w:type="page"/>
      </w:r>
      <w:bookmarkStart w:id="534" w:name="_Toc479"/>
      <w:bookmarkStart w:id="535" w:name="_Toc11789"/>
      <w:r>
        <w:t xml:space="preserve">第三部分 </w:t>
      </w:r>
      <w:r>
        <w:rPr>
          <w:rFonts w:hint="eastAsia"/>
        </w:rPr>
        <w:t>专用合同条款</w:t>
      </w:r>
      <w:bookmarkEnd w:id="533"/>
      <w:bookmarkEnd w:id="534"/>
      <w:bookmarkEnd w:id="535"/>
    </w:p>
    <w:p>
      <w:bookmarkStart w:id="536" w:name="_Toc351203633"/>
      <w:r>
        <w:t>1</w:t>
      </w:r>
      <w:bookmarkStart w:id="537" w:name="_Toc292559361"/>
      <w:bookmarkStart w:id="538" w:name="_Toc297120456"/>
      <w:bookmarkStart w:id="539" w:name="_Toc296346657"/>
      <w:bookmarkStart w:id="540" w:name="_Toc296891196"/>
      <w:bookmarkStart w:id="541" w:name="_Toc297048342"/>
      <w:bookmarkStart w:id="542" w:name="_Toc292559866"/>
      <w:bookmarkStart w:id="543" w:name="_Toc296347155"/>
      <w:bookmarkStart w:id="544" w:name="_Toc296944495"/>
      <w:bookmarkStart w:id="545" w:name="_Toc296890984"/>
      <w:bookmarkStart w:id="546" w:name="_Toc296503156"/>
      <w:r>
        <w:t>. 一般约定</w:t>
      </w:r>
      <w:bookmarkEnd w:id="536"/>
    </w:p>
    <w:bookmarkEnd w:id="537"/>
    <w:bookmarkEnd w:id="538"/>
    <w:bookmarkEnd w:id="539"/>
    <w:bookmarkEnd w:id="540"/>
    <w:bookmarkEnd w:id="541"/>
    <w:bookmarkEnd w:id="542"/>
    <w:bookmarkEnd w:id="543"/>
    <w:bookmarkEnd w:id="544"/>
    <w:bookmarkEnd w:id="545"/>
    <w:bookmarkEnd w:id="546"/>
    <w:p>
      <w:r>
        <w:t>1.1 词语定义</w:t>
      </w:r>
    </w:p>
    <w:p>
      <w:r>
        <w:t>1.1.1合同</w:t>
      </w:r>
    </w:p>
    <w:p>
      <w:r>
        <w:t xml:space="preserve">1.1.1.10其他合同文件包括：                      </w:t>
      </w:r>
    </w:p>
    <w:p>
      <w:r>
        <w:t></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w:t>
      </w:r>
    </w:p>
    <w:p>
      <w:r>
        <w:t>1.1.2 合同当事人及其他相关方</w:t>
      </w:r>
    </w:p>
    <w:p>
      <w:r>
        <w:t>1.1.2.4监理人：</w:t>
      </w:r>
    </w:p>
    <w:p>
      <w:r>
        <w:t>名    称：</w:t>
      </w:r>
      <w:r>
        <w:rPr>
          <w:rFonts w:hint="eastAsia"/>
        </w:rPr>
        <w:t xml:space="preserve">           </w:t>
      </w:r>
      <w:r>
        <w:t></w:t>
      </w:r>
      <w:r>
        <w:rPr>
          <w:rFonts w:hint="eastAsia"/>
        </w:rPr>
        <w:t xml:space="preserve"> </w:t>
      </w:r>
      <w:r>
        <w:t xml:space="preserve">    ；</w:t>
      </w:r>
    </w:p>
    <w:p>
      <w:r>
        <w:t>资质类别和等级：</w:t>
      </w:r>
      <w:r>
        <w:rPr>
          <w:rFonts w:hint="eastAsia"/>
        </w:rPr>
        <w:t xml:space="preserve">            </w:t>
      </w:r>
      <w:r>
        <w:t></w:t>
      </w:r>
      <w:r>
        <w:rPr>
          <w:rFonts w:hint="eastAsia"/>
        </w:rPr>
        <w:t xml:space="preserve"> </w:t>
      </w:r>
      <w:r>
        <w:t>  ；</w:t>
      </w:r>
    </w:p>
    <w:p>
      <w:r>
        <w:t>联系电话：    </w:t>
      </w:r>
      <w:r>
        <w:rPr>
          <w:rFonts w:hint="eastAsia"/>
        </w:rPr>
        <w:t xml:space="preserve">            </w:t>
      </w:r>
      <w:r>
        <w:t>；</w:t>
      </w:r>
    </w:p>
    <w:p>
      <w:r>
        <w:t xml:space="preserve">电子信箱：   </w:t>
      </w:r>
      <w:r>
        <w:rPr>
          <w:rFonts w:hint="eastAsia"/>
        </w:rPr>
        <w:t xml:space="preserve">            </w:t>
      </w:r>
      <w:r>
        <w:t xml:space="preserve"> ；</w:t>
      </w:r>
    </w:p>
    <w:p>
      <w:r>
        <w:t>通信地址：    </w:t>
      </w:r>
      <w:r>
        <w:rPr>
          <w:rFonts w:hint="eastAsia"/>
        </w:rPr>
        <w:t xml:space="preserve">            </w:t>
      </w:r>
      <w:r>
        <w:t>。</w:t>
      </w:r>
    </w:p>
    <w:p>
      <w:r>
        <w:t>1.1.2.5 设计人：</w:t>
      </w:r>
    </w:p>
    <w:p>
      <w:r>
        <w:t>名    称：</w:t>
      </w:r>
      <w:r>
        <w:rPr>
          <w:rFonts w:hint="eastAsia"/>
        </w:rPr>
        <w:t xml:space="preserve">             </w:t>
      </w:r>
      <w:r>
        <w:t>    ；</w:t>
      </w:r>
    </w:p>
    <w:p>
      <w:r>
        <w:t>资质类别和等级：</w:t>
      </w:r>
      <w:r>
        <w:rPr>
          <w:rFonts w:hint="eastAsia"/>
        </w:rPr>
        <w:t xml:space="preserve">            </w:t>
      </w:r>
      <w:r>
        <w:t>  </w:t>
      </w:r>
      <w:r>
        <w:rPr>
          <w:rFonts w:hint="eastAsia"/>
        </w:rPr>
        <w:t xml:space="preserve"> </w:t>
      </w:r>
      <w:r>
        <w:t>；</w:t>
      </w:r>
    </w:p>
    <w:p>
      <w:r>
        <w:t>联系电话：    </w:t>
      </w:r>
      <w:r>
        <w:rPr>
          <w:rFonts w:hint="eastAsia"/>
        </w:rPr>
        <w:t xml:space="preserve">            </w:t>
      </w:r>
      <w:r>
        <w:t></w:t>
      </w:r>
      <w:r>
        <w:rPr>
          <w:rFonts w:hint="eastAsia"/>
        </w:rPr>
        <w:t xml:space="preserve"> </w:t>
      </w:r>
      <w:r>
        <w:t>；</w:t>
      </w:r>
    </w:p>
    <w:p>
      <w:r>
        <w:t>电子信箱：    </w:t>
      </w:r>
      <w:r>
        <w:rPr>
          <w:rFonts w:hint="eastAsia"/>
        </w:rPr>
        <w:t xml:space="preserve">              </w:t>
      </w:r>
      <w:r>
        <w:t></w:t>
      </w:r>
      <w:r>
        <w:rPr>
          <w:rFonts w:hint="eastAsia"/>
        </w:rPr>
        <w:t xml:space="preserve">  </w:t>
      </w:r>
      <w:r>
        <w:t>；</w:t>
      </w:r>
    </w:p>
    <w:p>
      <w:r>
        <w:t>通信地址：    </w:t>
      </w:r>
      <w:r>
        <w:rPr>
          <w:rFonts w:hint="eastAsia"/>
        </w:rPr>
        <w:t xml:space="preserve">            </w:t>
      </w:r>
      <w:r>
        <w:t>。</w:t>
      </w:r>
    </w:p>
    <w:p>
      <w:r>
        <w:t>1.1.3 工程和设备</w:t>
      </w:r>
    </w:p>
    <w:p>
      <w:r>
        <w:t>1.1.3.7 作为施工现场组成部分的其他场所包括：</w:t>
      </w:r>
      <w:r>
        <w:rPr>
          <w:rFonts w:hint="eastAsia"/>
        </w:rPr>
        <w:t xml:space="preserve">           </w:t>
      </w:r>
    </w:p>
    <w:p>
      <w:r>
        <w:t xml:space="preserve">          </w:t>
      </w:r>
      <w:r>
        <w:rPr>
          <w:rFonts w:hint="eastAsia"/>
        </w:rPr>
        <w:t xml:space="preserve">      </w:t>
      </w:r>
      <w:r>
        <w:t xml:space="preserve">                 </w:t>
      </w:r>
      <w:r>
        <w:rPr>
          <w:rFonts w:hint="eastAsia"/>
        </w:rPr>
        <w:t xml:space="preserve">    </w:t>
      </w:r>
      <w:r>
        <w:t> 。</w:t>
      </w:r>
    </w:p>
    <w:p>
      <w:r>
        <w:t>1.1.3.9 永久占地包括：           </w:t>
      </w:r>
      <w:r>
        <w:rPr>
          <w:rFonts w:hint="eastAsia"/>
        </w:rPr>
        <w:t xml:space="preserve">       </w:t>
      </w:r>
      <w:r>
        <w:t></w:t>
      </w:r>
      <w:r>
        <w:rPr>
          <w:rFonts w:hint="eastAsia"/>
        </w:rPr>
        <w:t xml:space="preserve"> </w:t>
      </w:r>
      <w:r>
        <w:t xml:space="preserve">     。</w:t>
      </w:r>
    </w:p>
    <w:p>
      <w:r>
        <w:t>1.1.3.10 临时占地包括：           </w:t>
      </w:r>
      <w:r>
        <w:rPr>
          <w:rFonts w:hint="eastAsia"/>
        </w:rPr>
        <w:t xml:space="preserve">        </w:t>
      </w:r>
      <w:r>
        <w:t xml:space="preserve">    。</w:t>
      </w:r>
    </w:p>
    <w:p>
      <w:r>
        <w:t xml:space="preserve">1.3法律 </w:t>
      </w:r>
    </w:p>
    <w:p>
      <w:r>
        <w:t>适用于合同的其他规范性文件：</w:t>
      </w:r>
      <w:r>
        <w:rPr>
          <w:rFonts w:hint="eastAsia"/>
        </w:rPr>
        <w:t xml:space="preserve">    </w:t>
      </w:r>
      <w:r>
        <w:t></w:t>
      </w:r>
      <w:r>
        <w:rPr>
          <w:rFonts w:hint="eastAsia"/>
        </w:rPr>
        <w:t xml:space="preserve"> </w:t>
      </w:r>
    </w:p>
    <w:p>
      <w:r>
        <w:t xml:space="preserve">       </w:t>
      </w:r>
      <w:r>
        <w:rPr>
          <w:rFonts w:hint="eastAsia"/>
        </w:rPr>
        <w:t xml:space="preserve">            </w:t>
      </w:r>
      <w:r>
        <w:t xml:space="preserve">    </w:t>
      </w:r>
      <w:r>
        <w:rPr>
          <w:rFonts w:hint="eastAsia"/>
        </w:rPr>
        <w:t xml:space="preserve">             </w:t>
      </w:r>
      <w:r>
        <w:t xml:space="preserve"> 。</w:t>
      </w:r>
    </w:p>
    <w:p>
      <w:r>
        <w:t>1.4 标准和规范</w:t>
      </w:r>
    </w:p>
    <w:p>
      <w:r>
        <w:t>1.4.1适用于工程的标准规范包括：</w:t>
      </w:r>
      <w:r>
        <w:rPr>
          <w:rFonts w:hint="eastAsia"/>
        </w:rPr>
        <w:t xml:space="preserve">        </w:t>
      </w:r>
      <w:r>
        <w:t></w:t>
      </w:r>
      <w:r>
        <w:rPr>
          <w:rFonts w:hint="eastAsia"/>
        </w:rPr>
        <w:t xml:space="preserve">  </w:t>
      </w:r>
      <w:r>
        <w:t xml:space="preserve"> </w:t>
      </w:r>
    </w:p>
    <w:p>
      <w:r>
        <w:t></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 xml:space="preserve">  。</w:t>
      </w:r>
    </w:p>
    <w:p>
      <w:r>
        <w:t xml:space="preserve">1.4.2 发包人提供国外标准、规范的名称：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p>
    <w:p>
      <w:r>
        <w:t xml:space="preserve">发包人提供国外标准、规范的份数：     </w:t>
      </w:r>
      <w:r>
        <w:rPr>
          <w:rFonts w:hint="eastAsia"/>
        </w:rPr>
        <w:t xml:space="preserve">  </w:t>
      </w:r>
      <w:r>
        <w:t xml:space="preserve"> </w:t>
      </w:r>
      <w:r>
        <w:rPr>
          <w:rFonts w:hint="eastAsia"/>
        </w:rPr>
        <w:t xml:space="preserve">   </w:t>
      </w:r>
      <w:r>
        <w:t xml:space="preserve">           ；</w:t>
      </w:r>
    </w:p>
    <w:p>
      <w:r>
        <w:t xml:space="preserve">发包人提供国外标准、规范的名称：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1.4.3发包人对工程的技术标准和功能要求的特殊要求：</w:t>
      </w:r>
    </w:p>
    <w:p>
      <w:r>
        <w:t xml:space="preserve">      </w:t>
      </w:r>
      <w:r>
        <w:rPr>
          <w:rFonts w:hint="eastAsia"/>
        </w:rPr>
        <w:t xml:space="preserve">  </w:t>
      </w:r>
      <w:r>
        <w:t xml:space="preserve"> 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1.5 合同文件的优先顺序</w:t>
      </w:r>
    </w:p>
    <w:p>
      <w:r>
        <w:t>合同文件组成及优先顺序为： </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  。</w:t>
      </w:r>
    </w:p>
    <w:p>
      <w:r>
        <w:t>1.6 图纸和承包人文件</w:t>
      </w:r>
      <w:r>
        <w:tab/>
      </w:r>
    </w:p>
    <w:p>
      <w:r>
        <w:t>1.6.1 图纸的提供</w:t>
      </w:r>
    </w:p>
    <w:p>
      <w:r>
        <w:t>发包人向承包人提供图纸的期限：</w:t>
      </w:r>
      <w:r>
        <w:rPr>
          <w:rFonts w:hint="eastAsia"/>
        </w:rPr>
        <w:t xml:space="preserve">    </w:t>
      </w:r>
      <w:r>
        <w:t>；</w:t>
      </w:r>
    </w:p>
    <w:p>
      <w:r>
        <w:t>发包人向承包人提供图纸的数量：</w:t>
      </w:r>
      <w:r>
        <w:rPr>
          <w:rFonts w:hint="eastAsia"/>
        </w:rPr>
        <w:t xml:space="preserve">    </w:t>
      </w:r>
      <w:r>
        <w:t>；</w:t>
      </w:r>
    </w:p>
    <w:p>
      <w:r>
        <w:t>发包人向承包人提供图纸的内容：</w:t>
      </w:r>
      <w:r>
        <w:rPr>
          <w:rFonts w:hint="eastAsia"/>
        </w:rPr>
        <w:t xml:space="preserve">    </w:t>
      </w:r>
      <w:r>
        <w:t>。</w:t>
      </w:r>
    </w:p>
    <w:p>
      <w:r>
        <w:t>1.6.4 承包人文件</w:t>
      </w:r>
    </w:p>
    <w:p>
      <w:r>
        <w:t>需要由承包人提供的文件，包括：</w:t>
      </w:r>
      <w:r>
        <w:rPr>
          <w:rFonts w:hint="eastAsia"/>
        </w:rPr>
        <w:t xml:space="preserve">          </w:t>
      </w:r>
      <w:r>
        <w:t></w:t>
      </w:r>
    </w:p>
    <w:p>
      <w:r>
        <w:t></w:t>
      </w:r>
      <w:r>
        <w:rPr>
          <w:rFonts w:hint="eastAsia"/>
        </w:rPr>
        <w:t xml:space="preserve"> </w:t>
      </w:r>
      <w:r>
        <w:t></w:t>
      </w:r>
      <w:r>
        <w:rPr>
          <w:rFonts w:hint="eastAsia"/>
        </w:rPr>
        <w:t xml:space="preserve"> </w:t>
      </w:r>
      <w:r>
        <w:t>；</w:t>
      </w:r>
    </w:p>
    <w:p>
      <w:r>
        <w:t>承包人提供的文件的期限为： </w:t>
      </w:r>
      <w:r>
        <w:rPr>
          <w:rFonts w:hint="eastAsia"/>
        </w:rPr>
        <w:t xml:space="preserve">    </w:t>
      </w:r>
      <w:r>
        <w:t></w:t>
      </w:r>
      <w:r>
        <w:rPr>
          <w:rFonts w:hint="eastAsia"/>
        </w:rPr>
        <w:t xml:space="preserve"> </w:t>
      </w:r>
      <w:r>
        <w:t></w:t>
      </w:r>
      <w:r>
        <w:rPr>
          <w:rFonts w:hint="eastAsia"/>
        </w:rPr>
        <w:t xml:space="preserve"> </w:t>
      </w:r>
      <w:r>
        <w:t>；</w:t>
      </w:r>
    </w:p>
    <w:p>
      <w:r>
        <w:t>承包人提供的文件的数量为：</w:t>
      </w:r>
      <w:r>
        <w:rPr>
          <w:rFonts w:hint="eastAsia"/>
        </w:rPr>
        <w:t xml:space="preserve">    </w:t>
      </w:r>
      <w:r>
        <w:t xml:space="preserve">  </w:t>
      </w:r>
      <w:r>
        <w:rPr>
          <w:rFonts w:hint="eastAsia"/>
        </w:rPr>
        <w:t xml:space="preserve"> </w:t>
      </w:r>
      <w:r>
        <w:t xml:space="preserve"> </w:t>
      </w:r>
      <w:r>
        <w:rPr>
          <w:rFonts w:hint="eastAsia"/>
        </w:rPr>
        <w:t xml:space="preserve">  </w:t>
      </w:r>
      <w:r>
        <w:t>；</w:t>
      </w:r>
    </w:p>
    <w:p>
      <w:r>
        <w:t>承包人提供的文件的形式为： </w:t>
      </w:r>
      <w:r>
        <w:rPr>
          <w:rFonts w:hint="eastAsia"/>
        </w:rPr>
        <w:t xml:space="preserve">      </w:t>
      </w:r>
      <w:r>
        <w:t>；</w:t>
      </w:r>
    </w:p>
    <w:p>
      <w:r>
        <w:t>发包人</w:t>
      </w:r>
      <w:r>
        <w:rPr>
          <w:rFonts w:hint="eastAsia"/>
        </w:rPr>
        <w:t>审批</w:t>
      </w:r>
      <w:r>
        <w:t>承包人文件的期限： </w:t>
      </w:r>
      <w:r>
        <w:rPr>
          <w:rFonts w:hint="eastAsia"/>
        </w:rPr>
        <w:t xml:space="preserve">     </w:t>
      </w:r>
      <w:r>
        <w:t></w:t>
      </w:r>
      <w:r>
        <w:rPr>
          <w:rFonts w:hint="eastAsia"/>
        </w:rPr>
        <w:t xml:space="preserve"> </w:t>
      </w:r>
      <w:r>
        <w:t>。</w:t>
      </w:r>
    </w:p>
    <w:p>
      <w:r>
        <w:t>1.6.5 现场图纸准备</w:t>
      </w:r>
    </w:p>
    <w:p>
      <w:r>
        <w:t>关于现场图纸准备的约定：   </w:t>
      </w:r>
      <w:r>
        <w:rPr>
          <w:rFonts w:hint="eastAsia"/>
        </w:rPr>
        <w:t xml:space="preserve">      </w:t>
      </w:r>
      <w:r>
        <w:t></w:t>
      </w:r>
      <w:r>
        <w:rPr>
          <w:rFonts w:hint="eastAsia"/>
        </w:rPr>
        <w:t xml:space="preserve"> </w:t>
      </w:r>
      <w:r>
        <w:t>。</w:t>
      </w:r>
    </w:p>
    <w:p>
      <w:r>
        <w:t>1.7 联络</w:t>
      </w:r>
    </w:p>
    <w:p>
      <w:r>
        <w:t>1.7.1发包人和承包人应当在</w:t>
      </w:r>
      <w:r>
        <w:rPr>
          <w:rFonts w:hint="eastAsia"/>
        </w:rPr>
        <w:t xml:space="preserve"> </w:t>
      </w:r>
      <w:r>
        <w:t xml:space="preserve">   天内将与合同有关的通知、批准、证明、证书、指示、指令、要求、请求、同意、意见、确定和决定等书面函件送达对方当事人</w:t>
      </w:r>
      <w:r>
        <w:rPr>
          <w:rFonts w:hint="eastAsia"/>
        </w:rPr>
        <w:t>。</w:t>
      </w:r>
    </w:p>
    <w:p>
      <w:r>
        <w:t xml:space="preserve">1.7.2 发包人接收文件的地点： </w:t>
      </w:r>
      <w:r>
        <w:rPr>
          <w:rFonts w:hint="eastAsia"/>
        </w:rPr>
        <w:t xml:space="preserve"> </w:t>
      </w:r>
      <w:r>
        <w:t></w:t>
      </w:r>
      <w:r>
        <w:rPr>
          <w:rFonts w:hint="eastAsia"/>
        </w:rPr>
        <w:t xml:space="preserve">   </w:t>
      </w:r>
      <w:r>
        <w:t></w:t>
      </w:r>
      <w:r>
        <w:rPr>
          <w:rFonts w:hint="eastAsia"/>
        </w:rPr>
        <w:t xml:space="preserve"> </w:t>
      </w:r>
      <w:r>
        <w:t>；</w:t>
      </w:r>
    </w:p>
    <w:p>
      <w:r>
        <w:t>发包人指定的接收人为： </w:t>
      </w:r>
      <w:r>
        <w:rPr>
          <w:rFonts w:hint="eastAsia"/>
        </w:rPr>
        <w:t xml:space="preserve">      </w:t>
      </w:r>
      <w:r>
        <w:t></w:t>
      </w:r>
      <w:r>
        <w:rPr>
          <w:rFonts w:hint="eastAsia"/>
        </w:rPr>
        <w:t xml:space="preserve">   </w:t>
      </w:r>
      <w:r>
        <w:t></w:t>
      </w:r>
      <w:r>
        <w:rPr>
          <w:rFonts w:hint="eastAsia"/>
        </w:rPr>
        <w:t xml:space="preserve">     </w:t>
      </w:r>
      <w:r>
        <w:t>。</w:t>
      </w:r>
    </w:p>
    <w:p>
      <w:r>
        <w:t>承包人接收文件的地点： </w:t>
      </w:r>
      <w:r>
        <w:rPr>
          <w:rFonts w:hint="eastAsia"/>
        </w:rPr>
        <w:t xml:space="preserve">            </w:t>
      </w:r>
      <w:r>
        <w:t>；</w:t>
      </w:r>
    </w:p>
    <w:p>
      <w:r>
        <w:t>承包人指定的接收人为： </w:t>
      </w:r>
      <w:r>
        <w:rPr>
          <w:rFonts w:hint="eastAsia"/>
        </w:rPr>
        <w:t xml:space="preserve">            </w:t>
      </w:r>
      <w:r>
        <w:t>。</w:t>
      </w:r>
    </w:p>
    <w:p>
      <w:r>
        <w:t>监理人接收文件的地点： </w:t>
      </w:r>
      <w:r>
        <w:rPr>
          <w:rFonts w:hint="eastAsia"/>
        </w:rPr>
        <w:t xml:space="preserve">        </w:t>
      </w:r>
      <w:r>
        <w:t></w:t>
      </w:r>
      <w:r>
        <w:rPr>
          <w:rFonts w:hint="eastAsia"/>
        </w:rPr>
        <w:t xml:space="preserve">   </w:t>
      </w:r>
      <w:r>
        <w:t>；</w:t>
      </w:r>
    </w:p>
    <w:p>
      <w:r>
        <w:t>监理人指定的接收人为： </w:t>
      </w:r>
      <w:r>
        <w:rPr>
          <w:rFonts w:hint="eastAsia"/>
        </w:rPr>
        <w:t xml:space="preserve">         </w:t>
      </w:r>
      <w:r>
        <w:t></w:t>
      </w:r>
      <w:r>
        <w:rPr>
          <w:rFonts w:hint="eastAsia"/>
        </w:rPr>
        <w:t xml:space="preserve">  </w:t>
      </w:r>
      <w:r>
        <w:t>。</w:t>
      </w:r>
    </w:p>
    <w:p>
      <w:r>
        <w:t>1.10 交通运输</w:t>
      </w:r>
    </w:p>
    <w:p>
      <w:r>
        <w:t>1</w:t>
      </w:r>
      <w:bookmarkStart w:id="547" w:name="_Toc300934943"/>
      <w:bookmarkStart w:id="548" w:name="_Toc312677986"/>
      <w:bookmarkStart w:id="549" w:name="_Toc318581155"/>
      <w:bookmarkStart w:id="550" w:name="_Toc303539100"/>
      <w:bookmarkStart w:id="551" w:name="_Toc304295521"/>
      <w:r>
        <w:t>.10.1 出入现场的权利</w:t>
      </w:r>
    </w:p>
    <w:p>
      <w:r>
        <w:t>关于出入现场的权利的约定： </w:t>
      </w:r>
      <w:r>
        <w:rPr>
          <w:rFonts w:hint="eastAsia"/>
        </w:rPr>
        <w:t xml:space="preserve"> </w:t>
      </w:r>
      <w:r>
        <w:t></w:t>
      </w:r>
    </w:p>
    <w:p>
      <w:r>
        <w:t> </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p>
    <w:bookmarkEnd w:id="547"/>
    <w:bookmarkEnd w:id="548"/>
    <w:bookmarkEnd w:id="549"/>
    <w:bookmarkEnd w:id="550"/>
    <w:bookmarkEnd w:id="551"/>
    <w:p>
      <w:r>
        <w:t>1</w:t>
      </w:r>
      <w:bookmarkStart w:id="552" w:name="_Toc303539101"/>
      <w:bookmarkStart w:id="553" w:name="_Toc312677987"/>
      <w:bookmarkStart w:id="554" w:name="_Toc318581156"/>
      <w:bookmarkStart w:id="555" w:name="_Toc304295522"/>
      <w:bookmarkStart w:id="556" w:name="_Toc300934944"/>
      <w:r>
        <w:t>.10.3 场内交通</w:t>
      </w:r>
    </w:p>
    <w:p>
      <w:r>
        <w:t>关于场外交通和场内交通的边界的约定：  </w:t>
      </w:r>
      <w:r>
        <w:rPr>
          <w:rFonts w:hint="eastAsia"/>
        </w:rPr>
        <w:t xml:space="preserve">   </w:t>
      </w:r>
      <w:r>
        <w:t xml:space="preserve">   </w:t>
      </w:r>
      <w:r>
        <w:rPr>
          <w:rFonts w:hint="eastAsia"/>
        </w:rPr>
        <w:t xml:space="preserve">                                                   </w:t>
      </w:r>
      <w:r>
        <w:t>。</w:t>
      </w:r>
    </w:p>
    <w:p>
      <w:r>
        <w:t>关于发包人向承包人免费提供满足工程施工需要的场内道路和交通设施的约定：        </w:t>
      </w:r>
      <w:r>
        <w:rPr>
          <w:rFonts w:hint="eastAsia"/>
        </w:rPr>
        <w:t xml:space="preserve">  </w:t>
      </w:r>
      <w:r>
        <w:t xml:space="preserve">    </w:t>
      </w:r>
      <w:r>
        <w:rPr>
          <w:rFonts w:hint="eastAsia"/>
        </w:rPr>
        <w:t xml:space="preserve">                     </w:t>
      </w:r>
      <w:r>
        <w:t xml:space="preserve"> </w:t>
      </w:r>
      <w:r>
        <w:rPr>
          <w:rFonts w:hint="eastAsia"/>
        </w:rPr>
        <w:t xml:space="preserve">    </w:t>
      </w:r>
      <w:r>
        <w:t>。</w:t>
      </w:r>
      <w:bookmarkEnd w:id="552"/>
      <w:bookmarkEnd w:id="553"/>
      <w:bookmarkEnd w:id="554"/>
      <w:bookmarkEnd w:id="555"/>
      <w:bookmarkEnd w:id="556"/>
      <w:r>
        <w:t xml:space="preserve">  </w:t>
      </w:r>
      <w:bookmarkStart w:id="557" w:name="_Toc318581157"/>
    </w:p>
    <w:p>
      <w:r>
        <w:t>1.10.4超大件和超重件的运输</w:t>
      </w:r>
    </w:p>
    <w:p>
      <w:r>
        <w:t>运输超大件或超重件所需的道路和桥梁临时加固改造费用和其他有关费用由              承担。</w:t>
      </w:r>
    </w:p>
    <w:bookmarkEnd w:id="557"/>
    <w:p>
      <w:r>
        <w:t>1.11 知识产权</w:t>
      </w:r>
    </w:p>
    <w:p>
      <w:r>
        <w:t>1.11.1关于发包人提供给承包人的图纸、发包人为实施工程自行编制或委托编制的技术规范以及反映发包人关于合同要求或其他类似性质的文件的著作权的归属：                     </w:t>
      </w:r>
    </w:p>
    <w:p>
      <w:r>
        <w:t xml:space="preserve">            </w:t>
      </w:r>
      <w:r>
        <w:rPr>
          <w:rFonts w:hint="eastAsia"/>
        </w:rPr>
        <w:t xml:space="preserve">  </w:t>
      </w:r>
      <w:r>
        <w:t xml:space="preserve">  </w:t>
      </w:r>
      <w:r>
        <w:rPr>
          <w:rFonts w:hint="eastAsia"/>
        </w:rPr>
        <w:t xml:space="preserve">              </w:t>
      </w:r>
      <w:r>
        <w:t>     。</w:t>
      </w:r>
    </w:p>
    <w:p>
      <w:r>
        <w:t xml:space="preserve">关于发包人提供的上述文件的使用限制的要求：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1.11.2 关于承包人为实施工程所编制文件的著作权的归属：  </w:t>
      </w:r>
      <w:r>
        <w:rPr>
          <w:rFonts w:hint="eastAsia"/>
        </w:rPr>
        <w:t xml:space="preserve">  </w:t>
      </w:r>
    </w:p>
    <w:p>
      <w:r>
        <w:t xml:space="preserve">       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关于承包人提供的上述文件的使用限制的要求：   </w:t>
      </w:r>
    </w:p>
    <w:p>
      <w:r>
        <w:t xml:space="preserve">      </w:t>
      </w:r>
      <w:r>
        <w:rPr>
          <w:rFonts w:hint="eastAsia"/>
        </w:rPr>
        <w:t xml:space="preserve">           </w:t>
      </w:r>
      <w:r>
        <w:t xml:space="preserve">        </w:t>
      </w:r>
      <w:r>
        <w:rPr>
          <w:rFonts w:hint="eastAsia"/>
        </w:rPr>
        <w:t xml:space="preserve">     </w:t>
      </w:r>
      <w:r>
        <w:t>     。</w:t>
      </w:r>
    </w:p>
    <w:p>
      <w:r>
        <w:t xml:space="preserve">1.11.4 承包人在施工过程中所采用的专利、专有技术、技术秘密的使用费的承担方式：        </w:t>
      </w:r>
      <w:r>
        <w:rPr>
          <w:rFonts w:hint="eastAsia"/>
        </w:rPr>
        <w:t xml:space="preserve">       </w:t>
      </w:r>
      <w:r>
        <w:t xml:space="preserve">  </w:t>
      </w:r>
      <w:r>
        <w:rPr>
          <w:rFonts w:hint="eastAsia"/>
        </w:rPr>
        <w:t xml:space="preserve">  </w:t>
      </w:r>
      <w:r>
        <w:t xml:space="preserve">   </w:t>
      </w:r>
      <w:r>
        <w:rPr>
          <w:rFonts w:hint="eastAsia"/>
        </w:rPr>
        <w:t xml:space="preserve"> </w:t>
      </w:r>
      <w:r>
        <w:t>     。</w:t>
      </w:r>
    </w:p>
    <w:p>
      <w:r>
        <w:t>1.13工程量清单错误的修正</w:t>
      </w:r>
    </w:p>
    <w:p>
      <w:r>
        <w:rPr>
          <w:rFonts w:hint="eastAsia"/>
        </w:rPr>
        <w:t>出现工程量清单错误时，是否调整合同价格：</w:t>
      </w:r>
      <w:r>
        <w:t xml:space="preserve"> </w:t>
      </w:r>
      <w:r>
        <w:rPr>
          <w:rFonts w:hint="eastAsia"/>
        </w:rPr>
        <w:t xml:space="preserve">  </w:t>
      </w:r>
      <w:r>
        <w:t xml:space="preserve">   </w:t>
      </w:r>
      <w:r>
        <w:rPr>
          <w:rFonts w:hint="eastAsia"/>
        </w:rPr>
        <w:t xml:space="preserve"> </w:t>
      </w:r>
      <w:r>
        <w:t xml:space="preserve">     。</w:t>
      </w:r>
    </w:p>
    <w:p>
      <w:r>
        <w:t xml:space="preserve">允许调整合同价格的工程量偏差范围：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  。</w:t>
      </w:r>
    </w:p>
    <w:p>
      <w:bookmarkStart w:id="558" w:name="_Toc351203634"/>
      <w:r>
        <w:t>2</w:t>
      </w:r>
      <w:bookmarkStart w:id="559" w:name="_Toc296503157"/>
      <w:bookmarkStart w:id="560" w:name="_Toc297048343"/>
      <w:bookmarkStart w:id="561" w:name="_Toc292559362"/>
      <w:bookmarkStart w:id="562" w:name="_Toc292559867"/>
      <w:bookmarkStart w:id="563" w:name="_Toc296346658"/>
      <w:bookmarkStart w:id="564" w:name="_Toc296944496"/>
      <w:bookmarkStart w:id="565" w:name="_Toc296347156"/>
      <w:bookmarkStart w:id="566" w:name="_Toc296890985"/>
      <w:bookmarkStart w:id="567" w:name="_Toc296891197"/>
      <w:bookmarkStart w:id="568" w:name="_Toc297120457"/>
      <w:r>
        <w:t>. 发包人</w:t>
      </w:r>
      <w:bookmarkEnd w:id="558"/>
    </w:p>
    <w:bookmarkEnd w:id="559"/>
    <w:bookmarkEnd w:id="560"/>
    <w:bookmarkEnd w:id="561"/>
    <w:bookmarkEnd w:id="562"/>
    <w:bookmarkEnd w:id="563"/>
    <w:bookmarkEnd w:id="564"/>
    <w:bookmarkEnd w:id="565"/>
    <w:bookmarkEnd w:id="566"/>
    <w:bookmarkEnd w:id="567"/>
    <w:bookmarkEnd w:id="568"/>
    <w:p>
      <w:r>
        <w:t>2.2 发包人代表</w:t>
      </w:r>
    </w:p>
    <w:p>
      <w:r>
        <w:t>发包人代表：</w:t>
      </w:r>
    </w:p>
    <w:p>
      <w:r>
        <w:t xml:space="preserve">姓    名：  </w:t>
      </w:r>
      <w:r>
        <w:rPr>
          <w:rFonts w:hint="eastAsia"/>
        </w:rPr>
        <w:t xml:space="preserve">  </w:t>
      </w:r>
      <w:r>
        <w:t> ；</w:t>
      </w:r>
    </w:p>
    <w:p>
      <w:r>
        <w:t xml:space="preserve">身份证号：   </w:t>
      </w:r>
      <w:r>
        <w:rPr>
          <w:rFonts w:hint="eastAsia"/>
        </w:rPr>
        <w:t xml:space="preserve"> </w:t>
      </w:r>
      <w:r>
        <w:t></w:t>
      </w:r>
      <w:r>
        <w:rPr>
          <w:rFonts w:hint="eastAsia"/>
        </w:rPr>
        <w:t xml:space="preserve"> </w:t>
      </w:r>
      <w:r>
        <w:t xml:space="preserve"> ；</w:t>
      </w:r>
    </w:p>
    <w:p>
      <w:r>
        <w:t>职    务：    ；</w:t>
      </w:r>
    </w:p>
    <w:p>
      <w:r>
        <w:t>联系电话：   </w:t>
      </w:r>
      <w:r>
        <w:rPr>
          <w:rFonts w:hint="eastAsia"/>
        </w:rPr>
        <w:t xml:space="preserve"> </w:t>
      </w:r>
      <w:r>
        <w:t> ；</w:t>
      </w:r>
    </w:p>
    <w:p>
      <w:r>
        <w:t>电子信箱：   </w:t>
      </w:r>
      <w:r>
        <w:rPr>
          <w:rFonts w:hint="eastAsia"/>
        </w:rPr>
        <w:t xml:space="preserve"> </w:t>
      </w:r>
      <w:r>
        <w:t> ；</w:t>
      </w:r>
    </w:p>
    <w:p>
      <w:r>
        <w:t>通信地址：</w:t>
      </w:r>
      <w:r>
        <w:rPr>
          <w:rFonts w:hint="eastAsia"/>
        </w:rPr>
        <w:t xml:space="preserve">  </w:t>
      </w:r>
      <w:r>
        <w:t xml:space="preserve">  。</w:t>
      </w:r>
    </w:p>
    <w:p>
      <w:r>
        <w:t>发包人对发包人代表的授权范围如下：     </w:t>
      </w:r>
    </w:p>
    <w:p>
      <w:r>
        <w:rPr>
          <w:rFonts w:hint="eastAsia"/>
        </w:rPr>
        <w:t xml:space="preserve">   </w:t>
      </w:r>
      <w:r>
        <w:t xml:space="preserve"> </w:t>
      </w:r>
      <w:r>
        <w:rPr>
          <w:rFonts w:hint="eastAsia"/>
        </w:rPr>
        <w:t xml:space="preserve">                                            </w:t>
      </w:r>
      <w:r>
        <w:t>。</w:t>
      </w:r>
    </w:p>
    <w:p>
      <w:r>
        <w:t>2.4 施工现场、施工条件和基础资料的提供</w:t>
      </w:r>
    </w:p>
    <w:p>
      <w:r>
        <w:t>2.4.1 提供施工现场</w:t>
      </w:r>
    </w:p>
    <w:p>
      <w:r>
        <w:t xml:space="preserve">关于发包人移交施工现场的期限要求：                               </w:t>
      </w:r>
      <w:r>
        <w:rPr>
          <w:rFonts w:hint="eastAsia"/>
        </w:rPr>
        <w:t xml:space="preserve">   </w:t>
      </w:r>
      <w:r>
        <w:t xml:space="preserve">                </w:t>
      </w:r>
      <w:r>
        <w:rPr>
          <w:rFonts w:hint="eastAsia"/>
        </w:rPr>
        <w:t xml:space="preserve">   </w:t>
      </w:r>
      <w:r>
        <w:t xml:space="preserve">      。</w:t>
      </w:r>
    </w:p>
    <w:p>
      <w:r>
        <w:t>2.4.2 提供施工条件</w:t>
      </w:r>
    </w:p>
    <w:p>
      <w:r>
        <w:t>关于发包人应负责提供施工</w:t>
      </w:r>
      <w:r>
        <w:rPr>
          <w:rFonts w:hint="eastAsia"/>
        </w:rPr>
        <w:t>所需要的条件，</w:t>
      </w:r>
      <w:r>
        <w:t xml:space="preserve">包括：   </w:t>
      </w:r>
      <w:r>
        <w:rPr>
          <w:rFonts w:hint="eastAsia"/>
        </w:rPr>
        <w:t xml:space="preserve"> </w:t>
      </w:r>
      <w:r>
        <w:t xml:space="preserve">     </w:t>
      </w:r>
      <w:r>
        <w:rPr>
          <w:rFonts w:hint="eastAsia"/>
        </w:rPr>
        <w:t xml:space="preserve">                                                </w:t>
      </w:r>
      <w:r>
        <w:t xml:space="preserve">   。</w:t>
      </w:r>
    </w:p>
    <w:p>
      <w:r>
        <w:t>2.5 资金来源证明及支付担保</w:t>
      </w:r>
    </w:p>
    <w:p>
      <w:r>
        <w:t xml:space="preserve">发包人提供资金来源证明的期限要求：  </w:t>
      </w:r>
      <w:r>
        <w:rPr>
          <w:rFonts w:hint="eastAsia"/>
        </w:rPr>
        <w:t xml:space="preserve">  </w:t>
      </w:r>
      <w:r>
        <w:t xml:space="preserve">           。</w:t>
      </w:r>
    </w:p>
    <w:p>
      <w:r>
        <w:t xml:space="preserve">发包人是否提供支付担保：            </w:t>
      </w:r>
      <w:r>
        <w:rPr>
          <w:rFonts w:hint="eastAsia"/>
        </w:rPr>
        <w:t xml:space="preserve">  </w:t>
      </w:r>
      <w:r>
        <w:t xml:space="preserve">       。</w:t>
      </w:r>
    </w:p>
    <w:p>
      <w:r>
        <w:t xml:space="preserve">发包人提供支付担保的形式：         </w:t>
      </w:r>
      <w:r>
        <w:rPr>
          <w:rFonts w:hint="eastAsia"/>
        </w:rPr>
        <w:t xml:space="preserve">  </w:t>
      </w:r>
      <w:r>
        <w:t xml:space="preserve">    </w:t>
      </w:r>
      <w:r>
        <w:rPr>
          <w:rFonts w:hint="eastAsia"/>
        </w:rPr>
        <w:t xml:space="preserve"> </w:t>
      </w:r>
      <w:r>
        <w:t xml:space="preserve">     。</w:t>
      </w:r>
    </w:p>
    <w:p>
      <w:bookmarkStart w:id="569" w:name="_Toc351203635"/>
      <w:r>
        <w:t>3</w:t>
      </w:r>
      <w:bookmarkStart w:id="570" w:name="_Toc297120458"/>
      <w:bookmarkStart w:id="571" w:name="_Toc297048344"/>
      <w:bookmarkStart w:id="572" w:name="_Toc296890986"/>
      <w:bookmarkStart w:id="573" w:name="_Toc296346659"/>
      <w:bookmarkStart w:id="574" w:name="_Toc292559868"/>
      <w:bookmarkStart w:id="575" w:name="_Toc296347157"/>
      <w:bookmarkStart w:id="576" w:name="_Toc296503158"/>
      <w:bookmarkStart w:id="577" w:name="_Toc292559363"/>
      <w:bookmarkStart w:id="578" w:name="_Toc296891198"/>
      <w:bookmarkStart w:id="579" w:name="_Toc296944497"/>
      <w:r>
        <w:t>. 承包人</w:t>
      </w:r>
      <w:bookmarkEnd w:id="569"/>
    </w:p>
    <w:bookmarkEnd w:id="570"/>
    <w:bookmarkEnd w:id="571"/>
    <w:bookmarkEnd w:id="572"/>
    <w:bookmarkEnd w:id="573"/>
    <w:bookmarkEnd w:id="574"/>
    <w:bookmarkEnd w:id="575"/>
    <w:bookmarkEnd w:id="576"/>
    <w:bookmarkEnd w:id="577"/>
    <w:bookmarkEnd w:id="578"/>
    <w:bookmarkEnd w:id="579"/>
    <w:p>
      <w:r>
        <w:t>3.1 承包人的一般义务</w:t>
      </w:r>
    </w:p>
    <w:p>
      <w:r>
        <w:t>（</w:t>
      </w:r>
      <w:r>
        <w:rPr>
          <w:rFonts w:hint="eastAsia"/>
        </w:rPr>
        <w:t>9</w:t>
      </w:r>
      <w:r>
        <w:t xml:space="preserve">）承包人提交的竣工资料的内容：                      </w:t>
      </w:r>
    </w:p>
    <w:p>
      <w:r>
        <w:t xml:space="preserve">                                     </w:t>
      </w:r>
      <w:r>
        <w:rPr>
          <w:rFonts w:hint="eastAsia"/>
        </w:rPr>
        <w:t xml:space="preserve">              </w:t>
      </w:r>
      <w:r>
        <w:t xml:space="preserve">      。</w:t>
      </w:r>
    </w:p>
    <w:p>
      <w:r>
        <w:t xml:space="preserve">承包人需要提交的竣工资料套数：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承包人提交的竣工资料的费用承担：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承包人提交的竣工资料移交时间：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承包人提交的竣工资料形式要求：        </w:t>
      </w:r>
      <w:r>
        <w:rPr>
          <w:rFonts w:hint="eastAsia"/>
        </w:rPr>
        <w:t xml:space="preserve"> </w:t>
      </w:r>
      <w:r>
        <w:t xml:space="preserve">      </w:t>
      </w:r>
      <w:r>
        <w:rPr>
          <w:rFonts w:hint="eastAsia"/>
        </w:rPr>
        <w:t xml:space="preserve">  </w:t>
      </w:r>
      <w:r>
        <w:t xml:space="preserve">      。</w:t>
      </w:r>
    </w:p>
    <w:p>
      <w:r>
        <w:t>（</w:t>
      </w:r>
      <w:r>
        <w:rPr>
          <w:rFonts w:hint="eastAsia"/>
        </w:rPr>
        <w:t>10</w:t>
      </w:r>
      <w:r>
        <w:t xml:space="preserve">）承包人应履行的其他义务：                                      </w:t>
      </w:r>
      <w:r>
        <w:rPr>
          <w:rFonts w:hint="eastAsia"/>
        </w:rPr>
        <w:t xml:space="preserve">                                             </w:t>
      </w:r>
      <w:r>
        <w:t xml:space="preserve">       。</w:t>
      </w:r>
    </w:p>
    <w:p>
      <w:r>
        <w:t>3.2 项目经理</w:t>
      </w:r>
    </w:p>
    <w:p>
      <w:r>
        <w:t>3.2.1 项目经理：</w:t>
      </w:r>
    </w:p>
    <w:p>
      <w:r>
        <w:t>姓    名：  </w:t>
      </w:r>
      <w:r>
        <w:rPr>
          <w:rFonts w:hint="eastAsia"/>
        </w:rPr>
        <w:t xml:space="preserve">      </w:t>
      </w:r>
      <w:r>
        <w:t> ；</w:t>
      </w:r>
    </w:p>
    <w:p>
      <w:r>
        <w:t>身份证号：  </w:t>
      </w:r>
      <w:r>
        <w:rPr>
          <w:rFonts w:hint="eastAsia"/>
        </w:rPr>
        <w:t xml:space="preserve">      </w:t>
      </w:r>
      <w:r>
        <w:t> ；</w:t>
      </w:r>
    </w:p>
    <w:p>
      <w:r>
        <w:t>建造师执业资格等级：   ；</w:t>
      </w:r>
    </w:p>
    <w:p>
      <w:r>
        <w:t>建造师注册证书号： ；</w:t>
      </w:r>
    </w:p>
    <w:p>
      <w:r>
        <w:t>建造师执业印章号： ；</w:t>
      </w:r>
    </w:p>
    <w:p>
      <w:r>
        <w:t>安全生产考核合格证书号： ；</w:t>
      </w:r>
    </w:p>
    <w:p>
      <w:r>
        <w:t>联系电话：  </w:t>
      </w:r>
      <w:r>
        <w:rPr>
          <w:rFonts w:hint="eastAsia"/>
        </w:rPr>
        <w:t xml:space="preserve">      </w:t>
      </w:r>
      <w:r>
        <w:t> ；</w:t>
      </w:r>
    </w:p>
    <w:p>
      <w:r>
        <w:t xml:space="preserve">电子信箱：  </w:t>
      </w:r>
      <w:r>
        <w:rPr>
          <w:rFonts w:hint="eastAsia"/>
        </w:rPr>
        <w:t xml:space="preserve">      </w:t>
      </w:r>
      <w:r>
        <w:t> ；</w:t>
      </w:r>
    </w:p>
    <w:p>
      <w:r>
        <w:t xml:space="preserve">通信地址：  </w:t>
      </w:r>
      <w:r>
        <w:rPr>
          <w:rFonts w:hint="eastAsia"/>
        </w:rPr>
        <w:t xml:space="preserve">      </w:t>
      </w:r>
      <w:r>
        <w:t> ；</w:t>
      </w:r>
    </w:p>
    <w:p>
      <w:r>
        <w:t>承包人对项目经理的授权范围如下：</w:t>
      </w:r>
      <w:r>
        <w:rPr>
          <w:rFonts w:hint="eastAsia"/>
        </w:rPr>
        <w:t xml:space="preserve"> </w:t>
      </w:r>
      <w:r>
        <w:t></w:t>
      </w:r>
      <w:r>
        <w:rPr>
          <w:rFonts w:hint="eastAsia"/>
        </w:rPr>
        <w:t xml:space="preserve">                                                       </w:t>
      </w:r>
      <w:r>
        <w:t>。</w:t>
      </w:r>
    </w:p>
    <w:p>
      <w:r>
        <w:t>关于项目经理每月在施工现场的时间要求：       </w:t>
      </w:r>
      <w:r>
        <w:rPr>
          <w:rFonts w:hint="eastAsia"/>
        </w:rPr>
        <w:t xml:space="preserve"> </w:t>
      </w:r>
      <w:r>
        <w:t xml:space="preserve">               </w:t>
      </w:r>
      <w:r>
        <w:rPr>
          <w:rFonts w:hint="eastAsia"/>
        </w:rPr>
        <w:t xml:space="preserve"> </w:t>
      </w:r>
      <w:r>
        <w:t xml:space="preserve">     </w:t>
      </w:r>
      <w:r>
        <w:rPr>
          <w:rFonts w:hint="eastAsia"/>
        </w:rPr>
        <w:t xml:space="preserve">                               </w:t>
      </w:r>
      <w:r>
        <w:t>。</w:t>
      </w:r>
    </w:p>
    <w:p>
      <w:r>
        <w:t xml:space="preserve">承包人未提交劳动合同，以及没有为项目经理缴纳社会保险证明的违约责任：                     </w:t>
      </w:r>
      <w:r>
        <w:rPr>
          <w:rFonts w:hint="eastAsia"/>
        </w:rPr>
        <w:t xml:space="preserve">       </w:t>
      </w:r>
      <w:r>
        <w:t xml:space="preserve">    </w:t>
      </w:r>
      <w:r>
        <w:rPr>
          <w:rFonts w:hint="eastAsia"/>
        </w:rPr>
        <w:t xml:space="preserve">                                                     </w:t>
      </w:r>
      <w:r>
        <w:t>。</w:t>
      </w:r>
    </w:p>
    <w:p>
      <w:r>
        <w:t xml:space="preserve">项目经理未经批准，擅自离开施工现场的违约责任：     </w:t>
      </w:r>
      <w:r>
        <w:rPr>
          <w:rFonts w:hint="eastAsia"/>
        </w:rPr>
        <w:t xml:space="preserve"> </w:t>
      </w:r>
      <w:r>
        <w:t xml:space="preserve">                     </w:t>
      </w:r>
      <w:r>
        <w:rPr>
          <w:rFonts w:hint="eastAsia"/>
        </w:rPr>
        <w:t xml:space="preserve">                             </w:t>
      </w:r>
      <w:r>
        <w:t>。</w:t>
      </w:r>
    </w:p>
    <w:p>
      <w:r>
        <w:t xml:space="preserve">3.2.3 承包人擅自更换项目经理的违约责任：              </w:t>
      </w:r>
    </w:p>
    <w:p>
      <w:r>
        <w:t>               </w:t>
      </w:r>
      <w:r>
        <w:rPr>
          <w:rFonts w:hint="eastAsia"/>
        </w:rPr>
        <w:t xml:space="preserve">                      </w:t>
      </w:r>
      <w:r>
        <w:t xml:space="preserve">    。</w:t>
      </w:r>
    </w:p>
    <w:p>
      <w:r>
        <w:t xml:space="preserve">    3.2.4 承包人无正当理由拒绝更换项目经理的违约责任：                               </w:t>
      </w:r>
      <w:r>
        <w:rPr>
          <w:rFonts w:hint="eastAsia"/>
        </w:rPr>
        <w:t xml:space="preserve">                         </w:t>
      </w:r>
      <w:r>
        <w:t xml:space="preserve">  。</w:t>
      </w:r>
    </w:p>
    <w:p>
      <w:r>
        <w:t>3.3 承包人人员</w:t>
      </w:r>
    </w:p>
    <w:p>
      <w:r>
        <w:t xml:space="preserve">3.3.1 承包人提交项目管理机构及施工现场管理人员安排报告的期限：                   </w:t>
      </w:r>
      <w:r>
        <w:rPr>
          <w:rFonts w:hint="eastAsia"/>
        </w:rPr>
        <w:t xml:space="preserve">                </w:t>
      </w:r>
      <w:r>
        <w:t xml:space="preserve">       。</w:t>
      </w:r>
    </w:p>
    <w:p>
      <w:r>
        <w:t xml:space="preserve">3.3.3 承包人无正当理由拒绝撤换主要施工管理人员的违约责任：                      </w:t>
      </w:r>
      <w:r>
        <w:rPr>
          <w:rFonts w:hint="eastAsia"/>
        </w:rPr>
        <w:t xml:space="preserve">    </w:t>
      </w:r>
      <w:r>
        <w:t xml:space="preserve">     </w:t>
      </w:r>
      <w:r>
        <w:rPr>
          <w:rFonts w:hint="eastAsia"/>
        </w:rPr>
        <w:t xml:space="preserve">            </w:t>
      </w:r>
      <w:r>
        <w:t>   。</w:t>
      </w:r>
    </w:p>
    <w:p>
      <w:r>
        <w:t>3.3.4 承包人主要施工管理人员离开施工现场的批准要求：   </w:t>
      </w:r>
      <w:r>
        <w:rPr>
          <w:rFonts w:hint="eastAsia"/>
        </w:rPr>
        <w:t xml:space="preserve">                                                    </w:t>
      </w:r>
      <w:r>
        <w:t xml:space="preserve">   。</w:t>
      </w:r>
    </w:p>
    <w:p>
      <w:r>
        <w:t xml:space="preserve">3.3.5承包人擅自更换主要施工管理人员的违约责任：                               </w:t>
      </w:r>
      <w:r>
        <w:rPr>
          <w:rFonts w:hint="eastAsia"/>
        </w:rPr>
        <w:t xml:space="preserve">   </w:t>
      </w:r>
      <w:r>
        <w:t xml:space="preserve">            </w:t>
      </w:r>
      <w:r>
        <w:rPr>
          <w:rFonts w:hint="eastAsia"/>
        </w:rPr>
        <w:t xml:space="preserve">          </w:t>
      </w:r>
      <w:r>
        <w:t xml:space="preserve">    。</w:t>
      </w:r>
    </w:p>
    <w:p>
      <w:r>
        <w:t xml:space="preserve">承包人主要施工管理人员擅自离开施工现场的违约责任：                            </w:t>
      </w:r>
      <w:r>
        <w:rPr>
          <w:rFonts w:hint="eastAsia"/>
        </w:rPr>
        <w:t xml:space="preserve">   </w:t>
      </w:r>
      <w:r>
        <w:t xml:space="preserve">       </w:t>
      </w:r>
      <w:r>
        <w:rPr>
          <w:rFonts w:hint="eastAsia"/>
        </w:rPr>
        <w:t xml:space="preserve">                 </w:t>
      </w:r>
      <w:r>
        <w:t xml:space="preserve">    。</w:t>
      </w:r>
    </w:p>
    <w:p>
      <w:r>
        <w:t>3</w:t>
      </w:r>
      <w:bookmarkStart w:id="580" w:name="_Toc296503159"/>
      <w:bookmarkStart w:id="581" w:name="_Toc292559869"/>
      <w:bookmarkStart w:id="582" w:name="_Toc292559364"/>
      <w:bookmarkStart w:id="583" w:name="_Toc304295523"/>
      <w:bookmarkStart w:id="584" w:name="_Toc297216151"/>
      <w:bookmarkStart w:id="585" w:name="_Toc296891199"/>
      <w:bookmarkStart w:id="586" w:name="_Toc297120459"/>
      <w:bookmarkStart w:id="587" w:name="_Toc303539102"/>
      <w:bookmarkStart w:id="588" w:name="_Toc296347158"/>
      <w:bookmarkStart w:id="589" w:name="_Toc300934945"/>
      <w:bookmarkStart w:id="590" w:name="_Toc297123492"/>
      <w:bookmarkStart w:id="591" w:name="_Toc296944498"/>
      <w:bookmarkStart w:id="592" w:name="_Toc312677988"/>
      <w:bookmarkStart w:id="593" w:name="_Toc296346660"/>
      <w:bookmarkStart w:id="594" w:name="_Toc297048345"/>
      <w:bookmarkStart w:id="595" w:name="_Toc296890987"/>
      <w:r>
        <w:t>.5 分包</w:t>
      </w:r>
    </w:p>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r>
        <w:t>3</w:t>
      </w:r>
      <w:bookmarkStart w:id="596" w:name="_Toc296347159"/>
      <w:bookmarkStart w:id="597" w:name="_Toc296346661"/>
      <w:bookmarkStart w:id="598" w:name="_Toc297216152"/>
      <w:bookmarkStart w:id="599" w:name="_Toc292559870"/>
      <w:bookmarkStart w:id="600" w:name="_Toc304295524"/>
      <w:bookmarkStart w:id="601" w:name="_Toc303539103"/>
      <w:bookmarkStart w:id="602" w:name="_Toc296890988"/>
      <w:bookmarkStart w:id="603" w:name="_Toc297048346"/>
      <w:bookmarkStart w:id="604" w:name="_Toc300934946"/>
      <w:bookmarkStart w:id="605" w:name="_Toc297120460"/>
      <w:bookmarkStart w:id="606" w:name="_Toc292559365"/>
      <w:bookmarkStart w:id="607" w:name="_Toc296944499"/>
      <w:bookmarkStart w:id="608" w:name="_Toc296503160"/>
      <w:bookmarkStart w:id="609" w:name="_Toc297123493"/>
      <w:bookmarkStart w:id="610" w:name="_Toc296891200"/>
      <w:bookmarkStart w:id="611" w:name="_Toc312677989"/>
      <w:bookmarkStart w:id="612" w:name="_Toc318581158"/>
      <w:r>
        <w:t>.5.1 分包的一般约定</w:t>
      </w:r>
    </w:p>
    <w:p>
      <w:r>
        <w:t xml:space="preserve">禁止分包的工程包括：                  </w:t>
      </w:r>
      <w:r>
        <w:rPr>
          <w:rFonts w:hint="eastAsia"/>
        </w:rPr>
        <w:t xml:space="preserve">    </w:t>
      </w:r>
      <w:r>
        <w:t xml:space="preserve">    。</w:t>
      </w:r>
    </w:p>
    <w:p>
      <w:r>
        <w:t xml:space="preserve">主体结构、关键性工作的范围：                 </w:t>
      </w:r>
      <w:r>
        <w:rPr>
          <w:rFonts w:hint="eastAsia"/>
        </w:rPr>
        <w:t xml:space="preserve">  </w:t>
      </w:r>
      <w:r>
        <w:t xml:space="preserve"> </w:t>
      </w:r>
      <w:r>
        <w:rPr>
          <w:rFonts w:hint="eastAsia"/>
        </w:rPr>
        <w:t xml:space="preserve">  </w:t>
      </w:r>
    </w:p>
    <w:p>
      <w:r>
        <w:t xml:space="preserve">   </w:t>
      </w:r>
      <w:r>
        <w:rPr>
          <w:rFonts w:hint="eastAsia"/>
        </w:rPr>
        <w:t xml:space="preserve">                                                    </w:t>
      </w:r>
      <w:r>
        <w:t xml:space="preserve">  。</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Start w:id="613" w:name="_Toc303539104"/>
      <w:bookmarkStart w:id="614" w:name="_Toc296347160"/>
      <w:bookmarkStart w:id="615" w:name="_Toc297216153"/>
      <w:bookmarkStart w:id="616" w:name="_Toc297048347"/>
      <w:bookmarkStart w:id="617" w:name="_Toc296890989"/>
      <w:bookmarkStart w:id="618" w:name="_Toc296346662"/>
      <w:bookmarkStart w:id="619" w:name="_Toc304295525"/>
      <w:bookmarkStart w:id="620" w:name="_Toc296891201"/>
      <w:bookmarkStart w:id="621" w:name="_Toc297120461"/>
      <w:bookmarkStart w:id="622" w:name="_Toc296503161"/>
      <w:bookmarkStart w:id="623" w:name="_Toc297123494"/>
      <w:bookmarkStart w:id="624" w:name="_Toc296944500"/>
      <w:bookmarkStart w:id="625" w:name="_Toc300934947"/>
    </w:p>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r>
        <w:t xml:space="preserve">    3</w:t>
      </w:r>
      <w:bookmarkStart w:id="626" w:name="_Toc318581159"/>
      <w:bookmarkStart w:id="627" w:name="_Toc312677990"/>
      <w:r>
        <w:t>.5.2分包的确定</w:t>
      </w:r>
    </w:p>
    <w:p>
      <w:r>
        <w:t>允许分包的专业工程包括：                         。</w:t>
      </w:r>
    </w:p>
    <w:p>
      <w:r>
        <w:t xml:space="preserve">其他关于分包的约定：        </w:t>
      </w:r>
      <w:r>
        <w:rPr>
          <w:rFonts w:hint="eastAsia"/>
        </w:rPr>
        <w:t xml:space="preserve">               </w:t>
      </w:r>
      <w:r>
        <w:t xml:space="preserve">           </w:t>
      </w:r>
    </w:p>
    <w:p>
      <w:r>
        <w:t xml:space="preserve">            </w:t>
      </w:r>
      <w:r>
        <w:rPr>
          <w:rFonts w:hint="eastAsia"/>
        </w:rPr>
        <w:t xml:space="preserve">                                         </w:t>
      </w:r>
      <w:r>
        <w:t xml:space="preserve">    。</w:t>
      </w:r>
    </w:p>
    <w:p>
      <w:r>
        <w:t>3.5.4 分包合同价款</w:t>
      </w:r>
    </w:p>
    <w:p>
      <w:r>
        <w:t xml:space="preserve">关于分包合同价款支付的约定：        </w:t>
      </w:r>
      <w:r>
        <w:rPr>
          <w:rFonts w:hint="eastAsia"/>
        </w:rPr>
        <w:t xml:space="preserve">   </w:t>
      </w:r>
      <w:r>
        <w:t xml:space="preserve">           。</w:t>
      </w:r>
    </w:p>
    <w:bookmarkEnd w:id="626"/>
    <w:bookmarkEnd w:id="627"/>
    <w:p>
      <w:r>
        <w:t>3.6 工程照管与成品、半成品保护</w:t>
      </w:r>
    </w:p>
    <w:p>
      <w:r>
        <w:t xml:space="preserve">承包人负责照管工程及工程相关的材料、工程设备的起始时间：                                  </w:t>
      </w:r>
      <w:r>
        <w:rPr>
          <w:rFonts w:hint="eastAsia"/>
        </w:rPr>
        <w:t xml:space="preserve">        </w:t>
      </w:r>
      <w:r>
        <w:t xml:space="preserve">           。</w:t>
      </w:r>
    </w:p>
    <w:p>
      <w:r>
        <w:t>3.7 履约担保</w:t>
      </w:r>
    </w:p>
    <w:p>
      <w:r>
        <w:rPr>
          <w:rFonts w:hint="eastAsia"/>
        </w:rPr>
        <w:t>承包人是否提供履约担保：</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承包人提供履约担保的形式</w:t>
      </w:r>
      <w:r>
        <w:rPr>
          <w:rFonts w:hint="eastAsia"/>
        </w:rPr>
        <w:t>、金额及期限的</w:t>
      </w:r>
      <w:r>
        <w:t xml:space="preserve">：              </w:t>
      </w:r>
    </w:p>
    <w:p>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bookmarkStart w:id="628" w:name="_Toc351203636"/>
      <w:r>
        <w:t>4</w:t>
      </w:r>
      <w:bookmarkStart w:id="629" w:name="_Toc267251413"/>
      <w:bookmarkStart w:id="630" w:name="_Toc296346663"/>
      <w:bookmarkStart w:id="631" w:name="_Toc292559366"/>
      <w:bookmarkStart w:id="632" w:name="_Toc296503162"/>
      <w:bookmarkStart w:id="633" w:name="_Toc296944501"/>
      <w:bookmarkStart w:id="634" w:name="_Toc296891202"/>
      <w:bookmarkStart w:id="635" w:name="_Toc292559871"/>
      <w:bookmarkStart w:id="636" w:name="_Toc296890990"/>
      <w:bookmarkStart w:id="637" w:name="_Toc296347161"/>
      <w:bookmarkStart w:id="638" w:name="_Toc297048348"/>
      <w:bookmarkStart w:id="639" w:name="_Toc297120462"/>
      <w:r>
        <w:t>. 监</w:t>
      </w:r>
      <w:bookmarkEnd w:id="629"/>
      <w:bookmarkEnd w:id="630"/>
      <w:bookmarkEnd w:id="631"/>
      <w:bookmarkEnd w:id="632"/>
      <w:bookmarkEnd w:id="633"/>
      <w:bookmarkEnd w:id="634"/>
      <w:bookmarkEnd w:id="635"/>
      <w:bookmarkEnd w:id="636"/>
      <w:bookmarkEnd w:id="637"/>
      <w:bookmarkEnd w:id="638"/>
      <w:bookmarkEnd w:id="639"/>
      <w:r>
        <w:t>理人</w:t>
      </w:r>
      <w:bookmarkEnd w:id="628"/>
    </w:p>
    <w:p>
      <w:r>
        <w:t>4.1监理人的一般规定</w:t>
      </w:r>
    </w:p>
    <w:p>
      <w:r>
        <w:t xml:space="preserve">关于监理人的监理内容：                     </w:t>
      </w:r>
      <w:r>
        <w:rPr>
          <w:rFonts w:hint="eastAsia"/>
        </w:rPr>
        <w:t xml:space="preserve"> </w:t>
      </w:r>
      <w:r>
        <w:t xml:space="preserve">  </w:t>
      </w:r>
      <w:r>
        <w:rPr>
          <w:rFonts w:hint="eastAsia"/>
        </w:rPr>
        <w:t xml:space="preserve"> </w:t>
      </w:r>
      <w:r>
        <w:t xml:space="preserve">      。</w:t>
      </w:r>
    </w:p>
    <w:p>
      <w:r>
        <w:t xml:space="preserve">关于监理人的监理权限：                   </w:t>
      </w:r>
      <w:r>
        <w:rPr>
          <w:rFonts w:hint="eastAsia"/>
        </w:rPr>
        <w:t xml:space="preserve"> </w:t>
      </w:r>
      <w:r>
        <w:t xml:space="preserve"> </w:t>
      </w:r>
      <w:r>
        <w:rPr>
          <w:rFonts w:hint="eastAsia"/>
        </w:rPr>
        <w:t xml:space="preserve"> </w:t>
      </w:r>
      <w:r>
        <w:t xml:space="preserve">         。 </w:t>
      </w:r>
    </w:p>
    <w:p>
      <w:r>
        <w:t xml:space="preserve">关于监理人在施工现场的办公场所、生活场所的提供和费用承担的约定：                        </w:t>
      </w:r>
      <w:r>
        <w:rPr>
          <w:rFonts w:hint="eastAsia"/>
        </w:rPr>
        <w:t xml:space="preserve">                </w:t>
      </w:r>
      <w:r>
        <w:t xml:space="preserve">   </w:t>
      </w:r>
      <w:r>
        <w:rPr>
          <w:rFonts w:hint="eastAsia"/>
        </w:rPr>
        <w:t xml:space="preserve">     </w:t>
      </w:r>
    </w:p>
    <w:p>
      <w:r>
        <w:t xml:space="preserve">  </w:t>
      </w:r>
      <w:r>
        <w:rPr>
          <w:rFonts w:hint="eastAsia"/>
        </w:rPr>
        <w:t xml:space="preserve">                       </w:t>
      </w:r>
      <w:r>
        <w:t xml:space="preserve">         </w:t>
      </w:r>
      <w:r>
        <w:rPr>
          <w:rFonts w:hint="eastAsia"/>
        </w:rPr>
        <w:t xml:space="preserve">                  </w:t>
      </w:r>
      <w:r>
        <w:t xml:space="preserve">     。</w:t>
      </w:r>
    </w:p>
    <w:p>
      <w:r>
        <w:t>4.2 监理人员</w:t>
      </w:r>
    </w:p>
    <w:p>
      <w:r>
        <w:t>总监理工程师：</w:t>
      </w:r>
    </w:p>
    <w:p>
      <w:r>
        <w:t>姓    名：   ；</w:t>
      </w:r>
    </w:p>
    <w:p>
      <w:r>
        <w:t>职    务：   ；</w:t>
      </w:r>
    </w:p>
    <w:p>
      <w:r>
        <w:t>监理工程师执业资格证书号： ；</w:t>
      </w:r>
    </w:p>
    <w:p>
      <w:r>
        <w:t>联系电话：   ；</w:t>
      </w:r>
    </w:p>
    <w:p>
      <w:r>
        <w:t>电子信箱：   ；</w:t>
      </w:r>
    </w:p>
    <w:p>
      <w:r>
        <w:t>通信地址：   ；</w:t>
      </w:r>
    </w:p>
    <w:p>
      <w:r>
        <w:t>关于监理人的其他约定：   。</w:t>
      </w:r>
    </w:p>
    <w:p>
      <w:r>
        <w:t>4.4 商定或确定</w:t>
      </w:r>
    </w:p>
    <w:p>
      <w:bookmarkStart w:id="640" w:name="_Toc267251418"/>
      <w:r>
        <w:t>在发包人和承包人不能通过协商达成一致意见时，发包人授权监理人对以下事项进行确定：</w:t>
      </w:r>
    </w:p>
    <w:p>
      <w:r>
        <w:t xml:space="preserve">（1）                          </w:t>
      </w:r>
      <w:r>
        <w:rPr>
          <w:rFonts w:hint="eastAsia"/>
        </w:rPr>
        <w:t xml:space="preserve"> </w:t>
      </w:r>
      <w:r>
        <w:t xml:space="preserve">        ；</w:t>
      </w:r>
    </w:p>
    <w:p>
      <w:r>
        <w:t xml:space="preserve">（2）                          </w:t>
      </w:r>
      <w:r>
        <w:rPr>
          <w:rFonts w:hint="eastAsia"/>
        </w:rPr>
        <w:t xml:space="preserve"> </w:t>
      </w:r>
      <w:r>
        <w:t xml:space="preserve">        ；</w:t>
      </w:r>
    </w:p>
    <w:p>
      <w:r>
        <w:t xml:space="preserve">（3）                         </w:t>
      </w:r>
      <w:r>
        <w:rPr>
          <w:rFonts w:hint="eastAsia"/>
        </w:rPr>
        <w:t xml:space="preserve"> </w:t>
      </w:r>
      <w:r>
        <w:t xml:space="preserve">         。</w:t>
      </w:r>
    </w:p>
    <w:p>
      <w:bookmarkStart w:id="641" w:name="_Toc351203637"/>
      <w:r>
        <w:t>5</w:t>
      </w:r>
      <w:bookmarkEnd w:id="640"/>
      <w:bookmarkStart w:id="642" w:name="_Toc296503163"/>
      <w:bookmarkStart w:id="643" w:name="_Toc296890991"/>
      <w:bookmarkStart w:id="644" w:name="_Toc296891203"/>
      <w:bookmarkStart w:id="645" w:name="_Toc292559367"/>
      <w:bookmarkStart w:id="646" w:name="_Toc297048349"/>
      <w:bookmarkStart w:id="647" w:name="_Toc297120463"/>
      <w:bookmarkStart w:id="648" w:name="_Toc296347162"/>
      <w:bookmarkStart w:id="649" w:name="_Toc296346664"/>
      <w:bookmarkStart w:id="650" w:name="_Toc292559872"/>
      <w:bookmarkStart w:id="651" w:name="_Toc296944502"/>
      <w:r>
        <w:t>. 工程质量</w:t>
      </w:r>
      <w:bookmarkEnd w:id="641"/>
    </w:p>
    <w:p>
      <w:r>
        <w:t>5.1 质量要求</w:t>
      </w:r>
    </w:p>
    <w:p>
      <w:r>
        <w:t>5</w:t>
      </w:r>
      <w:bookmarkStart w:id="652" w:name="_Toc318581164"/>
      <w:bookmarkStart w:id="653" w:name="_Toc312677997"/>
      <w:bookmarkStart w:id="654" w:name="_Toc304295527"/>
      <w:bookmarkStart w:id="655" w:name="_Toc297123496"/>
      <w:bookmarkStart w:id="656" w:name="_Toc300934949"/>
      <w:bookmarkStart w:id="657" w:name="_Toc297216155"/>
      <w:bookmarkStart w:id="658" w:name="_Toc303539106"/>
      <w:r>
        <w:t xml:space="preserve">.1.1 特殊质量标准和要求：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p>
    <w:p>
      <w:r>
        <w:t xml:space="preserve">关于工程奖项的约定：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5.3 隐蔽工程检查</w:t>
      </w:r>
    </w:p>
    <w:p>
      <w:r>
        <w:t xml:space="preserve">5.3.2承包人提前通知监理人隐蔽工程检查的期限的约定：    </w:t>
      </w:r>
    </w:p>
    <w:p>
      <w:r>
        <w:t xml:space="preserve">                        </w:t>
      </w:r>
      <w:r>
        <w:rPr>
          <w:rFonts w:hint="eastAsia"/>
        </w:rPr>
        <w:t xml:space="preserve">                             </w:t>
      </w:r>
      <w:r>
        <w:t xml:space="preserve">    。</w:t>
      </w:r>
    </w:p>
    <w:p>
      <w:r>
        <w:t>监理人不能按时进行检查时，应提前       小时提交书面延期要求。</w:t>
      </w:r>
    </w:p>
    <w:p>
      <w:r>
        <w:t>关于延期最长不得超过：         小时。</w:t>
      </w:r>
    </w:p>
    <w:p>
      <w:bookmarkStart w:id="659" w:name="_Toc351203638"/>
      <w:r>
        <w:t>6. 安全文明施工与环境保护</w:t>
      </w:r>
      <w:bookmarkEnd w:id="659"/>
    </w:p>
    <w:p>
      <w:r>
        <w:t>6.1安全文明施工</w:t>
      </w:r>
    </w:p>
    <w:p>
      <w:r>
        <w:t xml:space="preserve">6.1.1 项目安全生产的达标目标及相应事项的约定：         </w:t>
      </w:r>
    </w:p>
    <w:p>
      <w:r>
        <w:t xml:space="preserve">   </w:t>
      </w:r>
      <w:r>
        <w:rPr>
          <w:rFonts w:hint="eastAsia"/>
        </w:rPr>
        <w:t xml:space="preserve">                                                     </w:t>
      </w:r>
      <w:r>
        <w:t xml:space="preserve"> 。</w:t>
      </w:r>
    </w:p>
    <w:p>
      <w:r>
        <w:t xml:space="preserve">6.1.4 关于治安保卫的特别约定：                         </w:t>
      </w:r>
    </w:p>
    <w:p>
      <w:r>
        <w:t xml:space="preserve">                                     </w:t>
      </w:r>
      <w:r>
        <w:rPr>
          <w:rFonts w:hint="eastAsia"/>
        </w:rPr>
        <w:t xml:space="preserve">               </w:t>
      </w:r>
      <w:r>
        <w:t xml:space="preserve">     。</w:t>
      </w:r>
    </w:p>
    <w:p>
      <w:r>
        <w:t xml:space="preserve">关于编制施工场地治安管理计划的约定：                  </w:t>
      </w:r>
      <w:r>
        <w:br w:type="textWrapping"/>
      </w:r>
      <w:r>
        <w:t xml:space="preserve">                                     </w:t>
      </w:r>
      <w:r>
        <w:rPr>
          <w:rFonts w:hint="eastAsia"/>
        </w:rPr>
        <w:t xml:space="preserve">               </w:t>
      </w:r>
      <w:r>
        <w:t xml:space="preserve">     。</w:t>
      </w:r>
    </w:p>
    <w:p>
      <w:r>
        <w:rPr>
          <w:rFonts w:hint="eastAsia"/>
        </w:rPr>
        <w:t>6.1.5 文明施工</w:t>
      </w:r>
    </w:p>
    <w:p>
      <w:r>
        <w:rPr>
          <w:rFonts w:hint="eastAsia"/>
        </w:rPr>
        <w:t>合同当事人对文明施工的要求：</w:t>
      </w:r>
      <w:r>
        <w:t xml:space="preserve">              </w:t>
      </w:r>
      <w:r>
        <w:rPr>
          <w:rFonts w:hint="eastAsia"/>
        </w:rPr>
        <w:t xml:space="preserve">            </w:t>
      </w:r>
    </w:p>
    <w:p>
      <w:r>
        <w:rPr>
          <w:rFonts w:hint="eastAsia"/>
        </w:rPr>
        <w:t xml:space="preserve">                                                         。</w:t>
      </w:r>
    </w:p>
    <w:p>
      <w:r>
        <w:t xml:space="preserve">6.1.6 关于安全文明施工费支付比例和支付期限的约定：     </w:t>
      </w:r>
    </w:p>
    <w:p>
      <w:r>
        <w:t xml:space="preserve">       </w:t>
      </w:r>
      <w:r>
        <w:rPr>
          <w:rFonts w:hint="eastAsia"/>
        </w:rPr>
        <w:t xml:space="preserve">                               </w:t>
      </w:r>
      <w:r>
        <w:t xml:space="preserve"> </w:t>
      </w:r>
      <w:r>
        <w:rPr>
          <w:rFonts w:hint="eastAsia"/>
        </w:rPr>
        <w:t xml:space="preserve">               </w:t>
      </w:r>
      <w:r>
        <w:t xml:space="preserve">   。</w:t>
      </w:r>
    </w:p>
    <w:bookmarkEnd w:id="652"/>
    <w:bookmarkEnd w:id="653"/>
    <w:bookmarkEnd w:id="654"/>
    <w:bookmarkEnd w:id="655"/>
    <w:bookmarkEnd w:id="656"/>
    <w:bookmarkEnd w:id="657"/>
    <w:bookmarkEnd w:id="658"/>
    <w:p>
      <w:bookmarkStart w:id="660" w:name="_Toc351203639"/>
      <w:r>
        <w:t>7. 工期和进度</w:t>
      </w:r>
      <w:bookmarkEnd w:id="660"/>
    </w:p>
    <w:p>
      <w:r>
        <w:t>7.1 施工组织设计</w:t>
      </w:r>
    </w:p>
    <w:p>
      <w:r>
        <w:t>7.1.</w:t>
      </w:r>
      <w:r>
        <w:rPr>
          <w:rFonts w:hint="eastAsia"/>
        </w:rPr>
        <w:t>1 合同当事人约定的</w:t>
      </w:r>
      <w:r>
        <w:t>施工组织设计</w:t>
      </w:r>
      <w:r>
        <w:rPr>
          <w:rFonts w:hint="eastAsia"/>
        </w:rPr>
        <w:t>应包括的其他内容</w:t>
      </w:r>
      <w:r>
        <w:t xml:space="preserve">：  </w:t>
      </w:r>
      <w:r>
        <w:rPr>
          <w:rFonts w:hint="eastAsia"/>
        </w:rPr>
        <w:t xml:space="preserve"> </w:t>
      </w:r>
    </w:p>
    <w:p>
      <w:r>
        <w:rPr>
          <w:rFonts w:hint="eastAsia"/>
        </w:rPr>
        <w:t xml:space="preserve">                                                       </w:t>
      </w:r>
      <w:r>
        <w:t xml:space="preserve">  。</w:t>
      </w:r>
    </w:p>
    <w:p>
      <w:r>
        <w:t>7.1.2 施工组织设计的提交和修改</w:t>
      </w:r>
    </w:p>
    <w:p>
      <w:r>
        <w:t xml:space="preserve">承包人提交详细施工组织设计的期限的约定：     </w:t>
      </w:r>
      <w:r>
        <w:rPr>
          <w:rFonts w:hint="eastAsia"/>
        </w:rPr>
        <w:t xml:space="preserve">         </w:t>
      </w:r>
    </w:p>
    <w:p>
      <w:r>
        <w:rPr>
          <w:rFonts w:hint="eastAsia"/>
        </w:rPr>
        <w:t xml:space="preserve">                                                       </w:t>
      </w:r>
      <w:r>
        <w:t xml:space="preserve">  。</w:t>
      </w:r>
    </w:p>
    <w:p>
      <w:r>
        <w:t>发包人和监理人在收到</w:t>
      </w:r>
      <w:r>
        <w:rPr>
          <w:rFonts w:hint="eastAsia"/>
        </w:rPr>
        <w:t>详细的施工组织设计</w:t>
      </w:r>
      <w:r>
        <w:t xml:space="preserve">后确认或提出修改意见的期限：                       </w:t>
      </w:r>
      <w:r>
        <w:rPr>
          <w:rFonts w:hint="eastAsia"/>
        </w:rPr>
        <w:t xml:space="preserve">                 </w:t>
      </w:r>
      <w:r>
        <w:t xml:space="preserve">     。</w:t>
      </w:r>
    </w:p>
    <w:p>
      <w:r>
        <w:t>7</w:t>
      </w:r>
      <w:bookmarkStart w:id="661" w:name="_Toc297123514"/>
      <w:bookmarkStart w:id="662" w:name="_Toc312677479"/>
      <w:bookmarkStart w:id="663" w:name="_Toc303539123"/>
      <w:bookmarkStart w:id="664" w:name="_Toc312678005"/>
      <w:bookmarkStart w:id="665" w:name="_Toc304295541"/>
      <w:bookmarkStart w:id="666" w:name="_Toc297216173"/>
      <w:bookmarkStart w:id="667" w:name="_Toc300934966"/>
      <w:r>
        <w:t>.2 施工进度计划</w:t>
      </w:r>
    </w:p>
    <w:p>
      <w:r>
        <w:t>7.2.2 施工进度计划的修订</w:t>
      </w:r>
    </w:p>
    <w:p>
      <w:r>
        <w:t xml:space="preserve">发包人和监理人在收到修订的施工进度计划后确认或提出修改意见的期限：                       </w:t>
      </w:r>
      <w:r>
        <w:rPr>
          <w:rFonts w:hint="eastAsia"/>
        </w:rPr>
        <w:t xml:space="preserve">                 </w:t>
      </w:r>
      <w:r>
        <w:t xml:space="preserve">     。</w:t>
      </w:r>
    </w:p>
    <w:p>
      <w:r>
        <w:t>7.3 开工</w:t>
      </w:r>
    </w:p>
    <w:p>
      <w:r>
        <w:t>7.3.1 开工准备</w:t>
      </w:r>
    </w:p>
    <w:p>
      <w:r>
        <w:t xml:space="preserve">关于承包人提交工程开工报审表的期限：               </w:t>
      </w:r>
      <w:r>
        <w:rPr>
          <w:rFonts w:hint="eastAsia"/>
        </w:rPr>
        <w:t xml:space="preserve"> </w:t>
      </w:r>
      <w:r>
        <w:t xml:space="preserve"> 。</w:t>
      </w:r>
    </w:p>
    <w:p>
      <w:r>
        <w:t xml:space="preserve">关于发包人应完成的其他开工准备工作及期限：             </w:t>
      </w:r>
    </w:p>
    <w:p>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关于承包人应完成的其他开工准备工作及期限：         </w:t>
      </w:r>
      <w:r>
        <w:rPr>
          <w:rFonts w:hint="eastAsia"/>
        </w:rPr>
        <w:t xml:space="preserve"> </w:t>
      </w:r>
      <w:r>
        <w:t xml:space="preserve">  </w:t>
      </w:r>
    </w:p>
    <w:p>
      <w:r>
        <w:t xml:space="preserve"> </w:t>
      </w:r>
      <w:r>
        <w:rPr>
          <w:rFonts w:hint="eastAsia"/>
        </w:rPr>
        <w:t xml:space="preserve">                                                        </w:t>
      </w:r>
      <w:r>
        <w:t>。</w:t>
      </w:r>
    </w:p>
    <w:p>
      <w:r>
        <w:t>7.3.2开工通知</w:t>
      </w:r>
    </w:p>
    <w:p>
      <w:r>
        <w:t>因发包人原因造成监理人未能在计划开工日期之日起     天内发出开工通知的，承包人有权提出价格调整要求，或者解除合同。</w:t>
      </w:r>
    </w:p>
    <w:bookmarkEnd w:id="661"/>
    <w:bookmarkEnd w:id="662"/>
    <w:bookmarkEnd w:id="663"/>
    <w:bookmarkEnd w:id="664"/>
    <w:bookmarkEnd w:id="665"/>
    <w:bookmarkEnd w:id="666"/>
    <w:bookmarkEnd w:id="667"/>
    <w:p>
      <w:r>
        <w:t>7.4 测量放线</w:t>
      </w:r>
    </w:p>
    <w:p>
      <w:r>
        <w:t xml:space="preserve">7.4.1发包人通过监理人向承包人提供测量基准点、基准线和水准点及其书面资料的期限：               </w:t>
      </w:r>
      <w:r>
        <w:rPr>
          <w:rFonts w:hint="eastAsia"/>
        </w:rPr>
        <w:t xml:space="preserve">             </w:t>
      </w:r>
      <w:r>
        <w:t xml:space="preserve">     </w:t>
      </w:r>
      <w:r>
        <w:rPr>
          <w:rFonts w:hint="eastAsia"/>
        </w:rPr>
        <w:t xml:space="preserve"> </w:t>
      </w:r>
      <w:r>
        <w:t>。</w:t>
      </w:r>
    </w:p>
    <w:p>
      <w:r>
        <w:t>7</w:t>
      </w:r>
      <w:bookmarkStart w:id="668" w:name="_Toc297123516"/>
      <w:bookmarkStart w:id="669" w:name="_Toc304295546"/>
      <w:bookmarkStart w:id="670" w:name="_Toc303539125"/>
      <w:bookmarkStart w:id="671" w:name="_Toc297216175"/>
      <w:bookmarkStart w:id="672" w:name="_Toc312677484"/>
      <w:bookmarkStart w:id="673" w:name="_Toc312678010"/>
      <w:bookmarkStart w:id="674" w:name="_Toc300934968"/>
      <w:r>
        <w:t>.5 工期延误</w:t>
      </w:r>
    </w:p>
    <w:bookmarkEnd w:id="668"/>
    <w:bookmarkEnd w:id="669"/>
    <w:bookmarkEnd w:id="670"/>
    <w:bookmarkEnd w:id="671"/>
    <w:bookmarkEnd w:id="672"/>
    <w:bookmarkEnd w:id="673"/>
    <w:bookmarkEnd w:id="674"/>
    <w:p>
      <w:r>
        <w:t>7.5.1 因发包人原因导致工期延误</w:t>
      </w:r>
    </w:p>
    <w:p>
      <w:r>
        <w:t xml:space="preserve">（7）因发包人原因导致工期延误的其他情形：              </w:t>
      </w:r>
    </w:p>
    <w:p>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7</w:t>
      </w:r>
      <w:bookmarkStart w:id="675" w:name="_Toc318581169"/>
      <w:bookmarkStart w:id="676" w:name="_Toc312677486"/>
      <w:bookmarkStart w:id="677" w:name="_Toc312678012"/>
      <w:bookmarkStart w:id="678" w:name="_Toc297216177"/>
      <w:bookmarkStart w:id="679" w:name="_Toc300934970"/>
      <w:bookmarkStart w:id="680" w:name="_Toc304295548"/>
      <w:bookmarkStart w:id="681" w:name="_Toc303539127"/>
      <w:bookmarkStart w:id="682" w:name="_Toc297123518"/>
      <w:r>
        <w:t>.5.2 因承包人原因导致工期延误</w:t>
      </w:r>
    </w:p>
    <w:bookmarkEnd w:id="675"/>
    <w:bookmarkEnd w:id="676"/>
    <w:bookmarkEnd w:id="677"/>
    <w:p>
      <w:r>
        <w:t>因</w:t>
      </w:r>
      <w:bookmarkStart w:id="683" w:name="_Toc312678013"/>
      <w:bookmarkStart w:id="684" w:name="_Toc312677487"/>
      <w:bookmarkStart w:id="685" w:name="_Toc318581170"/>
      <w:r>
        <w:t>承包人原因造成工期延误，逾期竣工违约金的计算方法为：</w:t>
      </w:r>
    </w:p>
    <w:p>
      <w:r>
        <w:t xml:space="preserve">                                   </w:t>
      </w:r>
      <w:r>
        <w:rPr>
          <w:rFonts w:hint="eastAsia"/>
        </w:rPr>
        <w:t xml:space="preserve">  </w:t>
      </w:r>
      <w:r>
        <w:t xml:space="preserve"> </w:t>
      </w:r>
      <w:r>
        <w:rPr>
          <w:rFonts w:hint="eastAsia"/>
        </w:rPr>
        <w:t xml:space="preserve">                 </w:t>
      </w:r>
      <w:r>
        <w:t xml:space="preserve">  。</w:t>
      </w:r>
      <w:bookmarkEnd w:id="678"/>
      <w:bookmarkEnd w:id="679"/>
      <w:bookmarkEnd w:id="680"/>
      <w:bookmarkEnd w:id="681"/>
      <w:bookmarkEnd w:id="682"/>
      <w:bookmarkEnd w:id="683"/>
      <w:bookmarkEnd w:id="684"/>
    </w:p>
    <w:bookmarkEnd w:id="685"/>
    <w:p>
      <w:r>
        <w:t>因承包人原因造成工期延误，逾</w:t>
      </w:r>
      <w:bookmarkStart w:id="686" w:name="_Toc312678014"/>
      <w:bookmarkStart w:id="687" w:name="_Toc318581171"/>
      <w:r>
        <w:t xml:space="preserve">期竣工违约金的上限：       </w:t>
      </w:r>
    </w:p>
    <w:p>
      <w:r>
        <w:t xml:space="preserve">                                      </w:t>
      </w:r>
      <w:r>
        <w:rPr>
          <w:rFonts w:hint="eastAsia"/>
        </w:rPr>
        <w:t xml:space="preserve">  </w:t>
      </w:r>
      <w:r>
        <w:t xml:space="preserve">  </w:t>
      </w:r>
      <w:r>
        <w:rPr>
          <w:rFonts w:hint="eastAsia"/>
        </w:rPr>
        <w:t xml:space="preserve">          </w:t>
      </w:r>
      <w:r>
        <w:t xml:space="preserve">     。</w:t>
      </w:r>
    </w:p>
    <w:bookmarkEnd w:id="686"/>
    <w:bookmarkEnd w:id="687"/>
    <w:p>
      <w:r>
        <w:t>7</w:t>
      </w:r>
      <w:bookmarkStart w:id="688" w:name="_Toc300934971"/>
      <w:bookmarkStart w:id="689" w:name="_Toc297123519"/>
      <w:bookmarkStart w:id="690" w:name="_Toc297216178"/>
      <w:bookmarkStart w:id="691" w:name="_Toc303539128"/>
      <w:bookmarkStart w:id="692" w:name="_Toc304295549"/>
      <w:bookmarkStart w:id="693" w:name="_Toc312678015"/>
      <w:r>
        <w:t>.6 不</w:t>
      </w:r>
      <w:bookmarkEnd w:id="688"/>
      <w:bookmarkEnd w:id="689"/>
      <w:bookmarkEnd w:id="690"/>
      <w:bookmarkEnd w:id="691"/>
      <w:bookmarkEnd w:id="692"/>
      <w:bookmarkEnd w:id="693"/>
      <w:r>
        <w:t>利物质条件</w:t>
      </w:r>
    </w:p>
    <w:p>
      <w:bookmarkStart w:id="694" w:name="_Toc318581172"/>
      <w:bookmarkStart w:id="695" w:name="_Toc304295550"/>
      <w:bookmarkStart w:id="696" w:name="_Toc297216179"/>
      <w:bookmarkStart w:id="697" w:name="_Toc297123520"/>
      <w:bookmarkStart w:id="698" w:name="_Toc300934972"/>
      <w:bookmarkStart w:id="699" w:name="_Toc303539129"/>
      <w:bookmarkStart w:id="700" w:name="_Toc312678016"/>
      <w:r>
        <w:t xml:space="preserve">不利物质条件的其他情形和有关约定：                    </w:t>
      </w:r>
    </w:p>
    <w:p>
      <w:r>
        <w:t xml:space="preserve">                                         </w:t>
      </w:r>
      <w:r>
        <w:rPr>
          <w:rFonts w:hint="eastAsia"/>
        </w:rPr>
        <w:t xml:space="preserve">             </w:t>
      </w:r>
      <w:r>
        <w:t xml:space="preserve">   。</w:t>
      </w:r>
    </w:p>
    <w:bookmarkEnd w:id="694"/>
    <w:bookmarkEnd w:id="695"/>
    <w:bookmarkEnd w:id="696"/>
    <w:bookmarkEnd w:id="697"/>
    <w:bookmarkEnd w:id="698"/>
    <w:bookmarkEnd w:id="699"/>
    <w:bookmarkEnd w:id="700"/>
    <w:p>
      <w:r>
        <w:t>7</w:t>
      </w:r>
      <w:bookmarkStart w:id="701" w:name="_Toc304295551"/>
      <w:bookmarkStart w:id="702" w:name="_Toc297216180"/>
      <w:bookmarkStart w:id="703" w:name="_Toc297123521"/>
      <w:bookmarkStart w:id="704" w:name="_Toc300934973"/>
      <w:bookmarkStart w:id="705" w:name="_Toc303539130"/>
      <w:bookmarkStart w:id="706" w:name="_Toc312678017"/>
      <w:r>
        <w:t>.7异常恶劣的气候条件</w:t>
      </w:r>
    </w:p>
    <w:bookmarkEnd w:id="701"/>
    <w:bookmarkEnd w:id="702"/>
    <w:bookmarkEnd w:id="703"/>
    <w:bookmarkEnd w:id="704"/>
    <w:bookmarkEnd w:id="705"/>
    <w:bookmarkEnd w:id="706"/>
    <w:p>
      <w:r>
        <w:t>发包人和承包人同意以下情形视为异常恶劣的气候条件：</w:t>
      </w:r>
    </w:p>
    <w:p>
      <w:r>
        <w:t>（1）                                           ；</w:t>
      </w:r>
    </w:p>
    <w:p>
      <w:r>
        <w:t>（2）                                           ；</w:t>
      </w:r>
    </w:p>
    <w:p>
      <w:r>
        <w:t>（3）                                           。</w:t>
      </w:r>
    </w:p>
    <w:p>
      <w:r>
        <w:t>7.9 提前竣工的奖励</w:t>
      </w:r>
    </w:p>
    <w:p>
      <w:r>
        <w:t xml:space="preserve">7.9.2提前竣工的奖励：                        </w:t>
      </w:r>
      <w:r>
        <w:rPr>
          <w:rFonts w:hint="eastAsia"/>
        </w:rPr>
        <w:t xml:space="preserve"> </w:t>
      </w:r>
      <w:r>
        <w:t xml:space="preserve">   </w:t>
      </w:r>
      <w:r>
        <w:rPr>
          <w:rFonts w:hint="eastAsia"/>
        </w:rPr>
        <w:t xml:space="preserve"> </w:t>
      </w:r>
      <w:r>
        <w:t xml:space="preserve">   。</w:t>
      </w:r>
    </w:p>
    <w:p>
      <w:bookmarkStart w:id="707" w:name="_Toc351203640"/>
      <w:r>
        <w:t>8. 材料与设备</w:t>
      </w:r>
      <w:bookmarkEnd w:id="707"/>
    </w:p>
    <w:bookmarkEnd w:id="642"/>
    <w:bookmarkEnd w:id="643"/>
    <w:bookmarkEnd w:id="644"/>
    <w:bookmarkEnd w:id="645"/>
    <w:bookmarkEnd w:id="646"/>
    <w:bookmarkEnd w:id="647"/>
    <w:bookmarkEnd w:id="648"/>
    <w:bookmarkEnd w:id="649"/>
    <w:bookmarkEnd w:id="650"/>
    <w:bookmarkEnd w:id="651"/>
    <w:p>
      <w:r>
        <w:t>8</w:t>
      </w:r>
      <w:bookmarkStart w:id="708" w:name="_Toc292559877"/>
      <w:bookmarkStart w:id="709" w:name="_Toc297120467"/>
      <w:bookmarkStart w:id="710" w:name="_Toc297216186"/>
      <w:bookmarkStart w:id="711" w:name="_Toc297048353"/>
      <w:bookmarkStart w:id="712" w:name="_Toc296891207"/>
      <w:bookmarkStart w:id="713" w:name="_Toc312677493"/>
      <w:bookmarkStart w:id="714" w:name="_Toc296944506"/>
      <w:bookmarkStart w:id="715" w:name="_Toc296347166"/>
      <w:bookmarkStart w:id="716" w:name="_Toc303539136"/>
      <w:bookmarkStart w:id="717" w:name="_Toc300934979"/>
      <w:bookmarkStart w:id="718" w:name="_Toc280868654"/>
      <w:bookmarkStart w:id="719" w:name="_Toc296890995"/>
      <w:bookmarkStart w:id="720" w:name="_Toc304295556"/>
      <w:bookmarkStart w:id="721" w:name="_Toc292559372"/>
      <w:bookmarkStart w:id="722" w:name="_Toc297123527"/>
      <w:bookmarkStart w:id="723" w:name="_Toc296503167"/>
      <w:bookmarkStart w:id="724" w:name="_Toc312678019"/>
      <w:bookmarkStart w:id="725" w:name="_Toc296346668"/>
      <w:bookmarkStart w:id="726" w:name="_Toc280868656"/>
      <w:bookmarkStart w:id="727" w:name="_Toc280868655"/>
      <w:bookmarkStart w:id="728" w:name="_Toc267251424"/>
      <w:r>
        <w:t>.4材料与工程设备的保管与使用</w:t>
      </w:r>
    </w:p>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r>
        <w:t>8</w:t>
      </w:r>
      <w:bookmarkStart w:id="729" w:name="_Toc292559373"/>
      <w:bookmarkStart w:id="730" w:name="_Toc292559878"/>
      <w:bookmarkStart w:id="731" w:name="_Toc296890996"/>
      <w:bookmarkStart w:id="732" w:name="_Toc318581173"/>
      <w:bookmarkStart w:id="733" w:name="_Toc297216187"/>
      <w:bookmarkStart w:id="734" w:name="_Toc304295557"/>
      <w:bookmarkStart w:id="735" w:name="_Toc297120468"/>
      <w:bookmarkStart w:id="736" w:name="_Toc296944507"/>
      <w:bookmarkStart w:id="737" w:name="_Toc296347167"/>
      <w:bookmarkStart w:id="738" w:name="_Toc297048354"/>
      <w:bookmarkStart w:id="739" w:name="_Toc296891208"/>
      <w:bookmarkStart w:id="740" w:name="_Toc312678020"/>
      <w:bookmarkStart w:id="741" w:name="_Toc296346669"/>
      <w:bookmarkStart w:id="742" w:name="_Toc296503168"/>
      <w:bookmarkStart w:id="743" w:name="_Toc312677494"/>
      <w:bookmarkStart w:id="744" w:name="_Toc297123528"/>
      <w:bookmarkStart w:id="745" w:name="_Toc300934980"/>
      <w:bookmarkStart w:id="746" w:name="_Toc303539137"/>
      <w:r>
        <w:t xml:space="preserve">.4.1发包人供应的材料设备的保管费用的承担：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bookmarkEnd w:id="729"/>
      <w:bookmarkEnd w:id="730"/>
    </w:p>
    <w:p>
      <w:r>
        <w:t>8.6 样品</w:t>
      </w:r>
    </w:p>
    <w:p>
      <w:r>
        <w:t>8.6.1</w:t>
      </w:r>
      <w:r>
        <w:tab/>
      </w:r>
      <w:r>
        <w:t>样品的报送</w:t>
      </w:r>
      <w:r>
        <w:rPr>
          <w:rFonts w:hint="eastAsia"/>
        </w:rPr>
        <w:t>与封存</w:t>
      </w:r>
    </w:p>
    <w:p>
      <w:r>
        <w:t xml:space="preserve">需要承包人报送样品的材料或工程设备，样品的种类、名称、规格、数量要求：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p>
    <w:p>
      <w:r>
        <w:t>8.8 施工设备和临时设施</w:t>
      </w:r>
    </w:p>
    <w:p>
      <w:r>
        <w:t>8.8.1 承包人提供的施工设备和临时设施</w:t>
      </w:r>
    </w:p>
    <w:p>
      <w:r>
        <w:t xml:space="preserve">关于修建临时设施费用承担的约定：            </w:t>
      </w:r>
      <w:r>
        <w:rPr>
          <w:rFonts w:hint="eastAsia"/>
        </w:rPr>
        <w:t xml:space="preserve">    </w:t>
      </w:r>
      <w:r>
        <w:t xml:space="preserve">    </w:t>
      </w:r>
      <w:r>
        <w:rPr>
          <w:rFonts w:hint="eastAsia"/>
        </w:rPr>
        <w:t xml:space="preserve"> </w:t>
      </w:r>
    </w:p>
    <w:p>
      <w:r>
        <w:rPr>
          <w:rFonts w:hint="eastAsia"/>
        </w:rPr>
        <w:t xml:space="preserve">  </w:t>
      </w:r>
      <w:r>
        <w:t xml:space="preserve">    </w:t>
      </w:r>
      <w:r>
        <w:rPr>
          <w:rFonts w:hint="eastAsia"/>
        </w:rPr>
        <w:t xml:space="preserve">                                              </w:t>
      </w:r>
      <w:r>
        <w:t xml:space="preserve">    。</w:t>
      </w:r>
    </w:p>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bookmarkStart w:id="747" w:name="_Toc351203641"/>
      <w:r>
        <w:t>9</w:t>
      </w:r>
      <w:bookmarkEnd w:id="726"/>
      <w:bookmarkEnd w:id="727"/>
      <w:bookmarkEnd w:id="728"/>
      <w:bookmarkStart w:id="748" w:name="_Toc297216192"/>
      <w:bookmarkStart w:id="749" w:name="_Toc312677495"/>
      <w:bookmarkStart w:id="750" w:name="_Toc312678021"/>
      <w:bookmarkStart w:id="751" w:name="_Toc303539139"/>
      <w:bookmarkStart w:id="752" w:name="_Toc300934982"/>
      <w:bookmarkStart w:id="753" w:name="_Toc297123533"/>
      <w:bookmarkStart w:id="754" w:name="_Toc304295559"/>
      <w:bookmarkStart w:id="755" w:name="_Toc296503173"/>
      <w:bookmarkStart w:id="756" w:name="_Toc296944512"/>
      <w:bookmarkStart w:id="757" w:name="_Toc296346674"/>
      <w:bookmarkStart w:id="758" w:name="_Toc267251427"/>
      <w:bookmarkStart w:id="759" w:name="_Toc297120473"/>
      <w:bookmarkStart w:id="760" w:name="_Toc292559883"/>
      <w:bookmarkStart w:id="761" w:name="_Toc296891001"/>
      <w:bookmarkStart w:id="762" w:name="_Toc296347172"/>
      <w:bookmarkStart w:id="763" w:name="_Toc296891213"/>
      <w:bookmarkStart w:id="764" w:name="_Toc297048359"/>
      <w:bookmarkStart w:id="765" w:name="_Toc267251428"/>
      <w:bookmarkStart w:id="766" w:name="_Toc292559378"/>
      <w:r>
        <w:t>. 试验与检验</w:t>
      </w:r>
      <w:bookmarkEnd w:id="747"/>
    </w:p>
    <w:bookmarkEnd w:id="748"/>
    <w:bookmarkEnd w:id="749"/>
    <w:bookmarkEnd w:id="750"/>
    <w:bookmarkEnd w:id="751"/>
    <w:bookmarkEnd w:id="752"/>
    <w:bookmarkEnd w:id="753"/>
    <w:bookmarkEnd w:id="754"/>
    <w:p>
      <w:r>
        <w:t>9</w:t>
      </w:r>
      <w:bookmarkStart w:id="767" w:name="_Toc304295560"/>
      <w:bookmarkStart w:id="768" w:name="_Toc297216193"/>
      <w:bookmarkStart w:id="769" w:name="_Toc300934983"/>
      <w:bookmarkStart w:id="770" w:name="_Toc297123534"/>
      <w:bookmarkStart w:id="771" w:name="_Toc312677496"/>
      <w:bookmarkStart w:id="772" w:name="_Toc312678022"/>
      <w:bookmarkStart w:id="773" w:name="_Toc303539140"/>
      <w:r>
        <w:t>.1试验设备与试验人员</w:t>
      </w:r>
    </w:p>
    <w:bookmarkEnd w:id="767"/>
    <w:bookmarkEnd w:id="768"/>
    <w:bookmarkEnd w:id="769"/>
    <w:bookmarkEnd w:id="770"/>
    <w:bookmarkEnd w:id="771"/>
    <w:bookmarkEnd w:id="772"/>
    <w:bookmarkEnd w:id="773"/>
    <w:p>
      <w:r>
        <w:t>9</w:t>
      </w:r>
      <w:bookmarkStart w:id="774" w:name="_Toc312677497"/>
      <w:bookmarkStart w:id="775" w:name="_Toc303539141"/>
      <w:bookmarkStart w:id="776" w:name="_Toc297123535"/>
      <w:bookmarkStart w:id="777" w:name="_Toc300934984"/>
      <w:bookmarkStart w:id="778" w:name="_Toc297216194"/>
      <w:bookmarkStart w:id="779" w:name="_Toc304295561"/>
      <w:bookmarkStart w:id="780" w:name="_Toc312678023"/>
      <w:bookmarkStart w:id="781" w:name="_Toc318581174"/>
      <w:r>
        <w:t>.1.2 试验设备</w:t>
      </w:r>
    </w:p>
    <w:p>
      <w:r>
        <w:t>施工现场需要配置的试验场所：</w:t>
      </w:r>
      <w:bookmarkEnd w:id="774"/>
      <w:bookmarkEnd w:id="775"/>
      <w:bookmarkEnd w:id="776"/>
      <w:bookmarkEnd w:id="777"/>
      <w:bookmarkEnd w:id="778"/>
      <w:bookmarkEnd w:id="779"/>
      <w:bookmarkEnd w:id="780"/>
      <w:bookmarkStart w:id="782" w:name="_Toc297123536"/>
      <w:bookmarkStart w:id="783" w:name="_Toc304295562"/>
      <w:bookmarkStart w:id="784" w:name="_Toc297216195"/>
      <w:bookmarkStart w:id="785" w:name="_Toc312678024"/>
      <w:bookmarkStart w:id="786" w:name="_Toc312677498"/>
      <w:bookmarkStart w:id="787" w:name="_Toc303539142"/>
      <w:bookmarkStart w:id="788" w:name="_Toc300934985"/>
      <w:r>
        <w:t xml:space="preserve">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p>
    <w:p>
      <w:r>
        <w:t xml:space="preserve">施工现场需要配备的试验设备：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p>
    <w:p>
      <w:r>
        <w:t xml:space="preserve">施工现场需要具备的其他试验条件：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p>
    <w:p>
      <w:r>
        <w:t>9.4 现场工艺试验</w:t>
      </w:r>
      <w:r>
        <w:rPr>
          <w:rFonts w:hint="eastAsia"/>
        </w:rPr>
        <w:t xml:space="preserve"> </w:t>
      </w:r>
    </w:p>
    <w:p>
      <w:r>
        <w:t xml:space="preserve">现场工艺试验的有关约定：              </w:t>
      </w:r>
      <w:r>
        <w:rPr>
          <w:rFonts w:hint="eastAsia"/>
        </w:rPr>
        <w:t xml:space="preserve">         </w:t>
      </w:r>
      <w:r>
        <w:t xml:space="preserve">       </w:t>
      </w:r>
    </w:p>
    <w:p>
      <w:r>
        <w:rPr>
          <w:rFonts w:hint="eastAsia"/>
        </w:rPr>
        <w:t xml:space="preserve">       </w:t>
      </w:r>
      <w:r>
        <w:t xml:space="preserve">      </w:t>
      </w:r>
      <w:r>
        <w:rPr>
          <w:rFonts w:hint="eastAsia"/>
        </w:rPr>
        <w:t xml:space="preserve"> </w:t>
      </w:r>
      <w:r>
        <w:t xml:space="preserve">    </w:t>
      </w:r>
      <w:r>
        <w:rPr>
          <w:rFonts w:hint="eastAsia"/>
        </w:rPr>
        <w:t xml:space="preserve">                                     </w:t>
      </w:r>
      <w:r>
        <w:t xml:space="preserve">  。</w:t>
      </w:r>
    </w:p>
    <w:bookmarkEnd w:id="781"/>
    <w:bookmarkEnd w:id="782"/>
    <w:bookmarkEnd w:id="783"/>
    <w:bookmarkEnd w:id="784"/>
    <w:bookmarkEnd w:id="785"/>
    <w:bookmarkEnd w:id="786"/>
    <w:bookmarkEnd w:id="787"/>
    <w:bookmarkEnd w:id="788"/>
    <w:p>
      <w:bookmarkStart w:id="789" w:name="_Toc351203642"/>
      <w:r>
        <w:t>1</w:t>
      </w:r>
      <w:bookmarkEnd w:id="755"/>
      <w:bookmarkEnd w:id="756"/>
      <w:bookmarkEnd w:id="757"/>
      <w:bookmarkEnd w:id="758"/>
      <w:bookmarkEnd w:id="759"/>
      <w:bookmarkEnd w:id="760"/>
      <w:bookmarkEnd w:id="761"/>
      <w:bookmarkEnd w:id="762"/>
      <w:bookmarkEnd w:id="763"/>
      <w:bookmarkEnd w:id="764"/>
      <w:bookmarkEnd w:id="765"/>
      <w:bookmarkEnd w:id="766"/>
      <w:bookmarkStart w:id="790" w:name="_Toc296503193"/>
      <w:bookmarkStart w:id="791" w:name="_Toc297120493"/>
      <w:bookmarkStart w:id="792" w:name="_Toc303539146"/>
      <w:bookmarkStart w:id="793" w:name="_Toc296347192"/>
      <w:bookmarkStart w:id="794" w:name="_Toc297123540"/>
      <w:bookmarkStart w:id="795" w:name="_Toc292559398"/>
      <w:bookmarkStart w:id="796" w:name="_Toc296891233"/>
      <w:bookmarkStart w:id="797" w:name="_Toc292559903"/>
      <w:bookmarkStart w:id="798" w:name="_Toc297216199"/>
      <w:bookmarkStart w:id="799" w:name="_Toc296944532"/>
      <w:bookmarkStart w:id="800" w:name="_Toc304295566"/>
      <w:bookmarkStart w:id="801" w:name="_Toc300934989"/>
      <w:bookmarkStart w:id="802" w:name="_Toc297048379"/>
      <w:bookmarkStart w:id="803" w:name="_Toc296346694"/>
      <w:bookmarkStart w:id="804" w:name="_Toc296891021"/>
      <w:bookmarkStart w:id="805" w:name="_Toc312678025"/>
      <w:bookmarkStart w:id="806" w:name="_Toc312677499"/>
      <w:bookmarkStart w:id="807" w:name="_Toc267251437"/>
      <w:bookmarkStart w:id="808" w:name="_Toc267251441"/>
      <w:bookmarkStart w:id="809" w:name="_Toc267251435"/>
      <w:bookmarkStart w:id="810" w:name="_Toc267251439"/>
      <w:bookmarkStart w:id="811" w:name="_Toc267251440"/>
      <w:bookmarkStart w:id="812" w:name="_Toc267251433"/>
      <w:bookmarkStart w:id="813" w:name="_Toc267251442"/>
      <w:r>
        <w:t>0. 变更</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bookmarkEnd w:id="805"/>
    <w:bookmarkEnd w:id="806"/>
    <w:p>
      <w:r>
        <w:t>1</w:t>
      </w:r>
      <w:bookmarkStart w:id="814" w:name="_Toc312677500"/>
      <w:bookmarkStart w:id="815" w:name="_Toc296944533"/>
      <w:bookmarkStart w:id="816" w:name="_Toc296891022"/>
      <w:bookmarkStart w:id="817" w:name="_Toc292559904"/>
      <w:bookmarkStart w:id="818" w:name="_Toc304295567"/>
      <w:bookmarkStart w:id="819" w:name="_Toc297120494"/>
      <w:bookmarkStart w:id="820" w:name="_Toc303539147"/>
      <w:bookmarkStart w:id="821" w:name="_Toc297048380"/>
      <w:bookmarkStart w:id="822" w:name="_Toc300934990"/>
      <w:bookmarkStart w:id="823" w:name="_Toc296347193"/>
      <w:bookmarkStart w:id="824" w:name="_Toc312678026"/>
      <w:bookmarkStart w:id="825" w:name="_Toc297123541"/>
      <w:bookmarkStart w:id="826" w:name="_Toc292559399"/>
      <w:bookmarkStart w:id="827" w:name="_Toc296503194"/>
      <w:bookmarkStart w:id="828" w:name="_Toc296891234"/>
      <w:bookmarkStart w:id="829" w:name="_Toc296346695"/>
      <w:bookmarkStart w:id="830" w:name="_Toc297216200"/>
      <w:r>
        <w:t>0.1变更的范围</w:t>
      </w:r>
    </w:p>
    <w:p>
      <w:r>
        <w:t xml:space="preserve">关于变更的范围的约定：                 </w:t>
      </w:r>
      <w:r>
        <w:rPr>
          <w:rFonts w:hint="eastAsia"/>
        </w:rPr>
        <w:t xml:space="preserve">          </w:t>
      </w:r>
      <w:r>
        <w:t xml:space="preserve">     </w:t>
      </w:r>
    </w:p>
    <w:p>
      <w:r>
        <w:rPr>
          <w:rFonts w:hint="eastAsia"/>
        </w:rPr>
        <w:t xml:space="preserve">                                                         </w:t>
      </w:r>
      <w:r>
        <w:t>。</w:t>
      </w:r>
    </w:p>
    <w:p>
      <w:r>
        <w:t>10.4 变更估价</w:t>
      </w:r>
    </w:p>
    <w:p>
      <w:r>
        <w:rPr>
          <w:rFonts w:hint="eastAsia"/>
        </w:rPr>
        <w:t>10.4.1 变更估价原则</w:t>
      </w:r>
    </w:p>
    <w:p>
      <w:r>
        <w:t xml:space="preserve">关于变更估价的约定:                 </w:t>
      </w:r>
      <w:r>
        <w:rPr>
          <w:rFonts w:hint="eastAsia"/>
        </w:rPr>
        <w:t xml:space="preserve">         </w:t>
      </w:r>
      <w:r>
        <w:t xml:space="preserve">          </w:t>
      </w:r>
    </w:p>
    <w:p>
      <w:r>
        <w:t xml:space="preserve">             </w:t>
      </w:r>
      <w:r>
        <w:rPr>
          <w:rFonts w:hint="eastAsia"/>
        </w:rPr>
        <w:t xml:space="preserve">                              </w:t>
      </w:r>
      <w:r>
        <w:t xml:space="preserve">              。</w:t>
      </w:r>
    </w:p>
    <w:p>
      <w:r>
        <w:t>1</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Start w:id="831" w:name="_Toc297120497"/>
      <w:bookmarkStart w:id="832" w:name="_Toc296346698"/>
      <w:bookmarkStart w:id="833" w:name="_Toc296891025"/>
      <w:bookmarkStart w:id="834" w:name="_Toc300934993"/>
      <w:bookmarkStart w:id="835" w:name="_Toc297123544"/>
      <w:bookmarkStart w:id="836" w:name="_Toc297216203"/>
      <w:bookmarkStart w:id="837" w:name="_Toc296347196"/>
      <w:bookmarkStart w:id="838" w:name="_Toc292559402"/>
      <w:bookmarkStart w:id="839" w:name="_Toc296891237"/>
      <w:bookmarkStart w:id="840" w:name="_Toc296503197"/>
      <w:bookmarkStart w:id="841" w:name="_Toc303539150"/>
      <w:bookmarkStart w:id="842" w:name="_Toc297048383"/>
      <w:bookmarkStart w:id="843" w:name="_Toc296944536"/>
      <w:bookmarkStart w:id="844" w:name="_Toc292559907"/>
      <w:bookmarkStart w:id="845" w:name="_Toc304295570"/>
      <w:bookmarkStart w:id="846" w:name="_Toc312678029"/>
      <w:bookmarkStart w:id="847" w:name="_Toc312677503"/>
      <w:r>
        <w:t>0.5承</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Start w:id="848" w:name="_Toc296891031"/>
      <w:bookmarkStart w:id="849" w:name="_Toc296944542"/>
      <w:bookmarkStart w:id="850" w:name="_Toc296891243"/>
      <w:bookmarkStart w:id="851" w:name="_Toc292559408"/>
      <w:bookmarkStart w:id="852" w:name="_Toc296347202"/>
      <w:bookmarkStart w:id="853" w:name="_Toc296503203"/>
      <w:bookmarkStart w:id="854" w:name="_Toc303539151"/>
      <w:bookmarkStart w:id="855" w:name="_Toc296346704"/>
      <w:bookmarkStart w:id="856" w:name="_Toc300934994"/>
      <w:bookmarkStart w:id="857" w:name="_Toc297120503"/>
      <w:bookmarkStart w:id="858" w:name="_Toc297123545"/>
      <w:bookmarkStart w:id="859" w:name="_Toc292559913"/>
      <w:bookmarkStart w:id="860" w:name="_Toc297048389"/>
      <w:bookmarkStart w:id="861" w:name="_Toc297216204"/>
      <w:r>
        <w:t>包人的合理化建议</w:t>
      </w:r>
    </w:p>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r>
        <w:t xml:space="preserve">监理人审查承包人合理化建议的期限：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发包人审批承包人合理化建议的期限：     </w:t>
      </w:r>
      <w:r>
        <w:rPr>
          <w:rFonts w:hint="eastAsia"/>
        </w:rPr>
        <w:t xml:space="preserve">  </w:t>
      </w:r>
      <w:r>
        <w:t xml:space="preserve">     </w:t>
      </w:r>
      <w:r>
        <w:rPr>
          <w:rFonts w:hint="eastAsia"/>
        </w:rPr>
        <w:t xml:space="preserve">  </w:t>
      </w:r>
      <w:r>
        <w:t xml:space="preserve">      。</w:t>
      </w:r>
    </w:p>
    <w:p>
      <w:r>
        <w:t>承</w:t>
      </w:r>
      <w:bookmarkStart w:id="862" w:name="_Toc304295571"/>
      <w:bookmarkStart w:id="863" w:name="_Toc292559409"/>
      <w:bookmarkStart w:id="864" w:name="_Toc296891244"/>
      <w:bookmarkStart w:id="865" w:name="_Toc312678030"/>
      <w:bookmarkStart w:id="866" w:name="_Toc303539152"/>
      <w:bookmarkStart w:id="867" w:name="_Toc292559914"/>
      <w:bookmarkStart w:id="868" w:name="_Toc297048390"/>
      <w:bookmarkStart w:id="869" w:name="_Toc318581175"/>
      <w:bookmarkStart w:id="870" w:name="_Toc296944543"/>
      <w:bookmarkStart w:id="871" w:name="_Toc300934995"/>
      <w:bookmarkStart w:id="872" w:name="_Toc296891032"/>
      <w:bookmarkStart w:id="873" w:name="_Toc312677504"/>
      <w:bookmarkStart w:id="874" w:name="_Toc296346705"/>
      <w:bookmarkStart w:id="875" w:name="_Toc296347203"/>
      <w:bookmarkStart w:id="876" w:name="_Toc296503204"/>
      <w:bookmarkStart w:id="877" w:name="_Toc297123546"/>
      <w:bookmarkStart w:id="878" w:name="_Toc297216205"/>
      <w:bookmarkStart w:id="879" w:name="_Toc297120504"/>
      <w:r>
        <w:t xml:space="preserve">包人提出的合理化建议降低了合同价格或者提高了工程经济效益的奖励的方法和金额为：                 </w:t>
      </w:r>
      <w:r>
        <w:rPr>
          <w:rFonts w:hint="eastAsia"/>
        </w:rPr>
        <w:t xml:space="preserve">   </w:t>
      </w:r>
      <w:r>
        <w:t xml:space="preserve">            </w:t>
      </w:r>
    </w:p>
    <w:p>
      <w:r>
        <w:rPr>
          <w:rFonts w:hint="eastAsia"/>
        </w:rPr>
        <w:t xml:space="preserve">        </w:t>
      </w:r>
      <w:r>
        <w:t xml:space="preserve"> </w:t>
      </w:r>
      <w:r>
        <w:rPr>
          <w:rFonts w:hint="eastAsia"/>
        </w:rPr>
        <w:t xml:space="preserve">                                           </w:t>
      </w:r>
      <w:r>
        <w:t xml:space="preserve">     。</w:t>
      </w:r>
    </w:p>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r>
        <w:t>1</w:t>
      </w:r>
      <w:bookmarkStart w:id="880" w:name="_Toc296944538"/>
      <w:bookmarkStart w:id="881" w:name="_Toc292559909"/>
      <w:bookmarkStart w:id="882" w:name="_Toc297216207"/>
      <w:bookmarkStart w:id="883" w:name="_Toc312678033"/>
      <w:bookmarkStart w:id="884" w:name="_Toc297048385"/>
      <w:bookmarkStart w:id="885" w:name="_Toc297120499"/>
      <w:bookmarkStart w:id="886" w:name="_Toc296891027"/>
      <w:bookmarkStart w:id="887" w:name="_Toc296891239"/>
      <w:bookmarkStart w:id="888" w:name="_Toc292559404"/>
      <w:bookmarkStart w:id="889" w:name="_Toc296346700"/>
      <w:bookmarkStart w:id="890" w:name="_Toc300934997"/>
      <w:bookmarkStart w:id="891" w:name="_Toc303539154"/>
      <w:bookmarkStart w:id="892" w:name="_Toc304295574"/>
      <w:bookmarkStart w:id="893" w:name="_Toc297123548"/>
      <w:bookmarkStart w:id="894" w:name="_Toc296503199"/>
      <w:bookmarkStart w:id="895" w:name="_Toc312677507"/>
      <w:bookmarkStart w:id="896" w:name="_Toc296347198"/>
      <w:r>
        <w:t>0.7 暂估价</w:t>
      </w:r>
    </w:p>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r>
        <w:t>暂</w:t>
      </w:r>
      <w:bookmarkStart w:id="897" w:name="_Toc318581176"/>
      <w:bookmarkStart w:id="898" w:name="_Toc312678034"/>
      <w:bookmarkStart w:id="899" w:name="_Toc312677508"/>
      <w:r>
        <w:t>估价材料和工程设备的明细详见附件</w:t>
      </w:r>
      <w:r>
        <w:rPr>
          <w:rFonts w:hint="eastAsia"/>
        </w:rPr>
        <w:t>11：《</w:t>
      </w:r>
      <w:r>
        <w:t>暂估价一览表</w:t>
      </w:r>
      <w:r>
        <w:rPr>
          <w:rFonts w:hint="eastAsia"/>
        </w:rPr>
        <w:t>》。</w:t>
      </w:r>
    </w:p>
    <w:bookmarkEnd w:id="897"/>
    <w:bookmarkEnd w:id="898"/>
    <w:bookmarkEnd w:id="899"/>
    <w:p>
      <w:r>
        <w:t>1</w:t>
      </w:r>
      <w:bookmarkStart w:id="900" w:name="_Toc318581177"/>
      <w:bookmarkStart w:id="901" w:name="_Toc312678035"/>
      <w:bookmarkStart w:id="902" w:name="_Toc312677509"/>
      <w:r>
        <w:t>0.7.1 依法必须招标的暂估价项目</w:t>
      </w:r>
    </w:p>
    <w:bookmarkEnd w:id="900"/>
    <w:bookmarkEnd w:id="901"/>
    <w:bookmarkEnd w:id="902"/>
    <w:p>
      <w:r>
        <w:t>对于依法必须招标的暂估价项目的确认和批准采取第    种方式确定。</w:t>
      </w:r>
    </w:p>
    <w:p>
      <w:r>
        <w:t>10.7.2 不属于依法必须招标的暂估价项目</w:t>
      </w:r>
    </w:p>
    <w:p>
      <w:r>
        <w:t>对于不属于依法必须招标的暂估价项目的确认和批准采取第    种方式确定。</w:t>
      </w:r>
    </w:p>
    <w:p>
      <w:r>
        <w:t>第3种方式：承包人直接实施的暂估价项目</w:t>
      </w:r>
    </w:p>
    <w:p>
      <w:r>
        <w:t xml:space="preserve">承包人直接实施的暂估价项目的约定：                     </w:t>
      </w:r>
    </w:p>
    <w:p>
      <w:r>
        <w:rPr>
          <w:rFonts w:hint="eastAsia"/>
        </w:rPr>
        <w:t xml:space="preserve">                                                      </w:t>
      </w:r>
      <w:r>
        <w:t xml:space="preserve">   。</w:t>
      </w:r>
    </w:p>
    <w:p>
      <w:r>
        <w:t>10.8 暂列金额</w:t>
      </w:r>
    </w:p>
    <w:p>
      <w:r>
        <w:rPr>
          <w:rFonts w:hint="eastAsia"/>
        </w:rPr>
        <w:t>合同当事人关于暂列金额使用的约定：</w:t>
      </w:r>
      <w:r>
        <w:t xml:space="preserve">               </w:t>
      </w:r>
      <w:r>
        <w:rPr>
          <w:rFonts w:hint="eastAsia"/>
        </w:rPr>
        <w:t xml:space="preserve">      </w:t>
      </w:r>
    </w:p>
    <w:p>
      <w:r>
        <w:rPr>
          <w:rFonts w:hint="eastAsia"/>
        </w:rPr>
        <w:t xml:space="preserve">                                                         。</w:t>
      </w:r>
    </w:p>
    <w:p>
      <w:bookmarkStart w:id="903" w:name="_Toc351203643"/>
      <w:r>
        <w:t>11. 价格调整</w:t>
      </w:r>
      <w:bookmarkEnd w:id="903"/>
    </w:p>
    <w:p>
      <w:bookmarkStart w:id="904" w:name="_Toc292559406"/>
      <w:bookmarkStart w:id="905" w:name="_Toc300935000"/>
      <w:bookmarkStart w:id="906" w:name="_Toc292559911"/>
      <w:bookmarkStart w:id="907" w:name="_Toc296891241"/>
      <w:bookmarkStart w:id="908" w:name="_Toc303539157"/>
      <w:bookmarkStart w:id="909" w:name="_Toc296503201"/>
      <w:bookmarkStart w:id="910" w:name="_Toc296346702"/>
      <w:bookmarkStart w:id="911" w:name="_Toc297123550"/>
      <w:bookmarkStart w:id="912" w:name="_Toc296944540"/>
      <w:bookmarkStart w:id="913" w:name="_Toc297048387"/>
      <w:bookmarkStart w:id="914" w:name="_Toc304295577"/>
      <w:bookmarkStart w:id="915" w:name="_Toc312678039"/>
      <w:bookmarkStart w:id="916" w:name="_Toc297216209"/>
      <w:bookmarkStart w:id="917" w:name="_Toc297120501"/>
      <w:bookmarkStart w:id="918" w:name="_Toc296891029"/>
      <w:bookmarkStart w:id="919" w:name="_Toc296347200"/>
      <w:r>
        <w:t>11.1 市场价格波动引起的调整</w:t>
      </w:r>
    </w:p>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r>
        <w:t>市场价格波动是否调整合同价格的约定：                 。</w:t>
      </w:r>
    </w:p>
    <w:p>
      <w:r>
        <w:t>因市场价格波动调整合同价格，采用以下第    种方式对合同价格进行调整：</w:t>
      </w:r>
    </w:p>
    <w:p>
      <w:r>
        <w:t>第1种方式：采用价格指数</w:t>
      </w:r>
      <w:r>
        <w:rPr>
          <w:rFonts w:hint="eastAsia"/>
        </w:rPr>
        <w:t>进行价格</w:t>
      </w:r>
      <w:r>
        <w:t>调整。</w:t>
      </w:r>
    </w:p>
    <w:p>
      <w:r>
        <w:t xml:space="preserve">关于各可调因子、定值和变值权重，以及基本价格指数及其来源的约定：                                                ；  </w:t>
      </w:r>
    </w:p>
    <w:p>
      <w:r>
        <w:t>第2种方式：采用造价信息</w:t>
      </w:r>
      <w:r>
        <w:rPr>
          <w:rFonts w:hint="eastAsia"/>
        </w:rPr>
        <w:t>进行价格</w:t>
      </w:r>
      <w:r>
        <w:t>调整。</w:t>
      </w:r>
    </w:p>
    <w:p>
      <w:r>
        <w:t>（2）关于基准价格的约定：                         。</w:t>
      </w:r>
    </w:p>
    <w:p>
      <w:r>
        <w:t>专用合同条款</w:t>
      </w:r>
      <w:r>
        <w:rPr>
          <w:rFonts w:hint="eastAsia"/>
        </w:rPr>
        <w:t>①</w:t>
      </w:r>
      <w:r>
        <w:t>承包人在已标价工程量清单或预算书中载明的材料单价低于基准价格的：专用合同条款合同履行期间材料单价涨幅以基准价格为基础超过   %时，或材料单价跌幅以已标价工程量清单或预算书中载明材料单价为基础超过   %时，其超过部分据实调整。</w:t>
      </w:r>
    </w:p>
    <w:p>
      <w:r>
        <w:rPr>
          <w:rFonts w:hint="eastAsia"/>
        </w:rPr>
        <w:t>②</w:t>
      </w:r>
      <w:r>
        <w:t>承包人在已标价工程量清单或预算书中载明的材料单价高于基准价格的：专用合同条款合同履行期间材料单价跌幅以基准价格为基础超过   %时，材料单价涨幅以已标价工程量清单或预算书中载明材料单价为基础超过   %时，其超过部分据实调整。</w:t>
      </w:r>
    </w:p>
    <w:p>
      <w:r>
        <w:rPr>
          <w:rFonts w:hint="eastAsia"/>
        </w:rPr>
        <w:t>③</w:t>
      </w:r>
      <w:r>
        <w:t>承包人在已标价工程量清单或预算书中载明的材料单价等于基准单价的：专用合同条款合同履行期间材料单价涨跌幅以基准单价为基础超过±   %时，其超过部分据实调整。</w:t>
      </w:r>
    </w:p>
    <w:p>
      <w:r>
        <w:t xml:space="preserve">第3种方式：其他价格调整方式：                        </w:t>
      </w:r>
    </w:p>
    <w:p>
      <w:r>
        <w:rPr>
          <w:rFonts w:hint="eastAsia"/>
        </w:rPr>
        <w:t xml:space="preserve">                                                       </w:t>
      </w:r>
      <w:r>
        <w:t xml:space="preserve">  。</w:t>
      </w:r>
    </w:p>
    <w:bookmarkEnd w:id="807"/>
    <w:bookmarkEnd w:id="808"/>
    <w:bookmarkEnd w:id="809"/>
    <w:bookmarkEnd w:id="810"/>
    <w:bookmarkEnd w:id="811"/>
    <w:bookmarkEnd w:id="812"/>
    <w:p>
      <w:bookmarkStart w:id="920" w:name="_Toc296891033"/>
      <w:bookmarkStart w:id="921" w:name="_Toc292559915"/>
      <w:bookmarkStart w:id="922" w:name="_Toc296944544"/>
      <w:bookmarkStart w:id="923" w:name="_Toc292559410"/>
      <w:bookmarkStart w:id="924" w:name="_Toc296891245"/>
      <w:bookmarkStart w:id="925" w:name="_Toc297048391"/>
      <w:bookmarkStart w:id="926" w:name="_Toc296503205"/>
      <w:bookmarkStart w:id="927" w:name="_Toc296346706"/>
      <w:bookmarkStart w:id="928" w:name="_Toc297120505"/>
      <w:bookmarkStart w:id="929" w:name="_Toc296347204"/>
      <w:bookmarkStart w:id="930" w:name="_Toc351203644"/>
      <w:bookmarkStart w:id="931" w:name="_Toc303539159"/>
      <w:bookmarkStart w:id="932" w:name="_Toc312678040"/>
      <w:bookmarkStart w:id="933" w:name="_Toc300935002"/>
      <w:bookmarkStart w:id="934" w:name="_Toc304295579"/>
      <w:bookmarkStart w:id="935" w:name="_Toc297123552"/>
      <w:bookmarkStart w:id="936" w:name="_Toc297216211"/>
      <w:r>
        <w:t xml:space="preserve">12. </w:t>
      </w:r>
      <w:bookmarkEnd w:id="920"/>
      <w:bookmarkEnd w:id="921"/>
      <w:bookmarkEnd w:id="922"/>
      <w:bookmarkEnd w:id="923"/>
      <w:bookmarkEnd w:id="924"/>
      <w:bookmarkEnd w:id="925"/>
      <w:bookmarkEnd w:id="926"/>
      <w:bookmarkEnd w:id="927"/>
      <w:bookmarkEnd w:id="928"/>
      <w:bookmarkEnd w:id="929"/>
      <w:r>
        <w:t>合同价格、计量与支付</w:t>
      </w:r>
      <w:bookmarkEnd w:id="930"/>
    </w:p>
    <w:bookmarkEnd w:id="931"/>
    <w:bookmarkEnd w:id="932"/>
    <w:bookmarkEnd w:id="933"/>
    <w:bookmarkEnd w:id="934"/>
    <w:bookmarkEnd w:id="935"/>
    <w:bookmarkEnd w:id="936"/>
    <w:p>
      <w:bookmarkStart w:id="937" w:name="_Toc292559916"/>
      <w:bookmarkStart w:id="938" w:name="_Toc267251461"/>
      <w:bookmarkStart w:id="939" w:name="_Toc292559411"/>
      <w:bookmarkStart w:id="940" w:name="_Toc296346707"/>
      <w:bookmarkStart w:id="941" w:name="_Toc296891246"/>
      <w:bookmarkStart w:id="942" w:name="_Toc297120506"/>
      <w:bookmarkStart w:id="943" w:name="_Toc296347205"/>
      <w:bookmarkStart w:id="944" w:name="_Toc297048392"/>
      <w:bookmarkStart w:id="945" w:name="_Toc296891034"/>
      <w:bookmarkStart w:id="946" w:name="_Toc296503206"/>
      <w:bookmarkStart w:id="947" w:name="_Toc296944545"/>
      <w:bookmarkStart w:id="948" w:name="_Toc297123553"/>
      <w:bookmarkStart w:id="949" w:name="_Toc303539160"/>
      <w:bookmarkStart w:id="950" w:name="_Toc312678041"/>
      <w:bookmarkStart w:id="951" w:name="_Toc304295580"/>
      <w:bookmarkStart w:id="952" w:name="_Toc300935003"/>
      <w:bookmarkStart w:id="953" w:name="_Toc297216212"/>
      <w:r>
        <w:t>12.1 合</w:t>
      </w:r>
      <w:bookmarkEnd w:id="937"/>
      <w:bookmarkEnd w:id="938"/>
      <w:bookmarkEnd w:id="939"/>
      <w:r>
        <w:t>同价</w:t>
      </w:r>
      <w:bookmarkEnd w:id="940"/>
      <w:bookmarkEnd w:id="941"/>
      <w:bookmarkEnd w:id="942"/>
      <w:bookmarkEnd w:id="943"/>
      <w:bookmarkEnd w:id="944"/>
      <w:bookmarkEnd w:id="945"/>
      <w:bookmarkEnd w:id="946"/>
      <w:bookmarkEnd w:id="947"/>
      <w:r>
        <w:t>格形式</w:t>
      </w:r>
    </w:p>
    <w:bookmarkEnd w:id="948"/>
    <w:bookmarkEnd w:id="949"/>
    <w:bookmarkEnd w:id="950"/>
    <w:bookmarkEnd w:id="951"/>
    <w:bookmarkEnd w:id="952"/>
    <w:bookmarkEnd w:id="953"/>
    <w:p>
      <w:r>
        <w:t>1、单价合同。</w:t>
      </w:r>
    </w:p>
    <w:p>
      <w:r>
        <w:t xml:space="preserve">综合单价包含的风险范围：                               </w:t>
      </w:r>
    </w:p>
    <w:p>
      <w:r>
        <w:t xml:space="preserve">                                      </w:t>
      </w:r>
      <w:r>
        <w:rPr>
          <w:rFonts w:hint="eastAsia"/>
        </w:rPr>
        <w:t xml:space="preserve">             </w:t>
      </w:r>
      <w:r>
        <w:t xml:space="preserve">      。</w:t>
      </w:r>
    </w:p>
    <w:p>
      <w:r>
        <w:t xml:space="preserve">风险费用的计算方法：                                  </w:t>
      </w:r>
    </w:p>
    <w:p>
      <w:r>
        <w:t xml:space="preserve">                                          </w:t>
      </w:r>
      <w:r>
        <w:rPr>
          <w:rFonts w:hint="eastAsia"/>
        </w:rPr>
        <w:t xml:space="preserve">            </w:t>
      </w:r>
      <w:r>
        <w:t xml:space="preserve">   。</w:t>
      </w:r>
    </w:p>
    <w:p>
      <w:r>
        <w:t xml:space="preserve">风险范围以外合同价格的调整方法：                              </w:t>
      </w:r>
    </w:p>
    <w:p>
      <w:r>
        <w:t xml:space="preserve">                                      </w:t>
      </w:r>
      <w:r>
        <w:rPr>
          <w:rFonts w:hint="eastAsia"/>
        </w:rPr>
        <w:t xml:space="preserve">            </w:t>
      </w:r>
      <w:r>
        <w:t xml:space="preserve">       。</w:t>
      </w:r>
    </w:p>
    <w:p>
      <w:r>
        <w:t>2、总价合同。</w:t>
      </w:r>
    </w:p>
    <w:p>
      <w:r>
        <w:t xml:space="preserve">总价包含的风险范围：                                   </w:t>
      </w:r>
    </w:p>
    <w:p>
      <w:r>
        <w:t xml:space="preserve">                                    </w:t>
      </w:r>
      <w:r>
        <w:rPr>
          <w:rFonts w:hint="eastAsia"/>
        </w:rPr>
        <w:t xml:space="preserve"> </w:t>
      </w:r>
      <w:r>
        <w:t xml:space="preserve">   </w:t>
      </w:r>
      <w:r>
        <w:rPr>
          <w:rFonts w:hint="eastAsia"/>
        </w:rPr>
        <w:t xml:space="preserve">            </w:t>
      </w:r>
      <w:r>
        <w:t xml:space="preserve">     。</w:t>
      </w:r>
    </w:p>
    <w:p>
      <w:r>
        <w:t xml:space="preserve">风险费用的计算方法：                      </w:t>
      </w:r>
      <w:r>
        <w:rPr>
          <w:rFonts w:hint="eastAsia"/>
        </w:rPr>
        <w:t xml:space="preserve">     </w:t>
      </w:r>
      <w:r>
        <w:t xml:space="preserve">        </w:t>
      </w:r>
    </w:p>
    <w:p>
      <w:r>
        <w:t xml:space="preserve">                                         </w:t>
      </w:r>
      <w:r>
        <w:rPr>
          <w:rFonts w:hint="eastAsia"/>
        </w:rPr>
        <w:t xml:space="preserve">            </w:t>
      </w:r>
      <w:r>
        <w:t xml:space="preserve">    。</w:t>
      </w:r>
    </w:p>
    <w:p>
      <w:r>
        <w:t xml:space="preserve">风险范围以外合同价格的调整方法：                              </w:t>
      </w:r>
    </w:p>
    <w:p>
      <w:r>
        <w:t xml:space="preserve">                                         </w:t>
      </w:r>
      <w:r>
        <w:rPr>
          <w:rFonts w:hint="eastAsia"/>
        </w:rPr>
        <w:t xml:space="preserve">            </w:t>
      </w:r>
      <w:r>
        <w:t xml:space="preserve">    。</w:t>
      </w:r>
    </w:p>
    <w:p>
      <w:r>
        <w:t xml:space="preserve">3、其他价格方式：                                     </w:t>
      </w:r>
    </w:p>
    <w:p>
      <w:r>
        <w:t xml:space="preserve">                                               </w:t>
      </w:r>
      <w:r>
        <w:rPr>
          <w:rFonts w:hint="eastAsia"/>
        </w:rPr>
        <w:t xml:space="preserve">            </w:t>
      </w:r>
      <w:r>
        <w:t xml:space="preserve">    </w:t>
      </w:r>
      <w:r>
        <w:rPr>
          <w:rFonts w:hint="eastAsia"/>
        </w:rPr>
        <w:t xml:space="preserve">                                                 </w:t>
      </w:r>
      <w:r>
        <w:t xml:space="preserve">   。</w:t>
      </w:r>
    </w:p>
    <w:p>
      <w:bookmarkStart w:id="954" w:name="_Toc297123554"/>
      <w:bookmarkStart w:id="955" w:name="_Toc300935004"/>
      <w:bookmarkStart w:id="956" w:name="_Toc312678042"/>
      <w:bookmarkStart w:id="957" w:name="_Toc304295581"/>
      <w:bookmarkStart w:id="958" w:name="_Toc303539161"/>
      <w:bookmarkStart w:id="959" w:name="_Toc297216213"/>
      <w:bookmarkStart w:id="960" w:name="_Toc296347206"/>
      <w:bookmarkStart w:id="961" w:name="_Toc296346708"/>
      <w:bookmarkStart w:id="962" w:name="_Toc296503207"/>
      <w:bookmarkStart w:id="963" w:name="_Toc292559412"/>
      <w:bookmarkStart w:id="964" w:name="_Toc292559917"/>
      <w:bookmarkStart w:id="965" w:name="_Toc296891035"/>
      <w:bookmarkStart w:id="966" w:name="_Toc297120507"/>
      <w:bookmarkStart w:id="967" w:name="_Toc296944546"/>
      <w:bookmarkStart w:id="968" w:name="_Toc296891247"/>
      <w:bookmarkStart w:id="969" w:name="_Toc297048393"/>
      <w:r>
        <w:t>12.2 预付款</w:t>
      </w:r>
    </w:p>
    <w:bookmarkEnd w:id="954"/>
    <w:bookmarkEnd w:id="955"/>
    <w:bookmarkEnd w:id="956"/>
    <w:bookmarkEnd w:id="957"/>
    <w:bookmarkEnd w:id="958"/>
    <w:bookmarkEnd w:id="959"/>
    <w:p>
      <w:r>
        <w:t>12.2.1 预付款的支付</w:t>
      </w:r>
    </w:p>
    <w:p>
      <w:r>
        <w:t xml:space="preserve">预付款支付比例或金额：               </w:t>
      </w:r>
      <w:r>
        <w:rPr>
          <w:rFonts w:hint="eastAsia"/>
        </w:rPr>
        <w:t xml:space="preserve">          </w:t>
      </w:r>
      <w:r>
        <w:t xml:space="preserve">       。</w:t>
      </w:r>
    </w:p>
    <w:p>
      <w:r>
        <w:t xml:space="preserve">预付款支付期限：                    </w:t>
      </w:r>
      <w:r>
        <w:rPr>
          <w:rFonts w:hint="eastAsia"/>
        </w:rPr>
        <w:t xml:space="preserve">          </w:t>
      </w:r>
      <w:r>
        <w:t xml:space="preserve">        。</w:t>
      </w:r>
    </w:p>
    <w:p>
      <w:r>
        <w:t xml:space="preserve">预付款扣回的方式：                    </w:t>
      </w:r>
      <w:r>
        <w:rPr>
          <w:rFonts w:hint="eastAsia"/>
        </w:rPr>
        <w:t xml:space="preserve">          </w:t>
      </w:r>
      <w:r>
        <w:t xml:space="preserve">      。</w:t>
      </w:r>
    </w:p>
    <w:p>
      <w:r>
        <w:t>12.2.2 预付款担保</w:t>
      </w:r>
    </w:p>
    <w:p>
      <w:r>
        <w:t xml:space="preserve">承包人提交预付款担保的期限：          </w:t>
      </w:r>
      <w:r>
        <w:rPr>
          <w:rFonts w:hint="eastAsia"/>
        </w:rPr>
        <w:t xml:space="preserve">          </w:t>
      </w:r>
      <w:r>
        <w:t xml:space="preserve">      。</w:t>
      </w:r>
    </w:p>
    <w:p>
      <w:r>
        <w:t xml:space="preserve">预付款担保的形式为：                    </w:t>
      </w:r>
      <w:r>
        <w:rPr>
          <w:rFonts w:hint="eastAsia"/>
        </w:rPr>
        <w:t xml:space="preserve">          </w:t>
      </w:r>
      <w:r>
        <w:t xml:space="preserve">    。</w:t>
      </w:r>
    </w:p>
    <w:bookmarkEnd w:id="960"/>
    <w:bookmarkEnd w:id="961"/>
    <w:bookmarkEnd w:id="962"/>
    <w:bookmarkEnd w:id="963"/>
    <w:bookmarkEnd w:id="964"/>
    <w:bookmarkEnd w:id="965"/>
    <w:bookmarkEnd w:id="966"/>
    <w:bookmarkEnd w:id="967"/>
    <w:bookmarkEnd w:id="968"/>
    <w:bookmarkEnd w:id="969"/>
    <w:p>
      <w:r>
        <w:t>12.3 计量</w:t>
      </w:r>
    </w:p>
    <w:p>
      <w:r>
        <w:t>12.3.1 计量原则</w:t>
      </w:r>
    </w:p>
    <w:p>
      <w:r>
        <w:t xml:space="preserve">工程量计算规则：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12.3.2 计量周期</w:t>
      </w:r>
    </w:p>
    <w:p>
      <w:r>
        <w:t xml:space="preserve">关于计量周期的约定：             </w:t>
      </w:r>
      <w:r>
        <w:rPr>
          <w:rFonts w:hint="eastAsia"/>
        </w:rPr>
        <w:t xml:space="preserve"> </w:t>
      </w:r>
      <w:r>
        <w:t xml:space="preserve">       </w:t>
      </w:r>
      <w:r>
        <w:rPr>
          <w:rFonts w:hint="eastAsia"/>
        </w:rPr>
        <w:t xml:space="preserve">       </w:t>
      </w:r>
      <w:r>
        <w:t xml:space="preserve">      。</w:t>
      </w:r>
    </w:p>
    <w:p>
      <w:r>
        <w:t>12.3.3 单价合同的计量</w:t>
      </w:r>
    </w:p>
    <w:p>
      <w:r>
        <w:t xml:space="preserve">关于单价合同计量的约定：               </w:t>
      </w:r>
      <w:r>
        <w:rPr>
          <w:rFonts w:hint="eastAsia"/>
        </w:rPr>
        <w:t xml:space="preserve">       </w:t>
      </w:r>
      <w:r>
        <w:t xml:space="preserve">        。</w:t>
      </w:r>
    </w:p>
    <w:p>
      <w:r>
        <w:t>12.3.4 总价合同的计量</w:t>
      </w:r>
    </w:p>
    <w:p>
      <w:r>
        <w:t xml:space="preserve">关于总价合同计量的约定：              </w:t>
      </w:r>
      <w:r>
        <w:rPr>
          <w:rFonts w:hint="eastAsia"/>
        </w:rPr>
        <w:t xml:space="preserve">       </w:t>
      </w:r>
      <w:r>
        <w:t xml:space="preserve">         。</w:t>
      </w:r>
    </w:p>
    <w:p>
      <w:r>
        <w:t>12.3.5总价合同采用支付分解表计量支付的，是否适用第12.3.4 项</w:t>
      </w:r>
      <w:r>
        <w:rPr>
          <w:rFonts w:hint="eastAsia"/>
        </w:rPr>
        <w:t>〔</w:t>
      </w:r>
      <w:r>
        <w:t>总价合同的计量</w:t>
      </w:r>
      <w:r>
        <w:rPr>
          <w:rFonts w:hint="eastAsia"/>
        </w:rPr>
        <w:t>〕</w:t>
      </w:r>
      <w:r>
        <w:t>约定</w:t>
      </w:r>
      <w:r>
        <w:rPr>
          <w:rFonts w:hint="eastAsia"/>
        </w:rPr>
        <w:t>进行计量：</w:t>
      </w:r>
      <w:r>
        <w:t xml:space="preserve">        </w:t>
      </w:r>
      <w:r>
        <w:rPr>
          <w:rFonts w:hint="eastAsia"/>
        </w:rPr>
        <w:t xml:space="preserve">             </w:t>
      </w:r>
      <w:r>
        <w:t>。</w:t>
      </w:r>
    </w:p>
    <w:p>
      <w:r>
        <w:t>12.3.6 其他价格形式合同的计量</w:t>
      </w:r>
    </w:p>
    <w:p>
      <w:r>
        <w:t xml:space="preserve">其他价格形式的计量方式和程序：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p>
    <w:p>
      <w:r>
        <w:t>12.4 工程进度款支付</w:t>
      </w:r>
    </w:p>
    <w:p>
      <w:bookmarkStart w:id="970" w:name="_Toc297120511"/>
      <w:bookmarkStart w:id="971" w:name="_Toc297123556"/>
      <w:bookmarkStart w:id="972" w:name="_Toc296347210"/>
      <w:bookmarkStart w:id="973" w:name="_Toc296346712"/>
      <w:bookmarkStart w:id="974" w:name="_Toc303539163"/>
      <w:bookmarkStart w:id="975" w:name="_Toc296891039"/>
      <w:bookmarkStart w:id="976" w:name="_Toc297216215"/>
      <w:bookmarkStart w:id="977" w:name="_Toc297048397"/>
      <w:bookmarkStart w:id="978" w:name="_Toc296503211"/>
      <w:bookmarkStart w:id="979" w:name="_Toc292559921"/>
      <w:bookmarkStart w:id="980" w:name="_Toc296944550"/>
      <w:bookmarkStart w:id="981" w:name="_Toc292559416"/>
      <w:bookmarkStart w:id="982" w:name="_Toc296891251"/>
      <w:bookmarkStart w:id="983" w:name="_Toc300935006"/>
      <w:r>
        <w:t>12.4.1 付款周期</w:t>
      </w:r>
    </w:p>
    <w:p>
      <w:r>
        <w:t xml:space="preserve">关于付款周期的约定：                        </w:t>
      </w:r>
      <w:r>
        <w:rPr>
          <w:rFonts w:hint="eastAsia"/>
        </w:rPr>
        <w:t xml:space="preserve">  </w:t>
      </w:r>
      <w:r>
        <w:t xml:space="preserve">        。</w:t>
      </w:r>
    </w:p>
    <w:p>
      <w:r>
        <w:t>12.4.2 进度付款申请单的编制</w:t>
      </w:r>
    </w:p>
    <w:p>
      <w:r>
        <w:t xml:space="preserve">关于进度付款申请单编制的约定：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p>
    <w:p>
      <w:r>
        <w:t>1</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t>2.4.3 进度付款申请单的提交</w:t>
      </w:r>
    </w:p>
    <w:p>
      <w:r>
        <w:t>（1）单价合同进度付款申请单提交的约定</w:t>
      </w:r>
      <w:r>
        <w:rPr>
          <w:rFonts w:hint="eastAsia"/>
        </w:rPr>
        <w:t>：</w:t>
      </w:r>
      <w:r>
        <w:t xml:space="preserve">       </w:t>
      </w:r>
      <w:r>
        <w:rPr>
          <w:rFonts w:hint="eastAsia"/>
        </w:rPr>
        <w:t xml:space="preserve">  </w:t>
      </w:r>
      <w:r>
        <w:t xml:space="preserve"> </w:t>
      </w:r>
      <w:r>
        <w:rPr>
          <w:rFonts w:hint="eastAsia"/>
        </w:rPr>
        <w:t xml:space="preserve"> </w:t>
      </w:r>
      <w:r>
        <w:t xml:space="preserve">    。</w:t>
      </w:r>
    </w:p>
    <w:p>
      <w:r>
        <w:t>（2）总价合同进度付款申请单提交的约定</w:t>
      </w:r>
      <w:r>
        <w:rPr>
          <w:rFonts w:hint="eastAsia"/>
        </w:rPr>
        <w:t>：</w:t>
      </w:r>
      <w:r>
        <w:t xml:space="preserve">     </w:t>
      </w:r>
      <w:r>
        <w:rPr>
          <w:rFonts w:hint="eastAsia"/>
        </w:rPr>
        <w:t xml:space="preserve"> </w:t>
      </w:r>
      <w:r>
        <w:t xml:space="preserve">   </w:t>
      </w:r>
      <w:r>
        <w:rPr>
          <w:rFonts w:hint="eastAsia"/>
        </w:rPr>
        <w:t xml:space="preserve">  </w:t>
      </w:r>
      <w:r>
        <w:t xml:space="preserve">    。</w:t>
      </w:r>
    </w:p>
    <w:p>
      <w:r>
        <w:t xml:space="preserve">（3）其他价格形式合同进度付款申请单提交的约定：       </w:t>
      </w:r>
    </w:p>
    <w:p>
      <w:r>
        <w:t xml:space="preserve">              </w:t>
      </w:r>
      <w:r>
        <w:rPr>
          <w:rFonts w:hint="eastAsia"/>
        </w:rPr>
        <w:t xml:space="preserve">                                    </w:t>
      </w:r>
      <w:r>
        <w:t xml:space="preserve">  </w:t>
      </w:r>
      <w:r>
        <w:rPr>
          <w:rFonts w:hint="eastAsia"/>
        </w:rPr>
        <w:t xml:space="preserve"> </w:t>
      </w:r>
      <w:r>
        <w:t xml:space="preserve">    。</w:t>
      </w:r>
    </w:p>
    <w:p>
      <w:r>
        <w:t>12.4.4 进度款审核和支付</w:t>
      </w:r>
    </w:p>
    <w:p>
      <w:r>
        <w:t xml:space="preserve">（1）监理人审查并报送发包人的期限：       </w:t>
      </w:r>
      <w:r>
        <w:rPr>
          <w:rFonts w:hint="eastAsia"/>
        </w:rPr>
        <w:t xml:space="preserve">           </w:t>
      </w:r>
      <w:r>
        <w:t>。</w:t>
      </w:r>
    </w:p>
    <w:p>
      <w:r>
        <w:t xml:space="preserve">发包人完成审批并签发进度款支付证书的期限：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w:t>
      </w:r>
    </w:p>
    <w:p>
      <w:r>
        <w:t xml:space="preserve">（2）发包人支付进度款的期限：                  </w:t>
      </w:r>
      <w:r>
        <w:rPr>
          <w:rFonts w:hint="eastAsia"/>
        </w:rPr>
        <w:t xml:space="preserve"> </w:t>
      </w:r>
      <w:r>
        <w:t xml:space="preserve">     。</w:t>
      </w:r>
    </w:p>
    <w:p>
      <w:r>
        <w:t xml:space="preserve">发包人逾期支付进度款的违约金的计算方式：      </w:t>
      </w:r>
      <w:r>
        <w:rPr>
          <w:rFonts w:hint="eastAsia"/>
        </w:rPr>
        <w:t xml:space="preserve">      </w:t>
      </w:r>
    </w:p>
    <w:p>
      <w:r>
        <w:t xml:space="preserve"> </w:t>
      </w:r>
      <w:r>
        <w:rPr>
          <w:rFonts w:hint="eastAsia"/>
        </w:rPr>
        <w:t xml:space="preserve">                                                   </w:t>
      </w:r>
      <w:r>
        <w:t xml:space="preserve">     。</w:t>
      </w:r>
    </w:p>
    <w:p>
      <w:r>
        <w:t>12.4.6 支付分解表的编制</w:t>
      </w:r>
    </w:p>
    <w:p>
      <w:r>
        <w:t xml:space="preserve">2、总价合同支付分解表的编制与审批：                  </w:t>
      </w:r>
    </w:p>
    <w:p>
      <w:r>
        <w:t xml:space="preserve">   </w:t>
      </w:r>
      <w:r>
        <w:rPr>
          <w:rFonts w:hint="eastAsia"/>
        </w:rPr>
        <w:t xml:space="preserve">                                                  </w:t>
      </w:r>
      <w:r>
        <w:t xml:space="preserve">    。</w:t>
      </w:r>
    </w:p>
    <w:p>
      <w:r>
        <w:t xml:space="preserve">3、单价合同的总价项目支付分解表的编制与审批：            </w:t>
      </w:r>
    </w:p>
    <w:p>
      <w:r>
        <w:t xml:space="preserve">                                 </w:t>
      </w:r>
      <w:r>
        <w:rPr>
          <w:rFonts w:hint="eastAsia"/>
        </w:rPr>
        <w:t xml:space="preserve">                 </w:t>
      </w:r>
      <w:r>
        <w:t xml:space="preserve">  </w:t>
      </w:r>
      <w:r>
        <w:rPr>
          <w:rFonts w:hint="eastAsia"/>
        </w:rPr>
        <w:t xml:space="preserve"> </w:t>
      </w:r>
      <w:r>
        <w:t xml:space="preserve">    。</w:t>
      </w:r>
    </w:p>
    <w:bookmarkEnd w:id="813"/>
    <w:p>
      <w:bookmarkStart w:id="984" w:name="_Toc351203645"/>
      <w:bookmarkStart w:id="985" w:name="_Toc296891047"/>
      <w:bookmarkStart w:id="986" w:name="_Toc296891259"/>
      <w:bookmarkStart w:id="987" w:name="_Toc297048405"/>
      <w:bookmarkStart w:id="988" w:name="_Toc312678053"/>
      <w:bookmarkStart w:id="989" w:name="_Toc303539172"/>
      <w:bookmarkStart w:id="990" w:name="_Toc296346720"/>
      <w:bookmarkStart w:id="991" w:name="_Toc300935015"/>
      <w:bookmarkStart w:id="992" w:name="_Toc296347218"/>
      <w:bookmarkStart w:id="993" w:name="_Toc297120519"/>
      <w:bookmarkStart w:id="994" w:name="_Toc297123564"/>
      <w:bookmarkStart w:id="995" w:name="_Toc292559424"/>
      <w:bookmarkStart w:id="996" w:name="_Toc296503219"/>
      <w:bookmarkStart w:id="997" w:name="_Toc296944558"/>
      <w:bookmarkStart w:id="998" w:name="_Toc304295593"/>
      <w:bookmarkStart w:id="999" w:name="_Toc292559929"/>
      <w:bookmarkStart w:id="1000" w:name="_Toc297216223"/>
      <w:r>
        <w:t>13.</w:t>
      </w:r>
      <w:r>
        <w:rPr>
          <w:rFonts w:hint="eastAsia"/>
        </w:rPr>
        <w:t xml:space="preserve"> </w:t>
      </w:r>
      <w:r>
        <w:t>验收和工程试车</w:t>
      </w:r>
      <w:bookmarkEnd w:id="984"/>
    </w:p>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r>
        <w:t>13.1 分部分项工程验收</w:t>
      </w:r>
    </w:p>
    <w:p>
      <w:r>
        <w:t>13.1.2监理人不能按时进行验收时，应提前       小时提交书面延期要求。</w:t>
      </w:r>
    </w:p>
    <w:p>
      <w:r>
        <w:t>关于延期最长不得超过：         小时。</w:t>
      </w:r>
    </w:p>
    <w:p>
      <w:bookmarkStart w:id="1001" w:name="_Toc304295596"/>
      <w:bookmarkStart w:id="1002" w:name="_Toc312678056"/>
      <w:bookmarkStart w:id="1003" w:name="_Toc296891263"/>
      <w:bookmarkStart w:id="1004" w:name="_Toc297048409"/>
      <w:bookmarkStart w:id="1005" w:name="_Toc297120523"/>
      <w:bookmarkStart w:id="1006" w:name="_Toc292559428"/>
      <w:bookmarkStart w:id="1007" w:name="_Toc296346724"/>
      <w:bookmarkStart w:id="1008" w:name="_Toc303539173"/>
      <w:bookmarkStart w:id="1009" w:name="_Toc297123565"/>
      <w:bookmarkStart w:id="1010" w:name="_Toc296503223"/>
      <w:bookmarkStart w:id="1011" w:name="_Toc296347222"/>
      <w:bookmarkStart w:id="1012" w:name="_Toc300935016"/>
      <w:bookmarkStart w:id="1013" w:name="_Toc296944562"/>
      <w:bookmarkStart w:id="1014" w:name="_Toc297216224"/>
      <w:bookmarkStart w:id="1015" w:name="_Toc292559933"/>
      <w:bookmarkStart w:id="1016" w:name="_Toc296891051"/>
      <w:bookmarkStart w:id="1017" w:name="_Toc267251470"/>
      <w:bookmarkStart w:id="1018" w:name="_Toc267251475"/>
      <w:bookmarkStart w:id="1019" w:name="_Toc267251473"/>
      <w:bookmarkStart w:id="1020" w:name="_Toc267251476"/>
      <w:bookmarkStart w:id="1021" w:name="_Toc267251474"/>
      <w:bookmarkStart w:id="1022" w:name="_Toc267251471"/>
      <w:bookmarkStart w:id="1023" w:name="_Toc267251472"/>
      <w:r>
        <w:t>13.2 竣工验收</w:t>
      </w:r>
    </w:p>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bookmarkStart w:id="1024" w:name="_Toc280868704"/>
      <w:bookmarkStart w:id="1025" w:name="_Toc280868705"/>
      <w:bookmarkStart w:id="1026" w:name="_Toc280868706"/>
      <w:bookmarkStart w:id="1027" w:name="_Toc280868707"/>
      <w:bookmarkStart w:id="1028" w:name="_Toc280868708"/>
      <w:bookmarkStart w:id="1029" w:name="_Toc280868709"/>
      <w:r>
        <w:t>13.2.2竣工验收程序</w:t>
      </w:r>
    </w:p>
    <w:bookmarkEnd w:id="1024"/>
    <w:p>
      <w:r>
        <w:t xml:space="preserve">关于竣工验收程序的约定：                              </w:t>
      </w:r>
    </w:p>
    <w:p>
      <w:r>
        <w:t xml:space="preserve">                                  </w:t>
      </w:r>
      <w:r>
        <w:rPr>
          <w:rFonts w:hint="eastAsia"/>
        </w:rPr>
        <w:t xml:space="preserve">       </w:t>
      </w:r>
      <w:r>
        <w:t xml:space="preserve">    </w:t>
      </w:r>
      <w:r>
        <w:rPr>
          <w:rFonts w:hint="eastAsia"/>
        </w:rPr>
        <w:t xml:space="preserve">     </w:t>
      </w:r>
      <w:r>
        <w:t xml:space="preserve">       。</w:t>
      </w:r>
    </w:p>
    <w:p>
      <w:r>
        <w:t xml:space="preserve">发包人不按照本项约定组织竣工验收、颁发工程接收证书的违约金的计算方法：                 </w:t>
      </w:r>
      <w:r>
        <w:rPr>
          <w:rFonts w:hint="eastAsia"/>
        </w:rPr>
        <w:t xml:space="preserve">             </w:t>
      </w:r>
      <w:r>
        <w:t xml:space="preserve">           </w:t>
      </w:r>
    </w:p>
    <w:p>
      <w:r>
        <w:t xml:space="preserve">          </w:t>
      </w:r>
      <w:r>
        <w:rPr>
          <w:rFonts w:hint="eastAsia"/>
        </w:rPr>
        <w:t xml:space="preserve">                                  </w:t>
      </w:r>
      <w:r>
        <w:t xml:space="preserve">            。</w:t>
      </w:r>
    </w:p>
    <w:bookmarkEnd w:id="1025"/>
    <w:p>
      <w:r>
        <w:t>13.2.5移交、接收全部与部分工程</w:t>
      </w:r>
    </w:p>
    <w:bookmarkEnd w:id="1026"/>
    <w:p>
      <w:r>
        <w:rPr>
          <w:rFonts w:hint="eastAsia"/>
        </w:rPr>
        <w:t>承包人向发包人移交工程的期限：</w:t>
      </w:r>
      <w:r>
        <w:t xml:space="preserve">           </w:t>
      </w:r>
      <w:r>
        <w:rPr>
          <w:rFonts w:hint="eastAsia"/>
        </w:rPr>
        <w:t xml:space="preserve">           </w:t>
      </w:r>
      <w:r>
        <w:t xml:space="preserve"> </w:t>
      </w:r>
      <w:r>
        <w:rPr>
          <w:rFonts w:hint="eastAsia"/>
        </w:rPr>
        <w:t xml:space="preserve"> 。</w:t>
      </w:r>
    </w:p>
    <w:p>
      <w:r>
        <w:t xml:space="preserve">发包人未按本合同约定接收全部或部分工程的，违约金的计算方法为：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bookmarkEnd w:id="1027"/>
    <w:p>
      <w:r>
        <w:t>承包人未按时移交工程的，违约金的计算方法为：</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p>
    <w:p>
      <w:r>
        <w:t>13.3 工程试车</w:t>
      </w:r>
    </w:p>
    <w:bookmarkEnd w:id="1028"/>
    <w:p>
      <w:r>
        <w:t>13.3.1 试车程序</w:t>
      </w:r>
    </w:p>
    <w:p>
      <w:r>
        <w:t xml:space="preserve">工程试车内容：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p>
    <w:p>
      <w:r>
        <w:t>（1）单机无负荷试车费用由                     承担；</w:t>
      </w:r>
    </w:p>
    <w:p>
      <w:r>
        <w:t>（2）无负荷联动试车费用由                     承担。</w:t>
      </w:r>
    </w:p>
    <w:p>
      <w:r>
        <w:t>13.3.3 投料试车</w:t>
      </w:r>
    </w:p>
    <w:p>
      <w:r>
        <w:rPr>
          <w:rFonts w:hint="eastAsia"/>
        </w:rPr>
        <w:t xml:space="preserve">关于投料试车相关事项的约定：                           </w:t>
      </w:r>
    </w:p>
    <w:p>
      <w:r>
        <w:rPr>
          <w:rFonts w:hint="eastAsia"/>
        </w:rPr>
        <w:t xml:space="preserve">                                                       </w:t>
      </w:r>
      <w:r>
        <w:t xml:space="preserve">  。</w:t>
      </w:r>
    </w:p>
    <w:p>
      <w:r>
        <w:t>13.6 竣工退场</w:t>
      </w:r>
    </w:p>
    <w:p>
      <w:r>
        <w:t>13.6.1 竣工退场</w:t>
      </w:r>
    </w:p>
    <w:p>
      <w:r>
        <w:t xml:space="preserve">承包人完成竣工退场的期限：                 </w:t>
      </w:r>
      <w:r>
        <w:rPr>
          <w:rFonts w:hint="eastAsia"/>
        </w:rPr>
        <w:t xml:space="preserve">    </w:t>
      </w:r>
      <w:r>
        <w:t xml:space="preserve">       。</w:t>
      </w:r>
    </w:p>
    <w:p>
      <w:bookmarkStart w:id="1030" w:name="_Toc351203646"/>
      <w:r>
        <w:t>14. 竣工结算</w:t>
      </w:r>
      <w:bookmarkEnd w:id="1030"/>
    </w:p>
    <w:p>
      <w:r>
        <w:t>14.1 竣工</w:t>
      </w:r>
      <w:r>
        <w:rPr>
          <w:rFonts w:hint="eastAsia"/>
        </w:rPr>
        <w:t>结算</w:t>
      </w:r>
      <w:r>
        <w:t>申请</w:t>
      </w:r>
    </w:p>
    <w:p>
      <w:r>
        <w:t>承包人提交竣工</w:t>
      </w:r>
      <w:r>
        <w:rPr>
          <w:rFonts w:hint="eastAsia"/>
        </w:rPr>
        <w:t>结算</w:t>
      </w:r>
      <w:r>
        <w:t xml:space="preserve">申请单的期限：            </w:t>
      </w:r>
      <w:r>
        <w:rPr>
          <w:rFonts w:hint="eastAsia"/>
        </w:rPr>
        <w:t xml:space="preserve"> </w:t>
      </w:r>
      <w:r>
        <w:t xml:space="preserve">   </w:t>
      </w:r>
      <w:r>
        <w:rPr>
          <w:rFonts w:hint="eastAsia"/>
        </w:rPr>
        <w:t xml:space="preserve"> </w:t>
      </w:r>
      <w:r>
        <w:t xml:space="preserve">   。</w:t>
      </w:r>
    </w:p>
    <w:p>
      <w:r>
        <w:t>竣工</w:t>
      </w:r>
      <w:r>
        <w:rPr>
          <w:rFonts w:hint="eastAsia"/>
        </w:rPr>
        <w:t>结算</w:t>
      </w:r>
      <w:r>
        <w:t xml:space="preserve">申请单应包括的内容：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14.2 竣工结算审核</w:t>
      </w:r>
    </w:p>
    <w:p>
      <w:r>
        <w:t>发包人</w:t>
      </w:r>
      <w:r>
        <w:rPr>
          <w:rFonts w:hint="eastAsia"/>
        </w:rPr>
        <w:t>审批</w:t>
      </w:r>
      <w:r>
        <w:t xml:space="preserve">竣工付款申请单的期限：             </w:t>
      </w:r>
      <w:r>
        <w:rPr>
          <w:rFonts w:hint="eastAsia"/>
        </w:rPr>
        <w:t xml:space="preserve"> </w:t>
      </w:r>
      <w:r>
        <w:t xml:space="preserve"> </w:t>
      </w:r>
      <w:r>
        <w:rPr>
          <w:rFonts w:hint="eastAsia"/>
        </w:rPr>
        <w:t xml:space="preserve">   </w:t>
      </w:r>
      <w:r>
        <w:t xml:space="preserve">    。</w:t>
      </w:r>
    </w:p>
    <w:p>
      <w:r>
        <w:t xml:space="preserve">发包人完成竣工付款的期限：                   </w:t>
      </w:r>
      <w:r>
        <w:rPr>
          <w:rFonts w:hint="eastAsia"/>
        </w:rPr>
        <w:t xml:space="preserve"> </w:t>
      </w:r>
      <w:r>
        <w:t xml:space="preserve">  </w:t>
      </w:r>
      <w:r>
        <w:rPr>
          <w:rFonts w:hint="eastAsia"/>
        </w:rPr>
        <w:t xml:space="preserve">   </w:t>
      </w:r>
      <w:r>
        <w:t xml:space="preserve">   。</w:t>
      </w:r>
    </w:p>
    <w:p>
      <w:r>
        <w:rPr>
          <w:rFonts w:hint="eastAsia"/>
        </w:rPr>
        <w:t>关于竣工付款证书异议部分复核的方式和程序：</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p>
    <w:p>
      <w:r>
        <w:t>14.4 最终结清</w:t>
      </w:r>
    </w:p>
    <w:p>
      <w:r>
        <w:t>14.4.1 最终结清申请单</w:t>
      </w:r>
    </w:p>
    <w:p>
      <w:r>
        <w:t xml:space="preserve">承包人提交最终结清申请单的份数：             </w:t>
      </w:r>
      <w:r>
        <w:rPr>
          <w:rFonts w:hint="eastAsia"/>
        </w:rPr>
        <w:t xml:space="preserve"> </w:t>
      </w:r>
      <w:r>
        <w:t xml:space="preserve"> </w:t>
      </w:r>
      <w:r>
        <w:rPr>
          <w:rFonts w:hint="eastAsia"/>
        </w:rPr>
        <w:t xml:space="preserve"> </w:t>
      </w:r>
      <w:r>
        <w:t xml:space="preserve">    。</w:t>
      </w:r>
    </w:p>
    <w:p>
      <w:r>
        <w:t xml:space="preserve">承包人提交最终结算申请单的期限：             </w:t>
      </w:r>
      <w:r>
        <w:rPr>
          <w:rFonts w:hint="eastAsia"/>
        </w:rPr>
        <w:t xml:space="preserve"> </w:t>
      </w:r>
      <w:r>
        <w:t xml:space="preserve"> </w:t>
      </w:r>
      <w:r>
        <w:rPr>
          <w:rFonts w:hint="eastAsia"/>
        </w:rPr>
        <w:t xml:space="preserve"> </w:t>
      </w:r>
      <w:r>
        <w:t xml:space="preserve">    。 </w:t>
      </w:r>
    </w:p>
    <w:p>
      <w:r>
        <w:t>14.4.2 最终结清证书和支付</w:t>
      </w:r>
    </w:p>
    <w:p>
      <w:r>
        <w:t>（1）发包人完成最终结清申请单的</w:t>
      </w:r>
      <w:r>
        <w:rPr>
          <w:rFonts w:hint="eastAsia"/>
        </w:rPr>
        <w:t>审批</w:t>
      </w:r>
      <w:r>
        <w:t xml:space="preserve">并颁发最终结清证书的期限：                              </w:t>
      </w:r>
      <w:r>
        <w:rPr>
          <w:rFonts w:hint="eastAsia"/>
        </w:rPr>
        <w:t xml:space="preserve">        </w:t>
      </w:r>
      <w:r>
        <w:t xml:space="preserve">     </w:t>
      </w:r>
      <w:r>
        <w:rPr>
          <w:rFonts w:hint="eastAsia"/>
        </w:rPr>
        <w:t xml:space="preserve">   </w:t>
      </w:r>
      <w:r>
        <w:t xml:space="preserve">    。</w:t>
      </w:r>
    </w:p>
    <w:p>
      <w:r>
        <w:t xml:space="preserve">（2）发包人完成支付的期限：          </w:t>
      </w:r>
      <w:r>
        <w:rPr>
          <w:rFonts w:hint="eastAsia"/>
        </w:rPr>
        <w:t xml:space="preserve">    </w:t>
      </w:r>
      <w:r>
        <w:t xml:space="preserve">    </w:t>
      </w:r>
      <w:r>
        <w:rPr>
          <w:rFonts w:hint="eastAsia"/>
        </w:rPr>
        <w:t xml:space="preserve">   </w:t>
      </w:r>
      <w:r>
        <w:t xml:space="preserve">    。</w:t>
      </w:r>
    </w:p>
    <w:bookmarkEnd w:id="1017"/>
    <w:bookmarkEnd w:id="1018"/>
    <w:bookmarkEnd w:id="1019"/>
    <w:bookmarkEnd w:id="1020"/>
    <w:bookmarkEnd w:id="1021"/>
    <w:bookmarkEnd w:id="1022"/>
    <w:bookmarkEnd w:id="1023"/>
    <w:bookmarkEnd w:id="1029"/>
    <w:p>
      <w:bookmarkStart w:id="1031" w:name="_Toc351203647"/>
      <w:bookmarkStart w:id="1032" w:name="_Toc267251483"/>
      <w:bookmarkStart w:id="1033" w:name="_Toc267251482"/>
      <w:bookmarkStart w:id="1034" w:name="_Toc267251484"/>
      <w:bookmarkStart w:id="1035" w:name="_Toc267251485"/>
      <w:bookmarkStart w:id="1036" w:name="_Toc267251488"/>
      <w:bookmarkStart w:id="1037" w:name="_Toc267251486"/>
      <w:bookmarkStart w:id="1038" w:name="_Toc267251489"/>
      <w:bookmarkStart w:id="1039" w:name="_Toc267251490"/>
      <w:bookmarkStart w:id="1040" w:name="_Toc267251496"/>
      <w:bookmarkStart w:id="1041" w:name="_Toc267251497"/>
      <w:bookmarkStart w:id="1042" w:name="_Toc267251501"/>
      <w:bookmarkStart w:id="1043" w:name="_Toc267251495"/>
      <w:bookmarkStart w:id="1044" w:name="_Toc267251494"/>
      <w:bookmarkStart w:id="1045" w:name="_Toc267251502"/>
      <w:bookmarkStart w:id="1046" w:name="_Toc267251493"/>
      <w:bookmarkStart w:id="1047" w:name="_Toc267251503"/>
      <w:bookmarkStart w:id="1048" w:name="_Toc267251492"/>
      <w:bookmarkStart w:id="1049" w:name="_Toc267251499"/>
      <w:bookmarkStart w:id="1050" w:name="_Toc267251491"/>
      <w:bookmarkStart w:id="1051" w:name="_Toc267251498"/>
      <w:bookmarkStart w:id="1052" w:name="_Toc267251504"/>
      <w:bookmarkStart w:id="1053" w:name="_Toc267251506"/>
      <w:bookmarkStart w:id="1054" w:name="_Toc267251507"/>
      <w:bookmarkStart w:id="1055" w:name="_Toc267251508"/>
      <w:bookmarkStart w:id="1056" w:name="_Toc267251514"/>
      <w:bookmarkStart w:id="1057" w:name="_Toc267251510"/>
      <w:bookmarkStart w:id="1058" w:name="_Toc267251509"/>
      <w:bookmarkStart w:id="1059" w:name="_Toc267251515"/>
      <w:bookmarkStart w:id="1060" w:name="_Toc267251511"/>
      <w:bookmarkStart w:id="1061" w:name="_Toc267251513"/>
      <w:r>
        <w:t>15. 缺陷责任期与保修</w:t>
      </w:r>
      <w:bookmarkEnd w:id="1031"/>
    </w:p>
    <w:p>
      <w:r>
        <w:t>15.2缺陷责任期</w:t>
      </w:r>
      <w:bookmarkEnd w:id="1032"/>
    </w:p>
    <w:p>
      <w:r>
        <w:t xml:space="preserve">缺陷责任期的具体期限：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15.3 质量保证金</w:t>
      </w:r>
    </w:p>
    <w:p>
      <w:r>
        <w:rPr>
          <w:rFonts w:hint="eastAsia"/>
        </w:rPr>
        <w:t>关于是否扣留质量保证金的约定：</w:t>
      </w:r>
      <w:r>
        <w:t xml:space="preserve">     </w:t>
      </w:r>
      <w:r>
        <w:rPr>
          <w:rFonts w:hint="eastAsia"/>
        </w:rPr>
        <w:t xml:space="preserve">          </w:t>
      </w:r>
      <w:r>
        <w:t xml:space="preserve">   </w:t>
      </w:r>
      <w:r>
        <w:rPr>
          <w:rFonts w:hint="eastAsia"/>
        </w:rPr>
        <w:t xml:space="preserve">  </w:t>
      </w:r>
      <w:r>
        <w:t xml:space="preserve">  。</w:t>
      </w:r>
      <w:r>
        <w:rPr>
          <w:rFonts w:hint="eastAsia"/>
        </w:rPr>
        <w:t>在工程项目竣工前，承包人按专用合同条款第3.7条提供履约担保的，发包人不得同时预留工程质量保证金。</w:t>
      </w:r>
    </w:p>
    <w:p/>
    <w:p>
      <w:r>
        <w:t xml:space="preserve">15.3.1 </w:t>
      </w:r>
      <w:r>
        <w:rPr>
          <w:rFonts w:hint="eastAsia"/>
        </w:rPr>
        <w:t>承包人提供</w:t>
      </w:r>
      <w:r>
        <w:t>质量保证金的</w:t>
      </w:r>
      <w:r>
        <w:rPr>
          <w:rFonts w:hint="eastAsia"/>
        </w:rPr>
        <w:t>方</w:t>
      </w:r>
      <w:r>
        <w:t>式</w:t>
      </w:r>
    </w:p>
    <w:p>
      <w:r>
        <w:t xml:space="preserve">质量保证金采用以下第 </w:t>
      </w:r>
      <w:r>
        <w:rPr>
          <w:rFonts w:hint="eastAsia"/>
        </w:rPr>
        <w:t xml:space="preserve">  </w:t>
      </w:r>
      <w:r>
        <w:t xml:space="preserve">  种方式：</w:t>
      </w:r>
    </w:p>
    <w:p>
      <w:r>
        <w:t xml:space="preserve">（1）质量保证金保函，保证金额为：   </w:t>
      </w:r>
      <w:r>
        <w:rPr>
          <w:rFonts w:hint="eastAsia"/>
        </w:rPr>
        <w:t xml:space="preserve">            </w:t>
      </w:r>
      <w:r>
        <w:t xml:space="preserve">    ； </w:t>
      </w:r>
    </w:p>
    <w:p>
      <w:r>
        <w:t>（2）      %的工程款；</w:t>
      </w:r>
    </w:p>
    <w:p>
      <w:r>
        <w:t>（3）其他</w:t>
      </w:r>
      <w:r>
        <w:rPr>
          <w:rFonts w:hint="eastAsia"/>
        </w:rPr>
        <w:t>方</w:t>
      </w:r>
      <w:r>
        <w:t xml:space="preserve">式:          </w:t>
      </w:r>
      <w:r>
        <w:rPr>
          <w:rFonts w:hint="eastAsia"/>
        </w:rPr>
        <w:t xml:space="preserve">                       </w:t>
      </w:r>
      <w:r>
        <w:t xml:space="preserve">      。</w:t>
      </w:r>
    </w:p>
    <w:p>
      <w:r>
        <w:t xml:space="preserve">15.3.2 质量保证金的扣留 </w:t>
      </w:r>
    </w:p>
    <w:p>
      <w:r>
        <w:t xml:space="preserve">质量保证金的扣留采取以下第 </w:t>
      </w:r>
      <w:r>
        <w:rPr>
          <w:rFonts w:hint="eastAsia"/>
        </w:rPr>
        <w:t xml:space="preserve">  </w:t>
      </w:r>
      <w:r>
        <w:t xml:space="preserve">  种方式：</w:t>
      </w:r>
    </w:p>
    <w:p>
      <w:r>
        <w:t>（1）在支付工程进度款时逐次扣留，在此情形下，质量保证金的计算基数不包括预付款的支付、扣回以及价格调整的金额；</w:t>
      </w:r>
    </w:p>
    <w:p>
      <w:r>
        <w:t>（2）工程竣工结算时一次性扣留质量保证金；</w:t>
      </w:r>
    </w:p>
    <w:p>
      <w:r>
        <w:t xml:space="preserve">（3）其他扣留方式:             </w:t>
      </w:r>
      <w:r>
        <w:rPr>
          <w:rFonts w:hint="eastAsia"/>
        </w:rPr>
        <w:t xml:space="preserve">   </w:t>
      </w:r>
      <w:r>
        <w:t xml:space="preserve">  </w:t>
      </w:r>
      <w:r>
        <w:rPr>
          <w:rFonts w:hint="eastAsia"/>
        </w:rPr>
        <w:t xml:space="preserve">               </w:t>
      </w:r>
      <w:r>
        <w:t xml:space="preserve">    。</w:t>
      </w:r>
    </w:p>
    <w:p>
      <w:r>
        <w:t xml:space="preserve">关于质量保证金的补充约定：          </w:t>
      </w:r>
      <w:r>
        <w:rPr>
          <w:rFonts w:hint="eastAsia"/>
        </w:rPr>
        <w:t xml:space="preserve">    </w:t>
      </w:r>
      <w:r>
        <w:t xml:space="preserve">  </w:t>
      </w:r>
      <w:r>
        <w:rPr>
          <w:rFonts w:hint="eastAsia"/>
        </w:rPr>
        <w:t xml:space="preserve">      </w:t>
      </w:r>
      <w:r>
        <w:t xml:space="preserve">  </w:t>
      </w:r>
      <w:r>
        <w:rPr>
          <w:rFonts w:hint="eastAsia"/>
        </w:rPr>
        <w:t xml:space="preserve">    </w:t>
      </w:r>
    </w:p>
    <w:p>
      <w:r>
        <w:rPr>
          <w:rFonts w:hint="eastAsia"/>
        </w:rPr>
        <w:t xml:space="preserve">                                                         </w:t>
      </w:r>
      <w:r>
        <w:t>。</w:t>
      </w:r>
    </w:p>
    <w:bookmarkEnd w:id="1033"/>
    <w:bookmarkEnd w:id="1034"/>
    <w:p>
      <w:r>
        <w:t>15.4保修</w:t>
      </w:r>
    </w:p>
    <w:bookmarkEnd w:id="1035"/>
    <w:p>
      <w:r>
        <w:t>15.4.1 保修责任</w:t>
      </w:r>
    </w:p>
    <w:p>
      <w:r>
        <w:t xml:space="preserve">工程保修期为：                                        </w:t>
      </w:r>
    </w:p>
    <w:p>
      <w:r>
        <w:t xml:space="preserve">                                    </w:t>
      </w:r>
      <w:r>
        <w:rPr>
          <w:rFonts w:hint="eastAsia"/>
        </w:rPr>
        <w:t xml:space="preserve">                   </w:t>
      </w:r>
      <w:r>
        <w:t xml:space="preserve">  。</w:t>
      </w:r>
    </w:p>
    <w:p>
      <w:r>
        <w:t>15.4.3 修复通知</w:t>
      </w:r>
    </w:p>
    <w:p>
      <w:r>
        <w:t xml:space="preserve">承包人收到保修通知并到达工程现场的合理时间：          </w:t>
      </w:r>
    </w:p>
    <w:p>
      <w:r>
        <w:t xml:space="preserve">             </w:t>
      </w:r>
      <w:r>
        <w:rPr>
          <w:rFonts w:hint="eastAsia"/>
        </w:rPr>
        <w:t xml:space="preserve">                                        </w:t>
      </w:r>
      <w:r>
        <w:t xml:space="preserve">    。</w:t>
      </w:r>
    </w:p>
    <w:bookmarkEnd w:id="1036"/>
    <w:bookmarkEnd w:id="1037"/>
    <w:bookmarkEnd w:id="1038"/>
    <w:bookmarkEnd w:id="1039"/>
    <w:p>
      <w:bookmarkStart w:id="1062" w:name="_Toc351203648"/>
      <w:bookmarkStart w:id="1063" w:name="_Toc280868717"/>
      <w:bookmarkStart w:id="1064" w:name="_Toc280868718"/>
      <w:r>
        <w:t>16. 违约</w:t>
      </w:r>
      <w:bookmarkEnd w:id="1062"/>
    </w:p>
    <w:p>
      <w:r>
        <w:t>16.1 发包人违约</w:t>
      </w:r>
    </w:p>
    <w:p>
      <w:r>
        <w:t>16.1.1发包人违约的情形</w:t>
      </w:r>
    </w:p>
    <w:p>
      <w:r>
        <w:t xml:space="preserve">发包人违约的其他情形：                                </w:t>
      </w:r>
    </w:p>
    <w:p>
      <w:r>
        <w:t xml:space="preserve">              </w:t>
      </w:r>
      <w:r>
        <w:rPr>
          <w:rFonts w:hint="eastAsia"/>
        </w:rPr>
        <w:t xml:space="preserve">                    </w:t>
      </w:r>
      <w:r>
        <w:t xml:space="preserve"> </w:t>
      </w:r>
      <w:r>
        <w:rPr>
          <w:rFonts w:hint="eastAsia"/>
        </w:rPr>
        <w:t xml:space="preserve">               </w:t>
      </w:r>
      <w:r>
        <w:t xml:space="preserve">       。</w:t>
      </w:r>
    </w:p>
    <w:p>
      <w:r>
        <w:t xml:space="preserve">    16.1.2 发包人违约的责任</w:t>
      </w:r>
    </w:p>
    <w:p>
      <w:r>
        <w:t>发包人违约责任的承担方式和计算方法：</w:t>
      </w:r>
    </w:p>
    <w:p>
      <w:r>
        <w:t xml:space="preserve">（1）因发包人原因未能在计划开工日期前7天内下达开工通知的违约责任：           </w:t>
      </w:r>
      <w:r>
        <w:rPr>
          <w:rFonts w:hint="eastAsia"/>
        </w:rPr>
        <w:t xml:space="preserve">                                </w:t>
      </w:r>
      <w:r>
        <w:t xml:space="preserve"> </w:t>
      </w:r>
      <w:r>
        <w:rPr>
          <w:rFonts w:hint="eastAsia"/>
        </w:rPr>
        <w:t xml:space="preserve"> </w:t>
      </w:r>
      <w:r>
        <w:t>。</w:t>
      </w:r>
    </w:p>
    <w:p>
      <w:r>
        <w:t xml:space="preserve">（2）因发包人原因未能按合同约定支付合同价款的违约责任：                         </w:t>
      </w:r>
      <w:r>
        <w:rPr>
          <w:rFonts w:hint="eastAsia"/>
        </w:rPr>
        <w:t xml:space="preserve">                         </w:t>
      </w:r>
      <w:r>
        <w:t xml:space="preserve">    。</w:t>
      </w:r>
    </w:p>
    <w:p>
      <w:r>
        <w:t>（3）发包人违反第10.1款</w:t>
      </w:r>
      <w:r>
        <w:rPr>
          <w:rFonts w:hint="eastAsia"/>
        </w:rPr>
        <w:t>〔</w:t>
      </w:r>
      <w:r>
        <w:t>变更的范围</w:t>
      </w:r>
      <w:r>
        <w:rPr>
          <w:rFonts w:hint="eastAsia"/>
        </w:rPr>
        <w:t>〕</w:t>
      </w:r>
      <w:r>
        <w:t xml:space="preserve">第（2）项约定，自行实施被取消的工作或转由他人实施的违约责任：      </w:t>
      </w:r>
      <w:r>
        <w:rPr>
          <w:rFonts w:hint="eastAsia"/>
        </w:rPr>
        <w:t xml:space="preserve">        </w:t>
      </w:r>
    </w:p>
    <w:p>
      <w:r>
        <w:t xml:space="preserve">  </w:t>
      </w:r>
      <w:r>
        <w:rPr>
          <w:rFonts w:hint="eastAsia"/>
        </w:rPr>
        <w:t xml:space="preserve">                                                      </w:t>
      </w:r>
      <w:r>
        <w:t xml:space="preserve"> 。</w:t>
      </w:r>
    </w:p>
    <w:p>
      <w:r>
        <w:t xml:space="preserve">（4）发包人提供的材料、工程设备的规格、数量或质量不符合合同约定，或因发包人原因导致交货日期延误或交货地点变更等情况的违约责任：        </w:t>
      </w:r>
      <w:r>
        <w:rPr>
          <w:rFonts w:hint="eastAsia"/>
        </w:rPr>
        <w:t xml:space="preserve">                    </w:t>
      </w:r>
      <w:r>
        <w:t xml:space="preserve">   </w:t>
      </w:r>
      <w:r>
        <w:rPr>
          <w:rFonts w:hint="eastAsia"/>
        </w:rPr>
        <w:t xml:space="preserve">      </w:t>
      </w:r>
      <w:r>
        <w:t xml:space="preserve">      。</w:t>
      </w:r>
    </w:p>
    <w:p>
      <w:r>
        <w:t xml:space="preserve">（5）因发包人违反合同约定造成暂停施工的违约责任：     </w:t>
      </w:r>
    </w:p>
    <w:p>
      <w:r>
        <w:t xml:space="preserve">                        </w:t>
      </w:r>
      <w:r>
        <w:rPr>
          <w:rFonts w:hint="eastAsia"/>
        </w:rPr>
        <w:t xml:space="preserve">                    </w:t>
      </w:r>
      <w:r>
        <w:t xml:space="preserve">   </w:t>
      </w:r>
      <w:r>
        <w:rPr>
          <w:rFonts w:hint="eastAsia"/>
        </w:rPr>
        <w:t xml:space="preserve">         </w:t>
      </w:r>
      <w:r>
        <w:t xml:space="preserve"> 。</w:t>
      </w:r>
    </w:p>
    <w:p>
      <w:r>
        <w:t xml:space="preserve">（6）发包人无正当理由没有在约定期限内发出复工指示，导致承包人无法复工的违约责任：               </w:t>
      </w:r>
      <w:r>
        <w:rPr>
          <w:rFonts w:hint="eastAsia"/>
        </w:rPr>
        <w:t xml:space="preserve">      </w:t>
      </w:r>
      <w:r>
        <w:t xml:space="preserve">    </w:t>
      </w:r>
      <w:r>
        <w:rPr>
          <w:rFonts w:hint="eastAsia"/>
        </w:rPr>
        <w:t xml:space="preserve"> </w:t>
      </w:r>
      <w:r>
        <w:t xml:space="preserve">     。</w:t>
      </w:r>
    </w:p>
    <w:p>
      <w:r>
        <w:t>（7）</w:t>
      </w:r>
      <w:r>
        <w:rPr>
          <w:rFonts w:hint="eastAsia"/>
        </w:rPr>
        <w:t>其他：</w:t>
      </w:r>
      <w:r>
        <w:t xml:space="preserve">                           </w:t>
      </w:r>
      <w:r>
        <w:rPr>
          <w:rFonts w:hint="eastAsia"/>
        </w:rPr>
        <w:t xml:space="preserve">      </w:t>
      </w:r>
      <w:r>
        <w:t xml:space="preserve">       </w:t>
      </w:r>
      <w:r>
        <w:rPr>
          <w:rFonts w:hint="eastAsia"/>
        </w:rPr>
        <w:t xml:space="preserve">  </w:t>
      </w:r>
      <w:r>
        <w:t>。</w:t>
      </w:r>
    </w:p>
    <w:p>
      <w:r>
        <w:t>16.1.3 因发包人违约解除合同</w:t>
      </w:r>
    </w:p>
    <w:p>
      <w:r>
        <w:t>承包人按16.1.1项</w:t>
      </w:r>
      <w:r>
        <w:rPr>
          <w:rFonts w:hint="eastAsia"/>
        </w:rPr>
        <w:t>〔</w:t>
      </w:r>
      <w:r>
        <w:t>发包人违约的情形</w:t>
      </w:r>
      <w:r>
        <w:rPr>
          <w:rFonts w:hint="eastAsia"/>
        </w:rPr>
        <w:t>〕</w:t>
      </w:r>
      <w:r>
        <w:t>约定暂停施工满    天后发包人仍不纠正其违约行为并致使合同目的不能实现的，承包人有权解除合同。</w:t>
      </w:r>
    </w:p>
    <w:p>
      <w:r>
        <w:t>16.2 承包人违约</w:t>
      </w:r>
    </w:p>
    <w:p>
      <w:r>
        <w:t>16.2.1 承包人违约的情形</w:t>
      </w:r>
    </w:p>
    <w:p>
      <w:r>
        <w:t xml:space="preserve">承包人违约的其他情形：                                </w:t>
      </w:r>
    </w:p>
    <w:p>
      <w:r>
        <w:t xml:space="preserve">                </w:t>
      </w:r>
      <w:r>
        <w:rPr>
          <w:rFonts w:hint="eastAsia"/>
        </w:rPr>
        <w:t xml:space="preserve">                         </w:t>
      </w:r>
      <w:r>
        <w:t xml:space="preserve">  </w:t>
      </w:r>
      <w:r>
        <w:rPr>
          <w:rFonts w:hint="eastAsia"/>
        </w:rPr>
        <w:t xml:space="preserve">          </w:t>
      </w:r>
      <w:r>
        <w:t xml:space="preserve">    。</w:t>
      </w:r>
    </w:p>
    <w:p>
      <w:r>
        <w:t>16.2.2承包人违约的责任</w:t>
      </w:r>
    </w:p>
    <w:p>
      <w:r>
        <w:t xml:space="preserve">承包人违约责任的承担方式和计算方法：                  </w:t>
      </w:r>
    </w:p>
    <w:p>
      <w:r>
        <w:t xml:space="preserve">                                                         。    </w:t>
      </w:r>
    </w:p>
    <w:p>
      <w:r>
        <w:t>16.2.3 因承包人违约解除合同</w:t>
      </w:r>
    </w:p>
    <w:p>
      <w:r>
        <w:t xml:space="preserve">关于承包人违约解除合同的特别约定：        </w:t>
      </w:r>
      <w:r>
        <w:rPr>
          <w:rFonts w:hint="eastAsia"/>
        </w:rPr>
        <w:t xml:space="preserve">       </w:t>
      </w:r>
      <w:r>
        <w:t xml:space="preserve">     </w:t>
      </w:r>
    </w:p>
    <w:p>
      <w:r>
        <w:t xml:space="preserve"> </w:t>
      </w:r>
      <w:r>
        <w:rPr>
          <w:rFonts w:hint="eastAsia"/>
        </w:rPr>
        <w:t xml:space="preserve">                                            </w:t>
      </w:r>
      <w:r>
        <w:t xml:space="preserve">  </w:t>
      </w:r>
      <w:r>
        <w:rPr>
          <w:rFonts w:hint="eastAsia"/>
        </w:rPr>
        <w:t xml:space="preserve">  </w:t>
      </w:r>
      <w:r>
        <w:t xml:space="preserve">        。</w:t>
      </w:r>
    </w:p>
    <w:p>
      <w:r>
        <w:t>发包人</w:t>
      </w:r>
      <w:r>
        <w:rPr>
          <w:rFonts w:hint="eastAsia"/>
        </w:rPr>
        <w:t>继续</w:t>
      </w:r>
      <w:r>
        <w:t>使用承包人在施工现场的材料、设备、临时工程、承包人文件和由承包人或以其名义编制的其他文件</w:t>
      </w:r>
      <w:r>
        <w:rPr>
          <w:rFonts w:hint="eastAsia"/>
        </w:rPr>
        <w:t>的费用承担方式</w:t>
      </w:r>
      <w:r>
        <w:t xml:space="preserve">：    </w:t>
      </w:r>
      <w:r>
        <w:rPr>
          <w:rFonts w:hint="eastAsia"/>
        </w:rPr>
        <w:t xml:space="preserve">                                              </w:t>
      </w:r>
      <w:r>
        <w:t xml:space="preserve">   </w:t>
      </w:r>
      <w:r>
        <w:rPr>
          <w:rFonts w:hint="eastAsia"/>
        </w:rPr>
        <w:t>。</w:t>
      </w:r>
    </w:p>
    <w:p>
      <w:bookmarkStart w:id="1065" w:name="_Toc351203649"/>
      <w:r>
        <w:t>17. 不可抗力</w:t>
      </w:r>
      <w:bookmarkEnd w:id="1065"/>
      <w:r>
        <w:t xml:space="preserve"> </w:t>
      </w:r>
      <w:bookmarkEnd w:id="1063"/>
    </w:p>
    <w:p>
      <w:r>
        <w:t>17.1 不可抗力的确认</w:t>
      </w:r>
    </w:p>
    <w:p>
      <w:r>
        <w:t xml:space="preserve">除通用合同条款约定的不可抗力事件之外，视为不可抗力的其他情形：                                               </w:t>
      </w:r>
      <w:r>
        <w:rPr>
          <w:rFonts w:hint="eastAsia"/>
        </w:rPr>
        <w:t xml:space="preserve"> </w:t>
      </w:r>
      <w:r>
        <w:t xml:space="preserve"> 。</w:t>
      </w:r>
    </w:p>
    <w:p>
      <w:r>
        <w:t>17.4 因不可抗力解除合同</w:t>
      </w:r>
    </w:p>
    <w:p>
      <w:r>
        <w:t>合同解除后，发包人应在商定或确定发包人应支付款项后    天内完成款项的支付。</w:t>
      </w:r>
    </w:p>
    <w:p>
      <w:bookmarkStart w:id="1066" w:name="_Toc351203650"/>
      <w:r>
        <w:t>18. 保险</w:t>
      </w:r>
      <w:bookmarkEnd w:id="1066"/>
    </w:p>
    <w:bookmarkEnd w:id="1064"/>
    <w:p>
      <w:r>
        <w:t>18.1 工程保险</w:t>
      </w:r>
    </w:p>
    <w:p>
      <w:r>
        <w:t xml:space="preserve">关于工程保险的特别约定：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18.3 其他保险</w:t>
      </w:r>
    </w:p>
    <w:p>
      <w:r>
        <w:t xml:space="preserve">关于其他保险的约定：                </w:t>
      </w:r>
      <w:r>
        <w:rPr>
          <w:rFonts w:hint="eastAsia"/>
        </w:rPr>
        <w:t xml:space="preserve">      </w:t>
      </w:r>
      <w:r>
        <w:t xml:space="preserve">      </w:t>
      </w:r>
      <w:r>
        <w:rPr>
          <w:rFonts w:hint="eastAsia"/>
        </w:rPr>
        <w:t xml:space="preserve"> </w:t>
      </w:r>
      <w:r>
        <w:t xml:space="preserve">     。</w:t>
      </w:r>
    </w:p>
    <w:p>
      <w:r>
        <w:t xml:space="preserve">承包人是否应为其施工设备等办理财产保险：      </w:t>
      </w:r>
      <w:r>
        <w:rPr>
          <w:rFonts w:hint="eastAsia"/>
        </w:rPr>
        <w:t xml:space="preserve"> </w:t>
      </w:r>
      <w:r>
        <w:t xml:space="preserve"> </w:t>
      </w:r>
      <w:r>
        <w:rPr>
          <w:rFonts w:hint="eastAsia"/>
        </w:rPr>
        <w:t xml:space="preserve">    </w:t>
      </w:r>
      <w:r>
        <w:t xml:space="preserve">  </w:t>
      </w:r>
    </w:p>
    <w:p>
      <w:r>
        <w:t xml:space="preserve">                                                         。</w:t>
      </w:r>
    </w:p>
    <w:p>
      <w:r>
        <w:t>18.7 通知义务</w:t>
      </w:r>
    </w:p>
    <w:p>
      <w:r>
        <w:t xml:space="preserve">关于变更保险合同时的通知义务的约定：           </w:t>
      </w:r>
      <w:r>
        <w:rPr>
          <w:rFonts w:hint="eastAsia"/>
        </w:rPr>
        <w:t xml:space="preserve"> </w:t>
      </w:r>
      <w:r>
        <w:t xml:space="preserve"> </w:t>
      </w:r>
      <w:r>
        <w:rPr>
          <w:rFonts w:hint="eastAsia"/>
        </w:rPr>
        <w:t xml:space="preserve">     </w:t>
      </w:r>
    </w:p>
    <w:p>
      <w:r>
        <w:t xml:space="preserve"> </w:t>
      </w:r>
      <w:r>
        <w:rPr>
          <w:rFonts w:hint="eastAsia"/>
        </w:rPr>
        <w:t xml:space="preserve">                                                       </w:t>
      </w:r>
      <w:r>
        <w:t xml:space="preserve"> 。</w:t>
      </w:r>
    </w:p>
    <w:bookmarkEnd w:id="1040"/>
    <w:bookmarkEnd w:id="1041"/>
    <w:bookmarkEnd w:id="1042"/>
    <w:bookmarkEnd w:id="1043"/>
    <w:bookmarkEnd w:id="1044"/>
    <w:bookmarkEnd w:id="1045"/>
    <w:bookmarkEnd w:id="1046"/>
    <w:bookmarkEnd w:id="1047"/>
    <w:bookmarkEnd w:id="1048"/>
    <w:bookmarkEnd w:id="1049"/>
    <w:bookmarkEnd w:id="1050"/>
    <w:bookmarkEnd w:id="1051"/>
    <w:p>
      <w:bookmarkStart w:id="1067" w:name="_Toc351203651"/>
      <w:r>
        <w:t>20. 争议解决</w:t>
      </w:r>
      <w:bookmarkEnd w:id="1067"/>
    </w:p>
    <w:bookmarkEnd w:id="1052"/>
    <w:bookmarkEnd w:id="1053"/>
    <w:p>
      <w:r>
        <w:t>20.3 争</w:t>
      </w:r>
      <w:bookmarkEnd w:id="1054"/>
      <w:r>
        <w:t>议评审</w:t>
      </w:r>
    </w:p>
    <w:p>
      <w:r>
        <w:t>合同当事人是否同意将工程争议提交争议评审小组决</w:t>
      </w:r>
      <w:r>
        <w:rPr>
          <w:rFonts w:hint="eastAsia"/>
        </w:rPr>
        <w:t xml:space="preserve">定：    </w:t>
      </w:r>
    </w:p>
    <w:p>
      <w:r>
        <w:rPr>
          <w:rFonts w:hint="eastAsia"/>
        </w:rPr>
        <w:t xml:space="preserve">                                                         。  </w:t>
      </w:r>
    </w:p>
    <w:p>
      <w:r>
        <w:t>20.3.1 争议评审小组的确定</w:t>
      </w:r>
    </w:p>
    <w:p>
      <w:r>
        <w:t xml:space="preserve">争议评审小组成员的确定：                     </w:t>
      </w:r>
      <w:r>
        <w:rPr>
          <w:rFonts w:hint="eastAsia"/>
        </w:rPr>
        <w:t xml:space="preserve">    </w:t>
      </w:r>
      <w:r>
        <w:t xml:space="preserve">    。</w:t>
      </w:r>
    </w:p>
    <w:p>
      <w:r>
        <w:t xml:space="preserve">选定争议评审员的期限：                     </w:t>
      </w:r>
      <w:r>
        <w:rPr>
          <w:rFonts w:hint="eastAsia"/>
        </w:rPr>
        <w:t xml:space="preserve">    </w:t>
      </w:r>
      <w:r>
        <w:t xml:space="preserve">      。</w:t>
      </w:r>
    </w:p>
    <w:p>
      <w:r>
        <w:t xml:space="preserve">争议评审小组成员的报酬承担方式：           </w:t>
      </w:r>
      <w:r>
        <w:rPr>
          <w:rFonts w:hint="eastAsia"/>
        </w:rPr>
        <w:t xml:space="preserve">    </w:t>
      </w:r>
      <w:r>
        <w:t xml:space="preserve">      。</w:t>
      </w:r>
    </w:p>
    <w:p>
      <w:r>
        <w:t xml:space="preserve">其他事项的约定：                          </w:t>
      </w:r>
      <w:r>
        <w:rPr>
          <w:rFonts w:hint="eastAsia"/>
        </w:rPr>
        <w:t xml:space="preserve">    </w:t>
      </w:r>
      <w:r>
        <w:t xml:space="preserve">       。</w:t>
      </w:r>
    </w:p>
    <w:p>
      <w:r>
        <w:t>20.3.2 争议评审小组的决定</w:t>
      </w:r>
    </w:p>
    <w:p>
      <w:r>
        <w:t xml:space="preserve">合同当事人关于本项的约定：                      </w:t>
      </w:r>
      <w:r>
        <w:rPr>
          <w:rFonts w:hint="eastAsia"/>
        </w:rPr>
        <w:t xml:space="preserve">   </w:t>
      </w:r>
      <w:r>
        <w:t xml:space="preserve">  。</w:t>
      </w:r>
    </w:p>
    <w:p>
      <w:r>
        <w:t>20.4仲裁或诉讼</w:t>
      </w:r>
      <w:bookmarkEnd w:id="1055"/>
    </w:p>
    <w:p>
      <w:r>
        <w:t>因合同及合同有关事项发生的争议，按下列第     种方式</w:t>
      </w:r>
      <w:r>
        <w:rPr>
          <w:rFonts w:hint="eastAsia"/>
        </w:rPr>
        <w:t>解</w:t>
      </w:r>
      <w:r>
        <w:t>决：</w:t>
      </w:r>
    </w:p>
    <w:p>
      <w:r>
        <w:t>（1）向                     仲裁委员会申请仲裁；</w:t>
      </w:r>
    </w:p>
    <w:p>
      <w:r>
        <w:t>（2）向                     人民法院起诉。</w:t>
      </w:r>
      <w:bookmarkEnd w:id="1056"/>
      <w:bookmarkEnd w:id="1057"/>
      <w:bookmarkEnd w:id="1058"/>
      <w:bookmarkEnd w:id="1059"/>
      <w:bookmarkEnd w:id="1060"/>
      <w:bookmarkEnd w:id="1061"/>
    </w:p>
    <w:p>
      <w:r>
        <w:br w:type="page"/>
      </w:r>
      <w:bookmarkStart w:id="1068" w:name="_Toc351203652"/>
      <w:r>
        <w:t>附件</w:t>
      </w:r>
      <w:bookmarkEnd w:id="1068"/>
    </w:p>
    <w:p>
      <w:r>
        <w:rPr>
          <w:rFonts w:hint="eastAsia"/>
        </w:rPr>
        <w:t>协议书附件：</w:t>
      </w:r>
    </w:p>
    <w:p>
      <w:bookmarkStart w:id="1069" w:name="_Toc14942"/>
      <w:bookmarkStart w:id="1070" w:name="_Toc32361"/>
      <w:r>
        <w:t>附件1：承包人承揽工程项目一览表</w:t>
      </w:r>
      <w:bookmarkEnd w:id="1069"/>
      <w:bookmarkEnd w:id="1070"/>
    </w:p>
    <w:p>
      <w:r>
        <w:rPr>
          <w:rFonts w:hint="eastAsia"/>
        </w:rPr>
        <w:t>专用合同条款附件：</w:t>
      </w:r>
    </w:p>
    <w:p>
      <w:bookmarkStart w:id="1071" w:name="_Toc1500"/>
      <w:bookmarkStart w:id="1072" w:name="_Toc29456"/>
      <w:r>
        <w:t>附件2：发包人供应材料设备一览表</w:t>
      </w:r>
      <w:bookmarkEnd w:id="1071"/>
      <w:bookmarkEnd w:id="1072"/>
    </w:p>
    <w:p>
      <w:bookmarkStart w:id="1073" w:name="_Toc292"/>
      <w:bookmarkStart w:id="1074" w:name="_Toc16477"/>
      <w:r>
        <w:t>附件3：工程质量保修书</w:t>
      </w:r>
      <w:bookmarkEnd w:id="1073"/>
      <w:bookmarkEnd w:id="1074"/>
    </w:p>
    <w:p>
      <w:bookmarkStart w:id="1075" w:name="_Toc22649"/>
      <w:bookmarkStart w:id="1076" w:name="_Toc10456"/>
      <w:r>
        <w:t>附件4：主要建设工程文件目录</w:t>
      </w:r>
      <w:bookmarkEnd w:id="1075"/>
      <w:bookmarkEnd w:id="1076"/>
    </w:p>
    <w:p>
      <w:bookmarkStart w:id="1077" w:name="_Toc7560"/>
      <w:bookmarkStart w:id="1078" w:name="_Toc14787"/>
      <w:r>
        <w:t>附件5：承包人用于本工程施工的机械设备表</w:t>
      </w:r>
      <w:bookmarkEnd w:id="1077"/>
      <w:bookmarkEnd w:id="1078"/>
    </w:p>
    <w:p>
      <w:bookmarkStart w:id="1079" w:name="_Toc12509"/>
      <w:bookmarkStart w:id="1080" w:name="_Toc15845"/>
      <w:r>
        <w:t>附件6：承包人主要施工管理人员表</w:t>
      </w:r>
      <w:bookmarkEnd w:id="1079"/>
      <w:bookmarkEnd w:id="1080"/>
    </w:p>
    <w:p>
      <w:bookmarkStart w:id="1081" w:name="_Toc1827"/>
      <w:bookmarkStart w:id="1082" w:name="_Toc18483"/>
      <w:r>
        <w:t>附件7：分包人主要施工管理人员表</w:t>
      </w:r>
      <w:bookmarkEnd w:id="1081"/>
      <w:bookmarkEnd w:id="1082"/>
    </w:p>
    <w:p>
      <w:bookmarkStart w:id="1083" w:name="_Toc414"/>
      <w:bookmarkStart w:id="1084" w:name="_Toc23983"/>
      <w:r>
        <w:t>附件8：履约担保格式</w:t>
      </w:r>
      <w:bookmarkEnd w:id="1083"/>
      <w:bookmarkEnd w:id="1084"/>
    </w:p>
    <w:p>
      <w:bookmarkStart w:id="1085" w:name="_Toc22127"/>
      <w:bookmarkStart w:id="1086" w:name="_Toc20476"/>
      <w:r>
        <w:t>附件9：预付款担保格式</w:t>
      </w:r>
      <w:bookmarkEnd w:id="1085"/>
      <w:bookmarkEnd w:id="1086"/>
    </w:p>
    <w:p>
      <w:bookmarkStart w:id="1087" w:name="_Toc10787"/>
      <w:bookmarkStart w:id="1088" w:name="_Toc7558"/>
      <w:r>
        <w:t>附件10：支付担保格式</w:t>
      </w:r>
      <w:bookmarkEnd w:id="1087"/>
      <w:bookmarkEnd w:id="1088"/>
    </w:p>
    <w:p>
      <w:pPr>
        <w:sectPr>
          <w:footerReference r:id="rId9" w:type="first"/>
          <w:footerReference r:id="rId8" w:type="default"/>
          <w:pgSz w:w="11906" w:h="16838"/>
          <w:pgMar w:top="1440" w:right="1080" w:bottom="1440" w:left="1080" w:header="851" w:footer="992" w:gutter="0"/>
          <w:pgNumType w:fmt="decimal" w:start="1"/>
          <w:cols w:space="720" w:num="1"/>
          <w:titlePg/>
          <w:docGrid w:type="lines" w:linePitch="312" w:charSpace="0"/>
        </w:sectPr>
      </w:pPr>
      <w:bookmarkStart w:id="1089" w:name="_Toc23912"/>
      <w:bookmarkStart w:id="1090" w:name="_Toc4059"/>
      <w:r>
        <w:t>附件11：暂估价一览表</w:t>
      </w:r>
      <w:bookmarkEnd w:id="1089"/>
      <w:bookmarkEnd w:id="1090"/>
    </w:p>
    <w:p>
      <w:bookmarkStart w:id="1091" w:name="_Toc30294"/>
      <w:bookmarkStart w:id="1092" w:name="_Toc8896"/>
      <w:r>
        <w:rPr>
          <w:rFonts w:hint="eastAsia"/>
        </w:rPr>
        <w:t>附件1：</w:t>
      </w:r>
      <w:bookmarkEnd w:id="1091"/>
      <w:bookmarkEnd w:id="1092"/>
    </w:p>
    <w:p>
      <w:r>
        <w:t>承包人承揽工程项目一览表</w:t>
      </w:r>
    </w:p>
    <w:tbl>
      <w:tblPr>
        <w:tblStyle w:val="42"/>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r>
              <w:t>单位工程名称</w:t>
            </w:r>
          </w:p>
        </w:tc>
        <w:tc>
          <w:tcPr>
            <w:tcW w:w="1843" w:type="dxa"/>
            <w:tcBorders>
              <w:top w:val="single" w:color="auto" w:sz="12" w:space="0"/>
              <w:bottom w:val="double" w:color="auto" w:sz="6" w:space="0"/>
            </w:tcBorders>
            <w:vAlign w:val="center"/>
          </w:tcPr>
          <w:p>
            <w:r>
              <w:t>建设规模</w:t>
            </w:r>
          </w:p>
        </w:tc>
        <w:tc>
          <w:tcPr>
            <w:tcW w:w="1417" w:type="dxa"/>
            <w:tcBorders>
              <w:top w:val="single" w:color="auto" w:sz="12" w:space="0"/>
              <w:bottom w:val="double" w:color="auto" w:sz="6" w:space="0"/>
            </w:tcBorders>
            <w:vAlign w:val="center"/>
          </w:tcPr>
          <w:p>
            <w:r>
              <w:t>建筑面积(平方米)</w:t>
            </w:r>
          </w:p>
        </w:tc>
        <w:tc>
          <w:tcPr>
            <w:tcW w:w="2410" w:type="dxa"/>
            <w:tcBorders>
              <w:top w:val="single" w:color="auto" w:sz="12" w:space="0"/>
              <w:bottom w:val="double" w:color="auto" w:sz="6" w:space="0"/>
            </w:tcBorders>
            <w:vAlign w:val="center"/>
          </w:tcPr>
          <w:p>
            <w:r>
              <w:t>结构</w:t>
            </w:r>
            <w:r>
              <w:rPr>
                <w:rFonts w:hint="eastAsia"/>
              </w:rPr>
              <w:t>形式</w:t>
            </w:r>
          </w:p>
        </w:tc>
        <w:tc>
          <w:tcPr>
            <w:tcW w:w="850" w:type="dxa"/>
            <w:tcBorders>
              <w:top w:val="single" w:color="auto" w:sz="12" w:space="0"/>
              <w:bottom w:val="double" w:color="auto" w:sz="6" w:space="0"/>
            </w:tcBorders>
            <w:vAlign w:val="center"/>
          </w:tcPr>
          <w:p>
            <w:r>
              <w:t>层数</w:t>
            </w:r>
          </w:p>
        </w:tc>
        <w:tc>
          <w:tcPr>
            <w:tcW w:w="1560" w:type="dxa"/>
            <w:tcBorders>
              <w:top w:val="single" w:color="auto" w:sz="12" w:space="0"/>
              <w:bottom w:val="double" w:color="auto" w:sz="6" w:space="0"/>
            </w:tcBorders>
            <w:vAlign w:val="center"/>
          </w:tcPr>
          <w:p>
            <w:r>
              <w:t>生产能力</w:t>
            </w:r>
          </w:p>
        </w:tc>
        <w:tc>
          <w:tcPr>
            <w:tcW w:w="2126" w:type="dxa"/>
            <w:tcBorders>
              <w:top w:val="single" w:color="auto" w:sz="12" w:space="0"/>
              <w:bottom w:val="double" w:color="auto" w:sz="6" w:space="0"/>
            </w:tcBorders>
            <w:vAlign w:val="center"/>
          </w:tcPr>
          <w:p>
            <w:r>
              <w:t>设备安装内容</w:t>
            </w:r>
          </w:p>
        </w:tc>
        <w:tc>
          <w:tcPr>
            <w:tcW w:w="1417" w:type="dxa"/>
            <w:tcBorders>
              <w:top w:val="single" w:color="auto" w:sz="12" w:space="0"/>
              <w:bottom w:val="double" w:color="auto" w:sz="6" w:space="0"/>
            </w:tcBorders>
            <w:vAlign w:val="center"/>
          </w:tcPr>
          <w:p>
            <w:r>
              <w:t>合同价格（元）</w:t>
            </w:r>
          </w:p>
        </w:tc>
        <w:tc>
          <w:tcPr>
            <w:tcW w:w="851" w:type="dxa"/>
            <w:tcBorders>
              <w:top w:val="single" w:color="auto" w:sz="12" w:space="0"/>
              <w:bottom w:val="double" w:color="auto" w:sz="6" w:space="0"/>
            </w:tcBorders>
            <w:vAlign w:val="center"/>
          </w:tcPr>
          <w:p>
            <w:r>
              <w:t>开工日期</w:t>
            </w:r>
          </w:p>
        </w:tc>
        <w:tc>
          <w:tcPr>
            <w:tcW w:w="850" w:type="dxa"/>
            <w:tcBorders>
              <w:top w:val="single" w:color="auto" w:sz="12" w:space="0"/>
              <w:bottom w:val="double" w:color="auto" w:sz="6" w:space="0"/>
            </w:tcBorders>
            <w:vAlign w:val="center"/>
          </w:tcPr>
          <w:p>
            <w: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tc>
        <w:tc>
          <w:tcPr>
            <w:tcW w:w="1843" w:type="dxa"/>
            <w:tcBorders>
              <w:top w:val="double" w:color="auto" w:sz="6" w:space="0"/>
              <w:bottom w:val="single" w:color="auto" w:sz="6" w:space="0"/>
            </w:tcBorders>
            <w:vAlign w:val="center"/>
          </w:tcPr>
          <w:p/>
        </w:tc>
        <w:tc>
          <w:tcPr>
            <w:tcW w:w="1417" w:type="dxa"/>
            <w:tcBorders>
              <w:top w:val="double" w:color="auto" w:sz="6" w:space="0"/>
              <w:bottom w:val="single" w:color="auto" w:sz="6" w:space="0"/>
            </w:tcBorders>
            <w:vAlign w:val="center"/>
          </w:tcPr>
          <w:p/>
        </w:tc>
        <w:tc>
          <w:tcPr>
            <w:tcW w:w="2410" w:type="dxa"/>
            <w:tcBorders>
              <w:top w:val="double" w:color="auto" w:sz="6" w:space="0"/>
              <w:bottom w:val="single" w:color="auto" w:sz="6" w:space="0"/>
            </w:tcBorders>
            <w:vAlign w:val="center"/>
          </w:tcPr>
          <w:p/>
        </w:tc>
        <w:tc>
          <w:tcPr>
            <w:tcW w:w="850" w:type="dxa"/>
            <w:tcBorders>
              <w:top w:val="double" w:color="auto" w:sz="6" w:space="0"/>
              <w:bottom w:val="single" w:color="auto" w:sz="6" w:space="0"/>
            </w:tcBorders>
            <w:vAlign w:val="center"/>
          </w:tcPr>
          <w:p/>
        </w:tc>
        <w:tc>
          <w:tcPr>
            <w:tcW w:w="1560" w:type="dxa"/>
            <w:tcBorders>
              <w:top w:val="double" w:color="auto" w:sz="6" w:space="0"/>
              <w:bottom w:val="single" w:color="auto" w:sz="6" w:space="0"/>
            </w:tcBorders>
            <w:vAlign w:val="center"/>
          </w:tcPr>
          <w:p/>
        </w:tc>
        <w:tc>
          <w:tcPr>
            <w:tcW w:w="2126" w:type="dxa"/>
            <w:tcBorders>
              <w:top w:val="double" w:color="auto" w:sz="6" w:space="0"/>
              <w:bottom w:val="single" w:color="auto" w:sz="6" w:space="0"/>
            </w:tcBorders>
            <w:vAlign w:val="center"/>
          </w:tcPr>
          <w:p/>
        </w:tc>
        <w:tc>
          <w:tcPr>
            <w:tcW w:w="1417" w:type="dxa"/>
            <w:tcBorders>
              <w:top w:val="double" w:color="auto" w:sz="6" w:space="0"/>
              <w:bottom w:val="single" w:color="auto" w:sz="6" w:space="0"/>
            </w:tcBorders>
            <w:vAlign w:val="center"/>
          </w:tcPr>
          <w:p/>
        </w:tc>
        <w:tc>
          <w:tcPr>
            <w:tcW w:w="851" w:type="dxa"/>
            <w:tcBorders>
              <w:top w:val="double" w:color="auto" w:sz="6" w:space="0"/>
              <w:bottom w:val="single" w:color="auto" w:sz="6" w:space="0"/>
            </w:tcBorders>
            <w:vAlign w:val="center"/>
          </w:tcPr>
          <w:p/>
        </w:tc>
        <w:tc>
          <w:tcPr>
            <w:tcW w:w="850" w:type="dxa"/>
            <w:tcBorders>
              <w:top w:val="double" w:color="auto" w:sz="6" w:space="0"/>
              <w:bottom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tc>
        <w:tc>
          <w:tcPr>
            <w:tcW w:w="1843" w:type="dxa"/>
            <w:tcBorders>
              <w:top w:val="nil"/>
            </w:tcBorders>
            <w:vAlign w:val="center"/>
          </w:tcPr>
          <w:p/>
        </w:tc>
        <w:tc>
          <w:tcPr>
            <w:tcW w:w="1417" w:type="dxa"/>
            <w:tcBorders>
              <w:top w:val="nil"/>
            </w:tcBorders>
            <w:vAlign w:val="center"/>
          </w:tcPr>
          <w:p/>
        </w:tc>
        <w:tc>
          <w:tcPr>
            <w:tcW w:w="2410" w:type="dxa"/>
            <w:tcBorders>
              <w:top w:val="nil"/>
            </w:tcBorders>
            <w:vAlign w:val="center"/>
          </w:tcPr>
          <w:p/>
        </w:tc>
        <w:tc>
          <w:tcPr>
            <w:tcW w:w="850" w:type="dxa"/>
            <w:tcBorders>
              <w:top w:val="nil"/>
            </w:tcBorders>
            <w:vAlign w:val="center"/>
          </w:tcPr>
          <w:p/>
        </w:tc>
        <w:tc>
          <w:tcPr>
            <w:tcW w:w="1560" w:type="dxa"/>
            <w:tcBorders>
              <w:top w:val="nil"/>
            </w:tcBorders>
            <w:vAlign w:val="center"/>
          </w:tcPr>
          <w:p/>
        </w:tc>
        <w:tc>
          <w:tcPr>
            <w:tcW w:w="2126" w:type="dxa"/>
            <w:tcBorders>
              <w:top w:val="nil"/>
            </w:tcBorders>
            <w:vAlign w:val="center"/>
          </w:tcPr>
          <w:p/>
        </w:tc>
        <w:tc>
          <w:tcPr>
            <w:tcW w:w="1417" w:type="dxa"/>
            <w:tcBorders>
              <w:top w:val="nil"/>
            </w:tcBorders>
            <w:vAlign w:val="center"/>
          </w:tcPr>
          <w:p/>
        </w:tc>
        <w:tc>
          <w:tcPr>
            <w:tcW w:w="851" w:type="dxa"/>
            <w:tcBorders>
              <w:top w:val="nil"/>
            </w:tcBorders>
            <w:vAlign w:val="center"/>
          </w:tcPr>
          <w:p/>
        </w:tc>
        <w:tc>
          <w:tcPr>
            <w:tcW w:w="850"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tc>
        <w:tc>
          <w:tcPr>
            <w:tcW w:w="1843" w:type="dxa"/>
            <w:tcBorders>
              <w:top w:val="nil"/>
            </w:tcBorders>
            <w:vAlign w:val="center"/>
          </w:tcPr>
          <w:p/>
        </w:tc>
        <w:tc>
          <w:tcPr>
            <w:tcW w:w="1417" w:type="dxa"/>
            <w:tcBorders>
              <w:top w:val="nil"/>
            </w:tcBorders>
            <w:vAlign w:val="center"/>
          </w:tcPr>
          <w:p/>
        </w:tc>
        <w:tc>
          <w:tcPr>
            <w:tcW w:w="2410" w:type="dxa"/>
            <w:tcBorders>
              <w:top w:val="nil"/>
            </w:tcBorders>
            <w:vAlign w:val="center"/>
          </w:tcPr>
          <w:p/>
        </w:tc>
        <w:tc>
          <w:tcPr>
            <w:tcW w:w="850" w:type="dxa"/>
            <w:tcBorders>
              <w:top w:val="nil"/>
            </w:tcBorders>
            <w:vAlign w:val="center"/>
          </w:tcPr>
          <w:p/>
        </w:tc>
        <w:tc>
          <w:tcPr>
            <w:tcW w:w="1560" w:type="dxa"/>
            <w:tcBorders>
              <w:top w:val="nil"/>
            </w:tcBorders>
            <w:vAlign w:val="center"/>
          </w:tcPr>
          <w:p/>
        </w:tc>
        <w:tc>
          <w:tcPr>
            <w:tcW w:w="2126" w:type="dxa"/>
            <w:tcBorders>
              <w:top w:val="nil"/>
            </w:tcBorders>
            <w:vAlign w:val="center"/>
          </w:tcPr>
          <w:p/>
        </w:tc>
        <w:tc>
          <w:tcPr>
            <w:tcW w:w="1417" w:type="dxa"/>
            <w:tcBorders>
              <w:top w:val="nil"/>
            </w:tcBorders>
            <w:vAlign w:val="center"/>
          </w:tcPr>
          <w:p/>
        </w:tc>
        <w:tc>
          <w:tcPr>
            <w:tcW w:w="851" w:type="dxa"/>
            <w:tcBorders>
              <w:top w:val="nil"/>
            </w:tcBorders>
            <w:vAlign w:val="center"/>
          </w:tcPr>
          <w:p/>
        </w:tc>
        <w:tc>
          <w:tcPr>
            <w:tcW w:w="850"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tc>
        <w:tc>
          <w:tcPr>
            <w:tcW w:w="1843" w:type="dxa"/>
            <w:vAlign w:val="center"/>
          </w:tcPr>
          <w:p/>
        </w:tc>
        <w:tc>
          <w:tcPr>
            <w:tcW w:w="1417" w:type="dxa"/>
            <w:vAlign w:val="center"/>
          </w:tcPr>
          <w:p/>
        </w:tc>
        <w:tc>
          <w:tcPr>
            <w:tcW w:w="2410" w:type="dxa"/>
            <w:vAlign w:val="center"/>
          </w:tcPr>
          <w:p/>
        </w:tc>
        <w:tc>
          <w:tcPr>
            <w:tcW w:w="850" w:type="dxa"/>
            <w:vAlign w:val="center"/>
          </w:tcPr>
          <w:p/>
        </w:tc>
        <w:tc>
          <w:tcPr>
            <w:tcW w:w="1560" w:type="dxa"/>
            <w:vAlign w:val="center"/>
          </w:tcPr>
          <w:p/>
        </w:tc>
        <w:tc>
          <w:tcPr>
            <w:tcW w:w="2126" w:type="dxa"/>
            <w:vAlign w:val="center"/>
          </w:tcPr>
          <w:p/>
        </w:tc>
        <w:tc>
          <w:tcPr>
            <w:tcW w:w="1417" w:type="dxa"/>
            <w:vAlign w:val="center"/>
          </w:tcPr>
          <w:p/>
        </w:tc>
        <w:tc>
          <w:tcPr>
            <w:tcW w:w="851" w:type="dxa"/>
            <w:vAlign w:val="center"/>
          </w:tcPr>
          <w:p/>
        </w:tc>
        <w:tc>
          <w:tcPr>
            <w:tcW w:w="850"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tc>
        <w:tc>
          <w:tcPr>
            <w:tcW w:w="1843" w:type="dxa"/>
            <w:tcBorders>
              <w:top w:val="nil"/>
            </w:tcBorders>
            <w:vAlign w:val="center"/>
          </w:tcPr>
          <w:p/>
        </w:tc>
        <w:tc>
          <w:tcPr>
            <w:tcW w:w="1417" w:type="dxa"/>
            <w:tcBorders>
              <w:top w:val="nil"/>
            </w:tcBorders>
            <w:vAlign w:val="center"/>
          </w:tcPr>
          <w:p/>
        </w:tc>
        <w:tc>
          <w:tcPr>
            <w:tcW w:w="2410" w:type="dxa"/>
            <w:tcBorders>
              <w:top w:val="nil"/>
            </w:tcBorders>
            <w:vAlign w:val="center"/>
          </w:tcPr>
          <w:p/>
        </w:tc>
        <w:tc>
          <w:tcPr>
            <w:tcW w:w="850" w:type="dxa"/>
            <w:tcBorders>
              <w:top w:val="nil"/>
            </w:tcBorders>
            <w:vAlign w:val="center"/>
          </w:tcPr>
          <w:p/>
        </w:tc>
        <w:tc>
          <w:tcPr>
            <w:tcW w:w="1560" w:type="dxa"/>
            <w:tcBorders>
              <w:top w:val="nil"/>
            </w:tcBorders>
            <w:vAlign w:val="center"/>
          </w:tcPr>
          <w:p/>
        </w:tc>
        <w:tc>
          <w:tcPr>
            <w:tcW w:w="2126" w:type="dxa"/>
            <w:tcBorders>
              <w:top w:val="nil"/>
            </w:tcBorders>
            <w:vAlign w:val="center"/>
          </w:tcPr>
          <w:p/>
        </w:tc>
        <w:tc>
          <w:tcPr>
            <w:tcW w:w="1417" w:type="dxa"/>
            <w:tcBorders>
              <w:top w:val="nil"/>
            </w:tcBorders>
            <w:vAlign w:val="center"/>
          </w:tcPr>
          <w:p/>
        </w:tc>
        <w:tc>
          <w:tcPr>
            <w:tcW w:w="851" w:type="dxa"/>
            <w:tcBorders>
              <w:top w:val="nil"/>
            </w:tcBorders>
            <w:vAlign w:val="center"/>
          </w:tcPr>
          <w:p/>
        </w:tc>
        <w:tc>
          <w:tcPr>
            <w:tcW w:w="850"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tc>
        <w:tc>
          <w:tcPr>
            <w:tcW w:w="1843" w:type="dxa"/>
            <w:vAlign w:val="center"/>
          </w:tcPr>
          <w:p/>
        </w:tc>
        <w:tc>
          <w:tcPr>
            <w:tcW w:w="1417" w:type="dxa"/>
            <w:vAlign w:val="center"/>
          </w:tcPr>
          <w:p/>
        </w:tc>
        <w:tc>
          <w:tcPr>
            <w:tcW w:w="2410" w:type="dxa"/>
            <w:vAlign w:val="center"/>
          </w:tcPr>
          <w:p/>
        </w:tc>
        <w:tc>
          <w:tcPr>
            <w:tcW w:w="850" w:type="dxa"/>
            <w:vAlign w:val="center"/>
          </w:tcPr>
          <w:p/>
        </w:tc>
        <w:tc>
          <w:tcPr>
            <w:tcW w:w="1560" w:type="dxa"/>
            <w:vAlign w:val="center"/>
          </w:tcPr>
          <w:p/>
        </w:tc>
        <w:tc>
          <w:tcPr>
            <w:tcW w:w="2126" w:type="dxa"/>
            <w:vAlign w:val="center"/>
          </w:tcPr>
          <w:p/>
        </w:tc>
        <w:tc>
          <w:tcPr>
            <w:tcW w:w="1417" w:type="dxa"/>
            <w:vAlign w:val="center"/>
          </w:tcPr>
          <w:p/>
        </w:tc>
        <w:tc>
          <w:tcPr>
            <w:tcW w:w="851" w:type="dxa"/>
            <w:vAlign w:val="center"/>
          </w:tcPr>
          <w:p/>
        </w:tc>
        <w:tc>
          <w:tcPr>
            <w:tcW w:w="850"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tc>
        <w:tc>
          <w:tcPr>
            <w:tcW w:w="1843" w:type="dxa"/>
            <w:tcBorders>
              <w:top w:val="nil"/>
            </w:tcBorders>
            <w:vAlign w:val="center"/>
          </w:tcPr>
          <w:p/>
        </w:tc>
        <w:tc>
          <w:tcPr>
            <w:tcW w:w="1417" w:type="dxa"/>
            <w:tcBorders>
              <w:top w:val="nil"/>
            </w:tcBorders>
            <w:vAlign w:val="center"/>
          </w:tcPr>
          <w:p/>
        </w:tc>
        <w:tc>
          <w:tcPr>
            <w:tcW w:w="2410" w:type="dxa"/>
            <w:tcBorders>
              <w:top w:val="nil"/>
            </w:tcBorders>
            <w:vAlign w:val="center"/>
          </w:tcPr>
          <w:p/>
        </w:tc>
        <w:tc>
          <w:tcPr>
            <w:tcW w:w="850" w:type="dxa"/>
            <w:tcBorders>
              <w:top w:val="nil"/>
            </w:tcBorders>
            <w:vAlign w:val="center"/>
          </w:tcPr>
          <w:p/>
        </w:tc>
        <w:tc>
          <w:tcPr>
            <w:tcW w:w="1560" w:type="dxa"/>
            <w:tcBorders>
              <w:top w:val="nil"/>
            </w:tcBorders>
            <w:vAlign w:val="center"/>
          </w:tcPr>
          <w:p/>
        </w:tc>
        <w:tc>
          <w:tcPr>
            <w:tcW w:w="2126" w:type="dxa"/>
            <w:tcBorders>
              <w:top w:val="nil"/>
            </w:tcBorders>
            <w:vAlign w:val="center"/>
          </w:tcPr>
          <w:p/>
        </w:tc>
        <w:tc>
          <w:tcPr>
            <w:tcW w:w="1417" w:type="dxa"/>
            <w:tcBorders>
              <w:top w:val="nil"/>
            </w:tcBorders>
            <w:vAlign w:val="center"/>
          </w:tcPr>
          <w:p/>
        </w:tc>
        <w:tc>
          <w:tcPr>
            <w:tcW w:w="851" w:type="dxa"/>
            <w:tcBorders>
              <w:top w:val="nil"/>
            </w:tcBorders>
            <w:vAlign w:val="center"/>
          </w:tcPr>
          <w:p/>
        </w:tc>
        <w:tc>
          <w:tcPr>
            <w:tcW w:w="850"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tc>
        <w:tc>
          <w:tcPr>
            <w:tcW w:w="1843" w:type="dxa"/>
            <w:tcBorders>
              <w:top w:val="nil"/>
            </w:tcBorders>
            <w:vAlign w:val="center"/>
          </w:tcPr>
          <w:p/>
        </w:tc>
        <w:tc>
          <w:tcPr>
            <w:tcW w:w="1417" w:type="dxa"/>
            <w:tcBorders>
              <w:top w:val="nil"/>
            </w:tcBorders>
            <w:vAlign w:val="center"/>
          </w:tcPr>
          <w:p/>
        </w:tc>
        <w:tc>
          <w:tcPr>
            <w:tcW w:w="2410" w:type="dxa"/>
            <w:tcBorders>
              <w:top w:val="nil"/>
            </w:tcBorders>
            <w:vAlign w:val="center"/>
          </w:tcPr>
          <w:p/>
        </w:tc>
        <w:tc>
          <w:tcPr>
            <w:tcW w:w="850" w:type="dxa"/>
            <w:tcBorders>
              <w:top w:val="nil"/>
            </w:tcBorders>
            <w:vAlign w:val="center"/>
          </w:tcPr>
          <w:p/>
        </w:tc>
        <w:tc>
          <w:tcPr>
            <w:tcW w:w="1560" w:type="dxa"/>
            <w:tcBorders>
              <w:top w:val="nil"/>
            </w:tcBorders>
            <w:vAlign w:val="center"/>
          </w:tcPr>
          <w:p/>
        </w:tc>
        <w:tc>
          <w:tcPr>
            <w:tcW w:w="2126" w:type="dxa"/>
            <w:tcBorders>
              <w:top w:val="nil"/>
            </w:tcBorders>
            <w:vAlign w:val="center"/>
          </w:tcPr>
          <w:p/>
        </w:tc>
        <w:tc>
          <w:tcPr>
            <w:tcW w:w="1417" w:type="dxa"/>
            <w:tcBorders>
              <w:top w:val="nil"/>
            </w:tcBorders>
            <w:vAlign w:val="center"/>
          </w:tcPr>
          <w:p/>
        </w:tc>
        <w:tc>
          <w:tcPr>
            <w:tcW w:w="851" w:type="dxa"/>
            <w:tcBorders>
              <w:top w:val="nil"/>
            </w:tcBorders>
            <w:vAlign w:val="center"/>
          </w:tcPr>
          <w:p/>
        </w:tc>
        <w:tc>
          <w:tcPr>
            <w:tcW w:w="850"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tc>
        <w:tc>
          <w:tcPr>
            <w:tcW w:w="1843" w:type="dxa"/>
            <w:vAlign w:val="center"/>
          </w:tcPr>
          <w:p/>
        </w:tc>
        <w:tc>
          <w:tcPr>
            <w:tcW w:w="1417" w:type="dxa"/>
            <w:vAlign w:val="center"/>
          </w:tcPr>
          <w:p/>
        </w:tc>
        <w:tc>
          <w:tcPr>
            <w:tcW w:w="2410" w:type="dxa"/>
            <w:vAlign w:val="center"/>
          </w:tcPr>
          <w:p/>
        </w:tc>
        <w:tc>
          <w:tcPr>
            <w:tcW w:w="850" w:type="dxa"/>
            <w:vAlign w:val="center"/>
          </w:tcPr>
          <w:p/>
        </w:tc>
        <w:tc>
          <w:tcPr>
            <w:tcW w:w="1560" w:type="dxa"/>
            <w:vAlign w:val="center"/>
          </w:tcPr>
          <w:p/>
        </w:tc>
        <w:tc>
          <w:tcPr>
            <w:tcW w:w="2126" w:type="dxa"/>
            <w:vAlign w:val="center"/>
          </w:tcPr>
          <w:p/>
        </w:tc>
        <w:tc>
          <w:tcPr>
            <w:tcW w:w="1417" w:type="dxa"/>
            <w:vAlign w:val="center"/>
          </w:tcPr>
          <w:p/>
        </w:tc>
        <w:tc>
          <w:tcPr>
            <w:tcW w:w="851" w:type="dxa"/>
            <w:vAlign w:val="center"/>
          </w:tcPr>
          <w:p/>
        </w:tc>
        <w:tc>
          <w:tcPr>
            <w:tcW w:w="850"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tc>
        <w:tc>
          <w:tcPr>
            <w:tcW w:w="1843" w:type="dxa"/>
            <w:tcBorders>
              <w:top w:val="nil"/>
            </w:tcBorders>
            <w:vAlign w:val="center"/>
          </w:tcPr>
          <w:p/>
        </w:tc>
        <w:tc>
          <w:tcPr>
            <w:tcW w:w="1417" w:type="dxa"/>
            <w:tcBorders>
              <w:top w:val="nil"/>
            </w:tcBorders>
            <w:vAlign w:val="center"/>
          </w:tcPr>
          <w:p/>
        </w:tc>
        <w:tc>
          <w:tcPr>
            <w:tcW w:w="2410" w:type="dxa"/>
            <w:tcBorders>
              <w:top w:val="nil"/>
            </w:tcBorders>
            <w:vAlign w:val="center"/>
          </w:tcPr>
          <w:p/>
        </w:tc>
        <w:tc>
          <w:tcPr>
            <w:tcW w:w="850" w:type="dxa"/>
            <w:tcBorders>
              <w:top w:val="nil"/>
            </w:tcBorders>
            <w:vAlign w:val="center"/>
          </w:tcPr>
          <w:p/>
        </w:tc>
        <w:tc>
          <w:tcPr>
            <w:tcW w:w="1560" w:type="dxa"/>
            <w:tcBorders>
              <w:top w:val="nil"/>
            </w:tcBorders>
            <w:vAlign w:val="center"/>
          </w:tcPr>
          <w:p/>
        </w:tc>
        <w:tc>
          <w:tcPr>
            <w:tcW w:w="2126" w:type="dxa"/>
            <w:tcBorders>
              <w:top w:val="nil"/>
            </w:tcBorders>
            <w:vAlign w:val="center"/>
          </w:tcPr>
          <w:p/>
        </w:tc>
        <w:tc>
          <w:tcPr>
            <w:tcW w:w="1417" w:type="dxa"/>
            <w:tcBorders>
              <w:top w:val="nil"/>
            </w:tcBorders>
            <w:vAlign w:val="center"/>
          </w:tcPr>
          <w:p/>
        </w:tc>
        <w:tc>
          <w:tcPr>
            <w:tcW w:w="851" w:type="dxa"/>
            <w:tcBorders>
              <w:top w:val="nil"/>
            </w:tcBorders>
            <w:vAlign w:val="center"/>
          </w:tcPr>
          <w:p/>
        </w:tc>
        <w:tc>
          <w:tcPr>
            <w:tcW w:w="850"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tc>
        <w:tc>
          <w:tcPr>
            <w:tcW w:w="1843" w:type="dxa"/>
            <w:vAlign w:val="center"/>
          </w:tcPr>
          <w:p/>
        </w:tc>
        <w:tc>
          <w:tcPr>
            <w:tcW w:w="1417" w:type="dxa"/>
            <w:vAlign w:val="center"/>
          </w:tcPr>
          <w:p/>
        </w:tc>
        <w:tc>
          <w:tcPr>
            <w:tcW w:w="2410" w:type="dxa"/>
            <w:vAlign w:val="center"/>
          </w:tcPr>
          <w:p/>
        </w:tc>
        <w:tc>
          <w:tcPr>
            <w:tcW w:w="850" w:type="dxa"/>
            <w:vAlign w:val="center"/>
          </w:tcPr>
          <w:p/>
        </w:tc>
        <w:tc>
          <w:tcPr>
            <w:tcW w:w="1560" w:type="dxa"/>
            <w:vAlign w:val="center"/>
          </w:tcPr>
          <w:p/>
        </w:tc>
        <w:tc>
          <w:tcPr>
            <w:tcW w:w="2126" w:type="dxa"/>
            <w:vAlign w:val="center"/>
          </w:tcPr>
          <w:p/>
        </w:tc>
        <w:tc>
          <w:tcPr>
            <w:tcW w:w="1417" w:type="dxa"/>
            <w:vAlign w:val="center"/>
          </w:tcPr>
          <w:p/>
        </w:tc>
        <w:tc>
          <w:tcPr>
            <w:tcW w:w="851" w:type="dxa"/>
            <w:vAlign w:val="center"/>
          </w:tcPr>
          <w:p/>
        </w:tc>
        <w:tc>
          <w:tcPr>
            <w:tcW w:w="850" w:type="dxa"/>
            <w:vAlign w:val="center"/>
          </w:tcPr>
          <w:p/>
        </w:tc>
      </w:tr>
    </w:tbl>
    <w:p>
      <w:pPr>
        <w:sectPr>
          <w:pgSz w:w="16838" w:h="11906" w:orient="landscape"/>
          <w:pgMar w:top="1440" w:right="1080" w:bottom="1440" w:left="1080" w:header="851" w:footer="992" w:gutter="0"/>
          <w:pgNumType w:fmt="decimal"/>
          <w:cols w:space="720" w:num="1"/>
          <w:titlePg/>
          <w:docGrid w:type="linesAndChars" w:linePitch="312" w:charSpace="0"/>
        </w:sectPr>
      </w:pPr>
    </w:p>
    <w:p>
      <w:bookmarkStart w:id="1093" w:name="_Toc24432"/>
      <w:bookmarkStart w:id="1094" w:name="_Toc13935"/>
      <w:r>
        <w:t>附</w:t>
      </w:r>
      <w:bookmarkStart w:id="1095" w:name="_Toc296891265"/>
      <w:bookmarkStart w:id="1096" w:name="_Toc267261692"/>
      <w:bookmarkStart w:id="1097" w:name="_Toc296347224"/>
      <w:bookmarkStart w:id="1098" w:name="_Toc296503225"/>
      <w:bookmarkStart w:id="1099" w:name="_Toc296346726"/>
      <w:bookmarkStart w:id="1100" w:name="_Toc296944564"/>
      <w:bookmarkStart w:id="1101" w:name="_Toc296891053"/>
      <w:r>
        <w:t>件2：</w:t>
      </w:r>
      <w:bookmarkEnd w:id="1093"/>
      <w:bookmarkEnd w:id="1094"/>
    </w:p>
    <w:bookmarkEnd w:id="1095"/>
    <w:bookmarkEnd w:id="1096"/>
    <w:bookmarkEnd w:id="1097"/>
    <w:bookmarkEnd w:id="1098"/>
    <w:bookmarkEnd w:id="1099"/>
    <w:bookmarkEnd w:id="1100"/>
    <w:bookmarkEnd w:id="1101"/>
    <w:p>
      <w:r>
        <w:t>发包人供应材料设备一览表</w:t>
      </w:r>
    </w:p>
    <w:tbl>
      <w:tblPr>
        <w:tblStyle w:val="42"/>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r>
              <w:t>序号</w:t>
            </w:r>
          </w:p>
        </w:tc>
        <w:tc>
          <w:tcPr>
            <w:tcW w:w="1276" w:type="dxa"/>
            <w:tcBorders>
              <w:top w:val="single" w:color="auto" w:sz="12" w:space="0"/>
              <w:bottom w:val="double" w:color="auto" w:sz="6" w:space="0"/>
            </w:tcBorders>
            <w:vAlign w:val="center"/>
          </w:tcPr>
          <w:p>
            <w:r>
              <w:rPr>
                <w:rFonts w:hint="eastAsia"/>
              </w:rPr>
              <w:t xml:space="preserve">  </w:t>
            </w:r>
            <w:r>
              <w:t>材料、</w:t>
            </w:r>
          </w:p>
          <w:p>
            <w:r>
              <w:t>设备品种</w:t>
            </w:r>
          </w:p>
        </w:tc>
        <w:tc>
          <w:tcPr>
            <w:tcW w:w="1418" w:type="dxa"/>
            <w:tcBorders>
              <w:top w:val="single" w:color="auto" w:sz="12" w:space="0"/>
              <w:bottom w:val="double" w:color="auto" w:sz="6" w:space="0"/>
            </w:tcBorders>
            <w:vAlign w:val="center"/>
          </w:tcPr>
          <w:p>
            <w:r>
              <w:t>规格型号</w:t>
            </w:r>
          </w:p>
        </w:tc>
        <w:tc>
          <w:tcPr>
            <w:tcW w:w="940" w:type="dxa"/>
            <w:tcBorders>
              <w:top w:val="single" w:color="auto" w:sz="12" w:space="0"/>
              <w:bottom w:val="double" w:color="auto" w:sz="6" w:space="0"/>
            </w:tcBorders>
            <w:vAlign w:val="center"/>
          </w:tcPr>
          <w:p>
            <w:r>
              <w:t>单位</w:t>
            </w:r>
          </w:p>
        </w:tc>
        <w:tc>
          <w:tcPr>
            <w:tcW w:w="851" w:type="dxa"/>
            <w:tcBorders>
              <w:top w:val="single" w:color="auto" w:sz="12" w:space="0"/>
              <w:bottom w:val="double" w:color="auto" w:sz="6" w:space="0"/>
            </w:tcBorders>
            <w:vAlign w:val="center"/>
          </w:tcPr>
          <w:p>
            <w:r>
              <w:t>数量</w:t>
            </w:r>
          </w:p>
        </w:tc>
        <w:tc>
          <w:tcPr>
            <w:tcW w:w="1044" w:type="dxa"/>
            <w:tcBorders>
              <w:top w:val="single" w:color="auto" w:sz="12" w:space="0"/>
              <w:bottom w:val="double" w:color="auto" w:sz="6" w:space="0"/>
            </w:tcBorders>
            <w:vAlign w:val="center"/>
          </w:tcPr>
          <w:p>
            <w:r>
              <w:t>单价</w:t>
            </w:r>
            <w:r>
              <w:rPr>
                <w:rFonts w:hint="eastAsia"/>
              </w:rPr>
              <w:t>（元）</w:t>
            </w:r>
          </w:p>
        </w:tc>
        <w:tc>
          <w:tcPr>
            <w:tcW w:w="992" w:type="dxa"/>
            <w:tcBorders>
              <w:top w:val="single" w:color="auto" w:sz="12" w:space="0"/>
              <w:bottom w:val="double" w:color="auto" w:sz="6" w:space="0"/>
            </w:tcBorders>
            <w:vAlign w:val="center"/>
          </w:tcPr>
          <w:p>
            <w:r>
              <w:t>质量等级</w:t>
            </w:r>
          </w:p>
        </w:tc>
        <w:tc>
          <w:tcPr>
            <w:tcW w:w="851" w:type="dxa"/>
            <w:tcBorders>
              <w:top w:val="single" w:color="auto" w:sz="12" w:space="0"/>
              <w:bottom w:val="double" w:color="auto" w:sz="6" w:space="0"/>
            </w:tcBorders>
            <w:vAlign w:val="center"/>
          </w:tcPr>
          <w:p>
            <w:r>
              <w:t>供应时间</w:t>
            </w:r>
          </w:p>
        </w:tc>
        <w:tc>
          <w:tcPr>
            <w:tcW w:w="1487" w:type="dxa"/>
            <w:tcBorders>
              <w:top w:val="single" w:color="auto" w:sz="12" w:space="0"/>
              <w:bottom w:val="double" w:color="auto" w:sz="6" w:space="0"/>
            </w:tcBorders>
            <w:vAlign w:val="center"/>
          </w:tcPr>
          <w:p>
            <w:r>
              <w:t>送达地点</w:t>
            </w:r>
          </w:p>
        </w:tc>
        <w:tc>
          <w:tcPr>
            <w:tcW w:w="992" w:type="dxa"/>
            <w:tcBorders>
              <w:top w:val="single" w:color="auto" w:sz="12" w:space="0"/>
              <w:bottom w:val="double" w:color="auto" w:sz="6" w:space="0"/>
            </w:tcBorders>
            <w:vAlign w:val="center"/>
          </w:tcPr>
          <w:p>
            <w: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tc>
        <w:tc>
          <w:tcPr>
            <w:tcW w:w="1276" w:type="dxa"/>
            <w:tcBorders>
              <w:top w:val="double" w:color="auto" w:sz="6" w:space="0"/>
              <w:bottom w:val="single" w:color="auto" w:sz="6" w:space="0"/>
            </w:tcBorders>
            <w:vAlign w:val="center"/>
          </w:tcPr>
          <w:p/>
        </w:tc>
        <w:tc>
          <w:tcPr>
            <w:tcW w:w="1418" w:type="dxa"/>
            <w:tcBorders>
              <w:top w:val="double" w:color="auto" w:sz="6" w:space="0"/>
              <w:bottom w:val="single" w:color="auto" w:sz="6" w:space="0"/>
            </w:tcBorders>
            <w:vAlign w:val="center"/>
          </w:tcPr>
          <w:p/>
        </w:tc>
        <w:tc>
          <w:tcPr>
            <w:tcW w:w="940" w:type="dxa"/>
            <w:tcBorders>
              <w:top w:val="double" w:color="auto" w:sz="6" w:space="0"/>
              <w:bottom w:val="single" w:color="auto" w:sz="6" w:space="0"/>
            </w:tcBorders>
            <w:vAlign w:val="center"/>
          </w:tcPr>
          <w:p/>
        </w:tc>
        <w:tc>
          <w:tcPr>
            <w:tcW w:w="851" w:type="dxa"/>
            <w:tcBorders>
              <w:top w:val="double" w:color="auto" w:sz="6" w:space="0"/>
              <w:bottom w:val="single" w:color="auto" w:sz="6" w:space="0"/>
            </w:tcBorders>
            <w:vAlign w:val="center"/>
          </w:tcPr>
          <w:p/>
        </w:tc>
        <w:tc>
          <w:tcPr>
            <w:tcW w:w="1044" w:type="dxa"/>
            <w:tcBorders>
              <w:top w:val="double" w:color="auto" w:sz="6" w:space="0"/>
              <w:bottom w:val="single" w:color="auto" w:sz="6" w:space="0"/>
            </w:tcBorders>
            <w:vAlign w:val="center"/>
          </w:tcPr>
          <w:p/>
        </w:tc>
        <w:tc>
          <w:tcPr>
            <w:tcW w:w="992" w:type="dxa"/>
            <w:tcBorders>
              <w:top w:val="double" w:color="auto" w:sz="6" w:space="0"/>
              <w:bottom w:val="single" w:color="auto" w:sz="6" w:space="0"/>
            </w:tcBorders>
            <w:vAlign w:val="center"/>
          </w:tcPr>
          <w:p/>
        </w:tc>
        <w:tc>
          <w:tcPr>
            <w:tcW w:w="851" w:type="dxa"/>
            <w:tcBorders>
              <w:top w:val="double" w:color="auto" w:sz="6" w:space="0"/>
              <w:bottom w:val="single" w:color="auto" w:sz="6" w:space="0"/>
            </w:tcBorders>
            <w:vAlign w:val="center"/>
          </w:tcPr>
          <w:p/>
        </w:tc>
        <w:tc>
          <w:tcPr>
            <w:tcW w:w="1487" w:type="dxa"/>
            <w:tcBorders>
              <w:top w:val="double" w:color="auto" w:sz="6" w:space="0"/>
              <w:bottom w:val="single" w:color="auto" w:sz="6" w:space="0"/>
            </w:tcBorders>
            <w:vAlign w:val="center"/>
          </w:tcPr>
          <w:p/>
        </w:tc>
        <w:tc>
          <w:tcPr>
            <w:tcW w:w="992" w:type="dxa"/>
            <w:tcBorders>
              <w:top w:val="double" w:color="auto" w:sz="6" w:space="0"/>
              <w:bottom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vAlign w:val="center"/>
          </w:tcPr>
          <w:p/>
        </w:tc>
        <w:tc>
          <w:tcPr>
            <w:tcW w:w="1276" w:type="dxa"/>
            <w:tcBorders>
              <w:top w:val="nil"/>
            </w:tcBorders>
            <w:vAlign w:val="center"/>
          </w:tcPr>
          <w:p/>
        </w:tc>
        <w:tc>
          <w:tcPr>
            <w:tcW w:w="1418" w:type="dxa"/>
            <w:tcBorders>
              <w:top w:val="nil"/>
            </w:tcBorders>
            <w:vAlign w:val="center"/>
          </w:tcPr>
          <w:p/>
        </w:tc>
        <w:tc>
          <w:tcPr>
            <w:tcW w:w="940" w:type="dxa"/>
            <w:tcBorders>
              <w:top w:val="nil"/>
            </w:tcBorders>
            <w:vAlign w:val="center"/>
          </w:tcPr>
          <w:p/>
        </w:tc>
        <w:tc>
          <w:tcPr>
            <w:tcW w:w="851" w:type="dxa"/>
            <w:tcBorders>
              <w:top w:val="nil"/>
            </w:tcBorders>
            <w:vAlign w:val="center"/>
          </w:tcPr>
          <w:p/>
        </w:tc>
        <w:tc>
          <w:tcPr>
            <w:tcW w:w="1044" w:type="dxa"/>
            <w:tcBorders>
              <w:top w:val="nil"/>
            </w:tcBorders>
            <w:vAlign w:val="center"/>
          </w:tcPr>
          <w:p/>
        </w:tc>
        <w:tc>
          <w:tcPr>
            <w:tcW w:w="992" w:type="dxa"/>
            <w:tcBorders>
              <w:top w:val="nil"/>
            </w:tcBorders>
            <w:vAlign w:val="center"/>
          </w:tcPr>
          <w:p/>
        </w:tc>
        <w:tc>
          <w:tcPr>
            <w:tcW w:w="851" w:type="dxa"/>
            <w:tcBorders>
              <w:top w:val="nil"/>
            </w:tcBorders>
            <w:vAlign w:val="center"/>
          </w:tcPr>
          <w:p/>
        </w:tc>
        <w:tc>
          <w:tcPr>
            <w:tcW w:w="1487" w:type="dxa"/>
            <w:tcBorders>
              <w:top w:val="nil"/>
            </w:tcBorders>
            <w:vAlign w:val="center"/>
          </w:tcPr>
          <w:p/>
        </w:tc>
        <w:tc>
          <w:tcPr>
            <w:tcW w:w="992"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r>
        <w:tblPrEx>
          <w:tblLayout w:type="fixed"/>
          <w:tblCellMar>
            <w:top w:w="0" w:type="dxa"/>
            <w:left w:w="28" w:type="dxa"/>
            <w:bottom w:w="0" w:type="dxa"/>
            <w:right w:w="28" w:type="dxa"/>
          </w:tblCellMar>
        </w:tblPrEx>
        <w:trPr>
          <w:trHeight w:val="567" w:hRule="atLeast"/>
          <w:jc w:val="center"/>
        </w:trPr>
        <w:tc>
          <w:tcPr>
            <w:tcW w:w="851" w:type="dxa"/>
            <w:vAlign w:val="center"/>
          </w:tcPr>
          <w:p/>
        </w:tc>
        <w:tc>
          <w:tcPr>
            <w:tcW w:w="1276" w:type="dxa"/>
            <w:vAlign w:val="center"/>
          </w:tcPr>
          <w:p/>
        </w:tc>
        <w:tc>
          <w:tcPr>
            <w:tcW w:w="1418" w:type="dxa"/>
            <w:vAlign w:val="center"/>
          </w:tcPr>
          <w:p/>
        </w:tc>
        <w:tc>
          <w:tcPr>
            <w:tcW w:w="940" w:type="dxa"/>
            <w:vAlign w:val="center"/>
          </w:tcPr>
          <w:p/>
        </w:tc>
        <w:tc>
          <w:tcPr>
            <w:tcW w:w="851" w:type="dxa"/>
            <w:vAlign w:val="center"/>
          </w:tcPr>
          <w:p/>
        </w:tc>
        <w:tc>
          <w:tcPr>
            <w:tcW w:w="1044" w:type="dxa"/>
            <w:vAlign w:val="center"/>
          </w:tcPr>
          <w:p/>
        </w:tc>
        <w:tc>
          <w:tcPr>
            <w:tcW w:w="992" w:type="dxa"/>
            <w:vAlign w:val="center"/>
          </w:tcPr>
          <w:p/>
        </w:tc>
        <w:tc>
          <w:tcPr>
            <w:tcW w:w="851" w:type="dxa"/>
            <w:vAlign w:val="center"/>
          </w:tcPr>
          <w:p/>
        </w:tc>
        <w:tc>
          <w:tcPr>
            <w:tcW w:w="1487" w:type="dxa"/>
            <w:vAlign w:val="center"/>
          </w:tcPr>
          <w:p/>
        </w:tc>
        <w:tc>
          <w:tcPr>
            <w:tcW w:w="992" w:type="dxa"/>
            <w:vAlign w:val="center"/>
          </w:tcPr>
          <w:p/>
        </w:tc>
      </w:tr>
    </w:tbl>
    <w:p/>
    <w:p>
      <w:bookmarkStart w:id="1102" w:name="_Toc25651"/>
      <w:bookmarkStart w:id="1103" w:name="_Toc14375"/>
      <w:r>
        <w:t>附</w:t>
      </w:r>
      <w:bookmarkStart w:id="1104" w:name="_Toc296891266"/>
      <w:bookmarkStart w:id="1105" w:name="_Toc296347225"/>
      <w:bookmarkStart w:id="1106" w:name="_Toc296346727"/>
      <w:bookmarkStart w:id="1107" w:name="_Toc296891054"/>
      <w:bookmarkStart w:id="1108" w:name="_Toc296503226"/>
      <w:bookmarkStart w:id="1109" w:name="_Toc267261693"/>
      <w:bookmarkStart w:id="1110" w:name="_Toc296944565"/>
      <w:r>
        <w:t>件3：</w:t>
      </w:r>
      <w:bookmarkEnd w:id="1102"/>
      <w:bookmarkEnd w:id="1103"/>
      <w:bookmarkEnd w:id="1104"/>
      <w:bookmarkEnd w:id="1105"/>
      <w:bookmarkEnd w:id="1106"/>
      <w:bookmarkEnd w:id="1107"/>
      <w:bookmarkEnd w:id="1108"/>
      <w:bookmarkEnd w:id="1109"/>
      <w:bookmarkEnd w:id="1110"/>
      <w:r>
        <w:t xml:space="preserve">    </w:t>
      </w:r>
    </w:p>
    <w:p>
      <w:r>
        <w:t>工程质量保修书</w:t>
      </w:r>
    </w:p>
    <w:p>
      <w:r>
        <w:t xml:space="preserve">发包人（全称）：                                 </w:t>
      </w:r>
    </w:p>
    <w:p>
      <w:r>
        <w:t xml:space="preserve">　　承包人（全称）：                                 </w:t>
      </w:r>
    </w:p>
    <w:p/>
    <w:p>
      <w:r>
        <w:t>　　发包人和承包人根据《中华人民共和国建筑法》和《建设工程质量管理条例》，经协商一致就                （工程全称）签订工程质量保修书。</w:t>
      </w:r>
    </w:p>
    <w:p>
      <w:r>
        <w:t>　　一、工程质量保修范围和内容</w:t>
      </w:r>
    </w:p>
    <w:p>
      <w:r>
        <w:t>　　承包人在质量保修期内，按照有关法律规定和合同约定，承担工程质量保修责任。</w:t>
      </w:r>
    </w:p>
    <w:p>
      <w: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
        <w:t xml:space="preserve">　　                                                                                                                           </w:t>
      </w:r>
      <w:r>
        <w:rPr>
          <w:rFonts w:hint="eastAsia"/>
        </w:rPr>
        <w:t xml:space="preserve">         </w:t>
      </w:r>
      <w:r>
        <w:t xml:space="preserve">                                     。</w:t>
      </w:r>
    </w:p>
    <w:p>
      <w:r>
        <w:t>　　二、质量保修期</w:t>
      </w:r>
    </w:p>
    <w:p>
      <w:r>
        <w:t>根据《建设工程质量管理条例》及有关规定，工程的质量保修期如下：</w:t>
      </w:r>
    </w:p>
    <w:p>
      <w:r>
        <w:rPr>
          <w:rFonts w:hint="eastAsia"/>
        </w:rPr>
        <w:t>1．地基基础工程和主体结构工程为设计文件规定的工程合理使用年限；</w:t>
      </w:r>
    </w:p>
    <w:p>
      <w:r>
        <w:rPr>
          <w:rFonts w:hint="eastAsia"/>
        </w:rPr>
        <w:t>2．</w:t>
      </w:r>
      <w:r>
        <w:t>屋面防水工程、有防水要求的卫生间、房间和外墙面的防渗</w:t>
      </w:r>
      <w:r>
        <w:rPr>
          <w:rFonts w:hint="eastAsia"/>
        </w:rPr>
        <w:t xml:space="preserve">     为        </w:t>
      </w:r>
      <w:r>
        <w:t>年；</w:t>
      </w:r>
    </w:p>
    <w:p>
      <w:r>
        <w:rPr>
          <w:rFonts w:hint="eastAsia"/>
        </w:rPr>
        <w:t>3．</w:t>
      </w:r>
      <w:r>
        <w:t>装修工程为         年；</w:t>
      </w:r>
    </w:p>
    <w:p>
      <w:r>
        <w:rPr>
          <w:rFonts w:hint="eastAsia"/>
        </w:rPr>
        <w:t>4．</w:t>
      </w:r>
      <w:r>
        <w:t>电气管线、给排水管道、设备安装工程为         年；</w:t>
      </w:r>
    </w:p>
    <w:p>
      <w:r>
        <w:rPr>
          <w:rFonts w:hint="eastAsia"/>
        </w:rPr>
        <w:t>5．</w:t>
      </w:r>
      <w:r>
        <w:t>供热与供冷系统为         个采暖期、供冷期；</w:t>
      </w:r>
    </w:p>
    <w:p>
      <w:r>
        <w:rPr>
          <w:rFonts w:hint="eastAsia"/>
        </w:rPr>
        <w:t>6．</w:t>
      </w:r>
      <w:r>
        <w:t>住宅小区内的给排水设施、道路等配套工程为         年；</w:t>
      </w:r>
    </w:p>
    <w:p>
      <w:r>
        <w:rPr>
          <w:rFonts w:hint="eastAsia"/>
        </w:rPr>
        <w:t>7．</w:t>
      </w:r>
      <w:r>
        <w:t>其他项目保修期限约定如下：</w:t>
      </w:r>
    </w:p>
    <w:p>
      <w:r>
        <w:t xml:space="preserve">                                                                                                                                               </w:t>
      </w:r>
      <w:r>
        <w:rPr>
          <w:rFonts w:hint="eastAsia"/>
        </w:rPr>
        <w:t xml:space="preserve">           </w:t>
      </w:r>
      <w:r>
        <w:t xml:space="preserve">                   。</w:t>
      </w:r>
    </w:p>
    <w:p>
      <w:r>
        <w:t>　　质量保修期自工程竣工验收合格之日起计算。</w:t>
      </w:r>
    </w:p>
    <w:p>
      <w:r>
        <w:t>三、缺陷责任期</w:t>
      </w:r>
    </w:p>
    <w:p>
      <w:r>
        <w:t>工程缺陷责任期为         个月，缺陷责任期自工程</w:t>
      </w:r>
      <w:r>
        <w:rPr>
          <w:rFonts w:hint="eastAsia"/>
        </w:rPr>
        <w:t>通过竣工验收</w:t>
      </w:r>
      <w:r>
        <w:t>之日起计算。单位工程先于全部工程进行验收，单位工程缺陷责任期自单位工程验收合格之日起算。</w:t>
      </w:r>
    </w:p>
    <w:p>
      <w:r>
        <w:t>缺陷责任期终止后，发包人应退还剩余的质量保证金。</w:t>
      </w:r>
    </w:p>
    <w:p>
      <w:r>
        <w:t xml:space="preserve">    四、质量保修责任</w:t>
      </w:r>
    </w:p>
    <w:p>
      <w:r>
        <w:rPr>
          <w:rFonts w:hint="eastAsia"/>
        </w:rPr>
        <w:t>1．</w:t>
      </w:r>
      <w:r>
        <w:t>属于保修范围、内容的项目，承包人应当在接到保修通知之日起7天内派人保修。承包人不在约定期限内派人保修的，发包人可以委托他人修理。</w:t>
      </w:r>
    </w:p>
    <w:p>
      <w:r>
        <w:rPr>
          <w:rFonts w:hint="eastAsia"/>
        </w:rPr>
        <w:t>2．</w:t>
      </w:r>
      <w:r>
        <w:t>发生紧急事故需抢修的，承包人在接到事故通知后，应当立即到达事故现场抢修。</w:t>
      </w:r>
    </w:p>
    <w:p>
      <w:r>
        <w:rPr>
          <w:rFonts w:hint="eastAsia"/>
        </w:rPr>
        <w:t>3．</w:t>
      </w:r>
      <w: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
        <w:rPr>
          <w:rFonts w:hint="eastAsia"/>
        </w:rPr>
        <w:t>4．</w:t>
      </w:r>
      <w:r>
        <w:t>质量保修完成后，由发包人组织验收。</w:t>
      </w:r>
    </w:p>
    <w:p>
      <w:r>
        <w:t>　　五、保修费用</w:t>
      </w:r>
    </w:p>
    <w:p>
      <w:r>
        <w:t>　　保修费用由造成质量缺陷的责任方承担。</w:t>
      </w:r>
    </w:p>
    <w:p>
      <w:r>
        <w:t xml:space="preserve">六、双方约定的其他工程质量保修事项：          </w:t>
      </w:r>
      <w:r>
        <w:rPr>
          <w:rFonts w:hint="eastAsia"/>
        </w:rPr>
        <w:t xml:space="preserve">    </w:t>
      </w:r>
      <w:r>
        <w:t xml:space="preserve">    </w:t>
      </w:r>
    </w:p>
    <w:p>
      <w:r>
        <w:t xml:space="preserve">                                                                                            </w:t>
      </w:r>
      <w:r>
        <w:rPr>
          <w:rFonts w:hint="eastAsia"/>
        </w:rPr>
        <w:t xml:space="preserve">             </w:t>
      </w:r>
      <w:r>
        <w:t xml:space="preserve">          。</w:t>
      </w:r>
    </w:p>
    <w:p>
      <w:r>
        <w:t>工程质量保修书由发包人、承包人在工程竣工验收前共同签署，作为施工合同附件，其有效期限至保修期满。</w:t>
      </w:r>
    </w:p>
    <w:p/>
    <w:p/>
    <w:p>
      <w:r>
        <w:t>发包人(公章)：         承包人(公章)：</w:t>
      </w:r>
      <w:r>
        <w:rPr>
          <w:rFonts w:hint="eastAsia"/>
        </w:rPr>
        <w:t xml:space="preserve">          </w:t>
      </w:r>
      <w:r>
        <w:t xml:space="preserve"> </w:t>
      </w:r>
    </w:p>
    <w:p>
      <w:r>
        <w:t xml:space="preserve">地  址：     </w:t>
      </w:r>
      <w:r>
        <w:rPr>
          <w:rFonts w:hint="eastAsia"/>
        </w:rPr>
        <w:t xml:space="preserve"> </w:t>
      </w:r>
      <w:r>
        <w:t>地  址：</w:t>
      </w:r>
      <w:r>
        <w:rPr>
          <w:rFonts w:hint="eastAsia"/>
        </w:rPr>
        <w:t xml:space="preserve"> </w:t>
      </w:r>
      <w:r>
        <w:t xml:space="preserve"> </w:t>
      </w:r>
      <w:r>
        <w:rPr>
          <w:rFonts w:hint="eastAsia"/>
        </w:rPr>
        <w:t xml:space="preserve"> </w:t>
      </w:r>
      <w:r>
        <w:t xml:space="preserve">    </w:t>
      </w:r>
    </w:p>
    <w:p>
      <w:r>
        <w:t>法定代表人(签字)：</w:t>
      </w:r>
      <w:r>
        <w:rPr>
          <w:rFonts w:hint="eastAsia"/>
        </w:rPr>
        <w:t xml:space="preserve">    </w:t>
      </w:r>
      <w:r>
        <w:t xml:space="preserve">   法定代表人(签字)：</w:t>
      </w:r>
      <w:r>
        <w:rPr>
          <w:rFonts w:hint="eastAsia"/>
        </w:rPr>
        <w:t xml:space="preserve">      </w:t>
      </w:r>
      <w:r>
        <w:t xml:space="preserve"> </w:t>
      </w:r>
    </w:p>
    <w:p>
      <w:r>
        <w:t xml:space="preserve">委托代理人(签字)：       委托代理人(签字)：  </w:t>
      </w:r>
      <w:r>
        <w:rPr>
          <w:rFonts w:hint="eastAsia"/>
        </w:rPr>
        <w:t xml:space="preserve"> </w:t>
      </w:r>
      <w:r>
        <w:t xml:space="preserve">    </w:t>
      </w:r>
    </w:p>
    <w:p>
      <w:r>
        <w:t>电  话：    电  话：</w:t>
      </w:r>
      <w:r>
        <w:rPr>
          <w:rFonts w:hint="eastAsia"/>
        </w:rPr>
        <w:t xml:space="preserve">  </w:t>
      </w:r>
      <w:r>
        <w:t xml:space="preserve">   </w:t>
      </w:r>
    </w:p>
    <w:p>
      <w:r>
        <w:t>传  真：    传  真：</w:t>
      </w:r>
      <w:r>
        <w:rPr>
          <w:rFonts w:hint="eastAsia"/>
        </w:rPr>
        <w:t xml:space="preserve">  </w:t>
      </w:r>
      <w:r>
        <w:t xml:space="preserve">   </w:t>
      </w:r>
    </w:p>
    <w:p>
      <w:r>
        <w:t xml:space="preserve">开户银行：    开户银行：   </w:t>
      </w:r>
    </w:p>
    <w:p>
      <w:r>
        <w:t xml:space="preserve">账  号：       </w:t>
      </w:r>
      <w:r>
        <w:rPr>
          <w:rFonts w:hint="eastAsia"/>
        </w:rPr>
        <w:t xml:space="preserve">  </w:t>
      </w:r>
      <w:r>
        <w:t>账</w:t>
      </w:r>
      <w:r>
        <w:rPr>
          <w:rFonts w:hint="eastAsia"/>
        </w:rPr>
        <w:t xml:space="preserve"> </w:t>
      </w:r>
      <w:r>
        <w:t xml:space="preserve"> 号：</w:t>
      </w:r>
      <w:r>
        <w:rPr>
          <w:rFonts w:hint="eastAsia"/>
        </w:rPr>
        <w:t xml:space="preserve">  </w:t>
      </w:r>
      <w:r>
        <w:t xml:space="preserve">  </w:t>
      </w:r>
      <w:r>
        <w:rPr>
          <w:rFonts w:hint="eastAsia"/>
        </w:rPr>
        <w:t xml:space="preserve"> </w:t>
      </w:r>
    </w:p>
    <w:p>
      <w:r>
        <w:t xml:space="preserve">邮政编码：      邮政编码：   </w:t>
      </w:r>
    </w:p>
    <w:p>
      <w:r>
        <w:br w:type="page"/>
      </w:r>
      <w:bookmarkStart w:id="1111" w:name="_Toc1251"/>
      <w:bookmarkStart w:id="1112" w:name="_Toc5281"/>
      <w:r>
        <w:t>附件4：</w:t>
      </w:r>
      <w:bookmarkEnd w:id="1111"/>
      <w:bookmarkEnd w:id="1112"/>
    </w:p>
    <w:p>
      <w:r>
        <w:t>主要建设工程文件目录</w:t>
      </w:r>
    </w:p>
    <w:tbl>
      <w:tblPr>
        <w:tblStyle w:val="42"/>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r>
              <w:t>文件名称</w:t>
            </w:r>
          </w:p>
        </w:tc>
        <w:tc>
          <w:tcPr>
            <w:tcW w:w="1276" w:type="dxa"/>
            <w:tcBorders>
              <w:top w:val="single" w:color="auto" w:sz="12" w:space="0"/>
              <w:bottom w:val="double" w:color="auto" w:sz="6" w:space="0"/>
            </w:tcBorders>
            <w:vAlign w:val="center"/>
          </w:tcPr>
          <w:p>
            <w:r>
              <w:t>套数</w:t>
            </w:r>
          </w:p>
        </w:tc>
        <w:tc>
          <w:tcPr>
            <w:tcW w:w="1450" w:type="dxa"/>
            <w:tcBorders>
              <w:top w:val="single" w:color="auto" w:sz="12" w:space="0"/>
              <w:bottom w:val="double" w:color="auto" w:sz="6" w:space="0"/>
            </w:tcBorders>
            <w:vAlign w:val="center"/>
          </w:tcPr>
          <w:p>
            <w:r>
              <w:t>费用</w:t>
            </w:r>
            <w:r>
              <w:rPr>
                <w:rFonts w:hint="eastAsia"/>
              </w:rPr>
              <w:t>（元）</w:t>
            </w:r>
          </w:p>
        </w:tc>
        <w:tc>
          <w:tcPr>
            <w:tcW w:w="1243" w:type="dxa"/>
            <w:tcBorders>
              <w:top w:val="single" w:color="auto" w:sz="12" w:space="0"/>
              <w:bottom w:val="double" w:color="auto" w:sz="6" w:space="0"/>
            </w:tcBorders>
            <w:vAlign w:val="center"/>
          </w:tcPr>
          <w:p>
            <w:r>
              <w:t>质量</w:t>
            </w:r>
          </w:p>
        </w:tc>
        <w:tc>
          <w:tcPr>
            <w:tcW w:w="1450" w:type="dxa"/>
            <w:tcBorders>
              <w:top w:val="single" w:color="auto" w:sz="12" w:space="0"/>
              <w:bottom w:val="double" w:color="auto" w:sz="6" w:space="0"/>
            </w:tcBorders>
            <w:vAlign w:val="top"/>
          </w:tcPr>
          <w:p>
            <w:r>
              <w:t>移交时间</w:t>
            </w:r>
          </w:p>
        </w:tc>
        <w:tc>
          <w:tcPr>
            <w:tcW w:w="1667" w:type="dxa"/>
            <w:tcBorders>
              <w:top w:val="single" w:color="auto" w:sz="12" w:space="0"/>
              <w:bottom w:val="double" w:color="auto" w:sz="6" w:space="0"/>
            </w:tcBorders>
            <w:vAlign w:val="top"/>
          </w:tcPr>
          <w:p>
            <w: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tc>
        <w:tc>
          <w:tcPr>
            <w:tcW w:w="1276" w:type="dxa"/>
            <w:tcBorders>
              <w:top w:val="double" w:color="auto" w:sz="6" w:space="0"/>
              <w:bottom w:val="single" w:color="auto" w:sz="6" w:space="0"/>
            </w:tcBorders>
            <w:vAlign w:val="center"/>
          </w:tcPr>
          <w:p/>
        </w:tc>
        <w:tc>
          <w:tcPr>
            <w:tcW w:w="1450" w:type="dxa"/>
            <w:tcBorders>
              <w:top w:val="double" w:color="auto" w:sz="6" w:space="0"/>
              <w:bottom w:val="single" w:color="auto" w:sz="6" w:space="0"/>
            </w:tcBorders>
            <w:vAlign w:val="center"/>
          </w:tcPr>
          <w:p/>
        </w:tc>
        <w:tc>
          <w:tcPr>
            <w:tcW w:w="1243" w:type="dxa"/>
            <w:tcBorders>
              <w:top w:val="double" w:color="auto" w:sz="6" w:space="0"/>
              <w:bottom w:val="single" w:color="auto" w:sz="6" w:space="0"/>
            </w:tcBorders>
            <w:vAlign w:val="center"/>
          </w:tcPr>
          <w:p/>
        </w:tc>
        <w:tc>
          <w:tcPr>
            <w:tcW w:w="1450" w:type="dxa"/>
            <w:tcBorders>
              <w:top w:val="double" w:color="auto" w:sz="6" w:space="0"/>
              <w:bottom w:val="single" w:color="auto" w:sz="6" w:space="0"/>
            </w:tcBorders>
            <w:vAlign w:val="center"/>
          </w:tcPr>
          <w:p/>
        </w:tc>
        <w:tc>
          <w:tcPr>
            <w:tcW w:w="1667" w:type="dxa"/>
            <w:tcBorders>
              <w:top w:val="double" w:color="auto" w:sz="6" w:space="0"/>
              <w:bottom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tc>
        <w:tc>
          <w:tcPr>
            <w:tcW w:w="1276" w:type="dxa"/>
            <w:tcBorders>
              <w:top w:val="nil"/>
            </w:tcBorders>
            <w:vAlign w:val="center"/>
          </w:tcPr>
          <w:p/>
        </w:tc>
        <w:tc>
          <w:tcPr>
            <w:tcW w:w="1450" w:type="dxa"/>
            <w:tcBorders>
              <w:top w:val="nil"/>
            </w:tcBorders>
            <w:vAlign w:val="center"/>
          </w:tcPr>
          <w:p/>
        </w:tc>
        <w:tc>
          <w:tcPr>
            <w:tcW w:w="1243" w:type="dxa"/>
            <w:tcBorders>
              <w:top w:val="nil"/>
            </w:tcBorders>
            <w:vAlign w:val="center"/>
          </w:tcPr>
          <w:p/>
        </w:tc>
        <w:tc>
          <w:tcPr>
            <w:tcW w:w="1450" w:type="dxa"/>
            <w:tcBorders>
              <w:top w:val="nil"/>
            </w:tcBorders>
            <w:vAlign w:val="center"/>
          </w:tcPr>
          <w:p/>
        </w:tc>
        <w:tc>
          <w:tcPr>
            <w:tcW w:w="1667"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tc>
        <w:tc>
          <w:tcPr>
            <w:tcW w:w="1276" w:type="dxa"/>
            <w:vAlign w:val="center"/>
          </w:tcPr>
          <w:p/>
        </w:tc>
        <w:tc>
          <w:tcPr>
            <w:tcW w:w="1450" w:type="dxa"/>
            <w:vAlign w:val="center"/>
          </w:tcPr>
          <w:p/>
        </w:tc>
        <w:tc>
          <w:tcPr>
            <w:tcW w:w="1243" w:type="dxa"/>
            <w:vAlign w:val="center"/>
          </w:tcPr>
          <w:p/>
        </w:tc>
        <w:tc>
          <w:tcPr>
            <w:tcW w:w="1450" w:type="dxa"/>
            <w:vAlign w:val="center"/>
          </w:tcPr>
          <w:p/>
        </w:tc>
        <w:tc>
          <w:tcPr>
            <w:tcW w:w="1667"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tc>
        <w:tc>
          <w:tcPr>
            <w:tcW w:w="1276" w:type="dxa"/>
            <w:vAlign w:val="center"/>
          </w:tcPr>
          <w:p/>
        </w:tc>
        <w:tc>
          <w:tcPr>
            <w:tcW w:w="1450" w:type="dxa"/>
            <w:vAlign w:val="center"/>
          </w:tcPr>
          <w:p/>
        </w:tc>
        <w:tc>
          <w:tcPr>
            <w:tcW w:w="1243" w:type="dxa"/>
            <w:vAlign w:val="center"/>
          </w:tcPr>
          <w:p/>
        </w:tc>
        <w:tc>
          <w:tcPr>
            <w:tcW w:w="1450" w:type="dxa"/>
            <w:vAlign w:val="center"/>
          </w:tcPr>
          <w:p/>
        </w:tc>
        <w:tc>
          <w:tcPr>
            <w:tcW w:w="1667"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tc>
        <w:tc>
          <w:tcPr>
            <w:tcW w:w="1276" w:type="dxa"/>
            <w:vAlign w:val="center"/>
          </w:tcPr>
          <w:p/>
        </w:tc>
        <w:tc>
          <w:tcPr>
            <w:tcW w:w="1450" w:type="dxa"/>
            <w:vAlign w:val="center"/>
          </w:tcPr>
          <w:p/>
        </w:tc>
        <w:tc>
          <w:tcPr>
            <w:tcW w:w="1243" w:type="dxa"/>
            <w:vAlign w:val="center"/>
          </w:tcPr>
          <w:p/>
        </w:tc>
        <w:tc>
          <w:tcPr>
            <w:tcW w:w="1450" w:type="dxa"/>
            <w:vAlign w:val="center"/>
          </w:tcPr>
          <w:p/>
        </w:tc>
        <w:tc>
          <w:tcPr>
            <w:tcW w:w="1667"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tc>
        <w:tc>
          <w:tcPr>
            <w:tcW w:w="1276" w:type="dxa"/>
            <w:vAlign w:val="center"/>
          </w:tcPr>
          <w:p/>
        </w:tc>
        <w:tc>
          <w:tcPr>
            <w:tcW w:w="1450" w:type="dxa"/>
            <w:vAlign w:val="center"/>
          </w:tcPr>
          <w:p/>
        </w:tc>
        <w:tc>
          <w:tcPr>
            <w:tcW w:w="1243" w:type="dxa"/>
            <w:vAlign w:val="center"/>
          </w:tcPr>
          <w:p/>
        </w:tc>
        <w:tc>
          <w:tcPr>
            <w:tcW w:w="1450" w:type="dxa"/>
            <w:vAlign w:val="center"/>
          </w:tcPr>
          <w:p/>
        </w:tc>
        <w:tc>
          <w:tcPr>
            <w:tcW w:w="1667"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tc>
        <w:tc>
          <w:tcPr>
            <w:tcW w:w="1276" w:type="dxa"/>
            <w:vAlign w:val="center"/>
          </w:tcPr>
          <w:p/>
        </w:tc>
        <w:tc>
          <w:tcPr>
            <w:tcW w:w="1450" w:type="dxa"/>
            <w:vAlign w:val="center"/>
          </w:tcPr>
          <w:p/>
        </w:tc>
        <w:tc>
          <w:tcPr>
            <w:tcW w:w="1243" w:type="dxa"/>
            <w:vAlign w:val="center"/>
          </w:tcPr>
          <w:p/>
        </w:tc>
        <w:tc>
          <w:tcPr>
            <w:tcW w:w="1450" w:type="dxa"/>
            <w:vAlign w:val="center"/>
          </w:tcPr>
          <w:p/>
        </w:tc>
        <w:tc>
          <w:tcPr>
            <w:tcW w:w="1667"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tc>
        <w:tc>
          <w:tcPr>
            <w:tcW w:w="1276" w:type="dxa"/>
            <w:vAlign w:val="center"/>
          </w:tcPr>
          <w:p/>
        </w:tc>
        <w:tc>
          <w:tcPr>
            <w:tcW w:w="1450" w:type="dxa"/>
            <w:vAlign w:val="center"/>
          </w:tcPr>
          <w:p/>
        </w:tc>
        <w:tc>
          <w:tcPr>
            <w:tcW w:w="1243" w:type="dxa"/>
            <w:vAlign w:val="center"/>
          </w:tcPr>
          <w:p/>
        </w:tc>
        <w:tc>
          <w:tcPr>
            <w:tcW w:w="1450" w:type="dxa"/>
            <w:vAlign w:val="center"/>
          </w:tcPr>
          <w:p/>
        </w:tc>
        <w:tc>
          <w:tcPr>
            <w:tcW w:w="1667"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tc>
        <w:tc>
          <w:tcPr>
            <w:tcW w:w="1276" w:type="dxa"/>
            <w:vAlign w:val="center"/>
          </w:tcPr>
          <w:p/>
        </w:tc>
        <w:tc>
          <w:tcPr>
            <w:tcW w:w="1450" w:type="dxa"/>
            <w:vAlign w:val="center"/>
          </w:tcPr>
          <w:p/>
        </w:tc>
        <w:tc>
          <w:tcPr>
            <w:tcW w:w="1243" w:type="dxa"/>
            <w:vAlign w:val="center"/>
          </w:tcPr>
          <w:p/>
        </w:tc>
        <w:tc>
          <w:tcPr>
            <w:tcW w:w="1450" w:type="dxa"/>
            <w:vAlign w:val="center"/>
          </w:tcPr>
          <w:p/>
        </w:tc>
        <w:tc>
          <w:tcPr>
            <w:tcW w:w="1667"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top"/>
          </w:tcPr>
          <w:p/>
        </w:tc>
        <w:tc>
          <w:tcPr>
            <w:tcW w:w="1276" w:type="dxa"/>
            <w:vAlign w:val="top"/>
          </w:tcPr>
          <w:p/>
        </w:tc>
        <w:tc>
          <w:tcPr>
            <w:tcW w:w="1450" w:type="dxa"/>
            <w:vAlign w:val="top"/>
          </w:tcPr>
          <w:p/>
        </w:tc>
        <w:tc>
          <w:tcPr>
            <w:tcW w:w="1243" w:type="dxa"/>
            <w:vAlign w:val="top"/>
          </w:tcPr>
          <w:p/>
        </w:tc>
        <w:tc>
          <w:tcPr>
            <w:tcW w:w="1450" w:type="dxa"/>
            <w:vAlign w:val="top"/>
          </w:tcPr>
          <w:p/>
        </w:tc>
        <w:tc>
          <w:tcPr>
            <w:tcW w:w="1667" w:type="dxa"/>
            <w:vAlign w:val="top"/>
          </w:tcPr>
          <w:p/>
        </w:tc>
      </w:tr>
    </w:tbl>
    <w:p/>
    <w:p>
      <w:bookmarkStart w:id="1113" w:name="_Toc20596"/>
      <w:bookmarkStart w:id="1114" w:name="_Toc2660"/>
      <w:r>
        <w:t>附</w:t>
      </w:r>
      <w:bookmarkStart w:id="1115" w:name="_Toc296503227"/>
      <w:bookmarkStart w:id="1116" w:name="_Toc296944566"/>
      <w:bookmarkStart w:id="1117" w:name="_Toc296347226"/>
      <w:bookmarkStart w:id="1118" w:name="_Toc267261698"/>
      <w:bookmarkStart w:id="1119" w:name="_Toc296346728"/>
      <w:bookmarkStart w:id="1120" w:name="_Toc296891267"/>
      <w:bookmarkStart w:id="1121" w:name="_Toc296891055"/>
      <w:r>
        <w:t>件5：</w:t>
      </w:r>
      <w:bookmarkEnd w:id="1113"/>
      <w:bookmarkEnd w:id="1114"/>
    </w:p>
    <w:bookmarkEnd w:id="1115"/>
    <w:bookmarkEnd w:id="1116"/>
    <w:bookmarkEnd w:id="1117"/>
    <w:bookmarkEnd w:id="1118"/>
    <w:bookmarkEnd w:id="1119"/>
    <w:bookmarkEnd w:id="1120"/>
    <w:bookmarkEnd w:id="1121"/>
    <w:p>
      <w:r>
        <w:t>承包人用于本工程施工的机械设备表</w:t>
      </w:r>
    </w:p>
    <w:tbl>
      <w:tblPr>
        <w:tblStyle w:val="42"/>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r>
              <w:t>序号</w:t>
            </w:r>
          </w:p>
        </w:tc>
        <w:tc>
          <w:tcPr>
            <w:tcW w:w="1418" w:type="dxa"/>
            <w:tcBorders>
              <w:top w:val="single" w:color="auto" w:sz="12" w:space="0"/>
              <w:bottom w:val="double" w:color="auto" w:sz="6" w:space="0"/>
            </w:tcBorders>
            <w:vAlign w:val="center"/>
          </w:tcPr>
          <w:p>
            <w:r>
              <w:t>机械或设备名称</w:t>
            </w:r>
          </w:p>
        </w:tc>
        <w:tc>
          <w:tcPr>
            <w:tcW w:w="850" w:type="dxa"/>
            <w:tcBorders>
              <w:top w:val="single" w:color="auto" w:sz="12" w:space="0"/>
              <w:bottom w:val="double" w:color="auto" w:sz="6" w:space="0"/>
            </w:tcBorders>
            <w:vAlign w:val="center"/>
          </w:tcPr>
          <w:p>
            <w:r>
              <w:t>规格型号</w:t>
            </w:r>
          </w:p>
        </w:tc>
        <w:tc>
          <w:tcPr>
            <w:tcW w:w="1058" w:type="dxa"/>
            <w:tcBorders>
              <w:top w:val="single" w:color="auto" w:sz="12" w:space="0"/>
              <w:bottom w:val="double" w:color="auto" w:sz="6" w:space="0"/>
            </w:tcBorders>
            <w:vAlign w:val="center"/>
          </w:tcPr>
          <w:p>
            <w:r>
              <w:t>数量</w:t>
            </w:r>
          </w:p>
        </w:tc>
        <w:tc>
          <w:tcPr>
            <w:tcW w:w="880" w:type="dxa"/>
            <w:tcBorders>
              <w:top w:val="single" w:color="auto" w:sz="12" w:space="0"/>
              <w:bottom w:val="double" w:color="auto" w:sz="6" w:space="0"/>
            </w:tcBorders>
            <w:vAlign w:val="center"/>
          </w:tcPr>
          <w:p>
            <w:r>
              <w:t>产地</w:t>
            </w:r>
          </w:p>
        </w:tc>
        <w:tc>
          <w:tcPr>
            <w:tcW w:w="1020" w:type="dxa"/>
            <w:tcBorders>
              <w:top w:val="single" w:color="auto" w:sz="12" w:space="0"/>
              <w:bottom w:val="double" w:color="auto" w:sz="6" w:space="0"/>
            </w:tcBorders>
            <w:vAlign w:val="center"/>
          </w:tcPr>
          <w:p>
            <w:r>
              <w:t>制造年份</w:t>
            </w:r>
          </w:p>
        </w:tc>
        <w:tc>
          <w:tcPr>
            <w:tcW w:w="1480" w:type="dxa"/>
            <w:tcBorders>
              <w:top w:val="single" w:color="auto" w:sz="12" w:space="0"/>
              <w:bottom w:val="double" w:color="auto" w:sz="6" w:space="0"/>
            </w:tcBorders>
            <w:vAlign w:val="center"/>
          </w:tcPr>
          <w:p>
            <w:r>
              <w:t>额定功率(kW)</w:t>
            </w:r>
          </w:p>
        </w:tc>
        <w:tc>
          <w:tcPr>
            <w:tcW w:w="1020" w:type="dxa"/>
            <w:tcBorders>
              <w:top w:val="single" w:color="auto" w:sz="12" w:space="0"/>
              <w:bottom w:val="double" w:color="auto" w:sz="6" w:space="0"/>
            </w:tcBorders>
            <w:vAlign w:val="center"/>
          </w:tcPr>
          <w:p>
            <w:r>
              <w:t>生产能力</w:t>
            </w:r>
          </w:p>
        </w:tc>
        <w:tc>
          <w:tcPr>
            <w:tcW w:w="921" w:type="dxa"/>
            <w:tcBorders>
              <w:top w:val="single" w:color="auto" w:sz="12" w:space="0"/>
              <w:bottom w:val="double" w:color="auto" w:sz="6" w:space="0"/>
            </w:tcBorders>
            <w:vAlign w:val="center"/>
          </w:tcPr>
          <w:p>
            <w: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tc>
        <w:tc>
          <w:tcPr>
            <w:tcW w:w="1418" w:type="dxa"/>
            <w:tcBorders>
              <w:top w:val="double" w:color="auto" w:sz="6" w:space="0"/>
              <w:bottom w:val="single" w:color="auto" w:sz="6" w:space="0"/>
            </w:tcBorders>
            <w:vAlign w:val="center"/>
          </w:tcPr>
          <w:p/>
        </w:tc>
        <w:tc>
          <w:tcPr>
            <w:tcW w:w="850" w:type="dxa"/>
            <w:tcBorders>
              <w:top w:val="double" w:color="auto" w:sz="6" w:space="0"/>
              <w:bottom w:val="single" w:color="auto" w:sz="6" w:space="0"/>
            </w:tcBorders>
            <w:vAlign w:val="center"/>
          </w:tcPr>
          <w:p/>
        </w:tc>
        <w:tc>
          <w:tcPr>
            <w:tcW w:w="1058" w:type="dxa"/>
            <w:tcBorders>
              <w:top w:val="double" w:color="auto" w:sz="6" w:space="0"/>
              <w:bottom w:val="single" w:color="auto" w:sz="6" w:space="0"/>
            </w:tcBorders>
            <w:vAlign w:val="center"/>
          </w:tcPr>
          <w:p/>
        </w:tc>
        <w:tc>
          <w:tcPr>
            <w:tcW w:w="880" w:type="dxa"/>
            <w:tcBorders>
              <w:top w:val="double" w:color="auto" w:sz="6" w:space="0"/>
              <w:bottom w:val="single" w:color="auto" w:sz="6" w:space="0"/>
            </w:tcBorders>
            <w:vAlign w:val="center"/>
          </w:tcPr>
          <w:p/>
        </w:tc>
        <w:tc>
          <w:tcPr>
            <w:tcW w:w="1020" w:type="dxa"/>
            <w:tcBorders>
              <w:top w:val="double" w:color="auto" w:sz="6" w:space="0"/>
              <w:bottom w:val="single" w:color="auto" w:sz="6" w:space="0"/>
            </w:tcBorders>
            <w:vAlign w:val="center"/>
          </w:tcPr>
          <w:p/>
        </w:tc>
        <w:tc>
          <w:tcPr>
            <w:tcW w:w="1480" w:type="dxa"/>
            <w:tcBorders>
              <w:top w:val="double" w:color="auto" w:sz="6" w:space="0"/>
              <w:bottom w:val="single" w:color="auto" w:sz="6" w:space="0"/>
            </w:tcBorders>
            <w:vAlign w:val="center"/>
          </w:tcPr>
          <w:p/>
        </w:tc>
        <w:tc>
          <w:tcPr>
            <w:tcW w:w="1020" w:type="dxa"/>
            <w:tcBorders>
              <w:top w:val="double" w:color="auto" w:sz="6" w:space="0"/>
              <w:bottom w:val="single" w:color="auto" w:sz="6" w:space="0"/>
            </w:tcBorders>
            <w:vAlign w:val="center"/>
          </w:tcPr>
          <w:p/>
        </w:tc>
        <w:tc>
          <w:tcPr>
            <w:tcW w:w="921" w:type="dxa"/>
            <w:tcBorders>
              <w:top w:val="double" w:color="auto" w:sz="6" w:space="0"/>
              <w:bottom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tc>
        <w:tc>
          <w:tcPr>
            <w:tcW w:w="1418" w:type="dxa"/>
            <w:tcBorders>
              <w:top w:val="nil"/>
            </w:tcBorders>
            <w:vAlign w:val="center"/>
          </w:tcPr>
          <w:p/>
        </w:tc>
        <w:tc>
          <w:tcPr>
            <w:tcW w:w="850" w:type="dxa"/>
            <w:tcBorders>
              <w:top w:val="nil"/>
            </w:tcBorders>
            <w:vAlign w:val="center"/>
          </w:tcPr>
          <w:p/>
        </w:tc>
        <w:tc>
          <w:tcPr>
            <w:tcW w:w="1058" w:type="dxa"/>
            <w:tcBorders>
              <w:top w:val="nil"/>
            </w:tcBorders>
            <w:vAlign w:val="center"/>
          </w:tcPr>
          <w:p/>
        </w:tc>
        <w:tc>
          <w:tcPr>
            <w:tcW w:w="880" w:type="dxa"/>
            <w:tcBorders>
              <w:top w:val="nil"/>
            </w:tcBorders>
            <w:vAlign w:val="center"/>
          </w:tcPr>
          <w:p/>
        </w:tc>
        <w:tc>
          <w:tcPr>
            <w:tcW w:w="1020" w:type="dxa"/>
            <w:tcBorders>
              <w:top w:val="nil"/>
            </w:tcBorders>
            <w:vAlign w:val="center"/>
          </w:tcPr>
          <w:p/>
        </w:tc>
        <w:tc>
          <w:tcPr>
            <w:tcW w:w="1480" w:type="dxa"/>
            <w:tcBorders>
              <w:top w:val="nil"/>
            </w:tcBorders>
            <w:vAlign w:val="center"/>
          </w:tcPr>
          <w:p/>
        </w:tc>
        <w:tc>
          <w:tcPr>
            <w:tcW w:w="1020" w:type="dxa"/>
            <w:tcBorders>
              <w:top w:val="nil"/>
            </w:tcBorders>
            <w:vAlign w:val="center"/>
          </w:tcPr>
          <w:p/>
        </w:tc>
        <w:tc>
          <w:tcPr>
            <w:tcW w:w="921"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tc>
        <w:tc>
          <w:tcPr>
            <w:tcW w:w="1418" w:type="dxa"/>
            <w:vAlign w:val="center"/>
          </w:tcPr>
          <w:p/>
        </w:tc>
        <w:tc>
          <w:tcPr>
            <w:tcW w:w="850" w:type="dxa"/>
            <w:vAlign w:val="center"/>
          </w:tcPr>
          <w:p/>
        </w:tc>
        <w:tc>
          <w:tcPr>
            <w:tcW w:w="1058" w:type="dxa"/>
            <w:vAlign w:val="center"/>
          </w:tcPr>
          <w:p/>
        </w:tc>
        <w:tc>
          <w:tcPr>
            <w:tcW w:w="880" w:type="dxa"/>
            <w:vAlign w:val="center"/>
          </w:tcPr>
          <w:p/>
        </w:tc>
        <w:tc>
          <w:tcPr>
            <w:tcW w:w="1020" w:type="dxa"/>
            <w:vAlign w:val="center"/>
          </w:tcPr>
          <w:p/>
        </w:tc>
        <w:tc>
          <w:tcPr>
            <w:tcW w:w="1480" w:type="dxa"/>
            <w:vAlign w:val="center"/>
          </w:tcPr>
          <w:p/>
        </w:tc>
        <w:tc>
          <w:tcPr>
            <w:tcW w:w="1020" w:type="dxa"/>
            <w:vAlign w:val="center"/>
          </w:tcPr>
          <w:p/>
        </w:tc>
        <w:tc>
          <w:tcPr>
            <w:tcW w:w="921"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tc>
        <w:tc>
          <w:tcPr>
            <w:tcW w:w="1418" w:type="dxa"/>
            <w:vAlign w:val="center"/>
          </w:tcPr>
          <w:p/>
        </w:tc>
        <w:tc>
          <w:tcPr>
            <w:tcW w:w="850" w:type="dxa"/>
            <w:vAlign w:val="center"/>
          </w:tcPr>
          <w:p/>
        </w:tc>
        <w:tc>
          <w:tcPr>
            <w:tcW w:w="1058" w:type="dxa"/>
            <w:vAlign w:val="center"/>
          </w:tcPr>
          <w:p/>
        </w:tc>
        <w:tc>
          <w:tcPr>
            <w:tcW w:w="880" w:type="dxa"/>
            <w:vAlign w:val="center"/>
          </w:tcPr>
          <w:p/>
        </w:tc>
        <w:tc>
          <w:tcPr>
            <w:tcW w:w="1020" w:type="dxa"/>
            <w:vAlign w:val="center"/>
          </w:tcPr>
          <w:p/>
        </w:tc>
        <w:tc>
          <w:tcPr>
            <w:tcW w:w="1480" w:type="dxa"/>
            <w:vAlign w:val="center"/>
          </w:tcPr>
          <w:p/>
        </w:tc>
        <w:tc>
          <w:tcPr>
            <w:tcW w:w="1020" w:type="dxa"/>
            <w:vAlign w:val="center"/>
          </w:tcPr>
          <w:p/>
        </w:tc>
        <w:tc>
          <w:tcPr>
            <w:tcW w:w="921"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tc>
        <w:tc>
          <w:tcPr>
            <w:tcW w:w="1418" w:type="dxa"/>
            <w:vAlign w:val="center"/>
          </w:tcPr>
          <w:p/>
        </w:tc>
        <w:tc>
          <w:tcPr>
            <w:tcW w:w="850" w:type="dxa"/>
            <w:vAlign w:val="center"/>
          </w:tcPr>
          <w:p/>
        </w:tc>
        <w:tc>
          <w:tcPr>
            <w:tcW w:w="1058" w:type="dxa"/>
            <w:vAlign w:val="center"/>
          </w:tcPr>
          <w:p/>
        </w:tc>
        <w:tc>
          <w:tcPr>
            <w:tcW w:w="880" w:type="dxa"/>
            <w:vAlign w:val="center"/>
          </w:tcPr>
          <w:p/>
        </w:tc>
        <w:tc>
          <w:tcPr>
            <w:tcW w:w="1020" w:type="dxa"/>
            <w:vAlign w:val="center"/>
          </w:tcPr>
          <w:p/>
        </w:tc>
        <w:tc>
          <w:tcPr>
            <w:tcW w:w="1480" w:type="dxa"/>
            <w:vAlign w:val="center"/>
          </w:tcPr>
          <w:p/>
        </w:tc>
        <w:tc>
          <w:tcPr>
            <w:tcW w:w="1020" w:type="dxa"/>
            <w:vAlign w:val="center"/>
          </w:tcPr>
          <w:p/>
        </w:tc>
        <w:tc>
          <w:tcPr>
            <w:tcW w:w="921"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tc>
        <w:tc>
          <w:tcPr>
            <w:tcW w:w="1418" w:type="dxa"/>
            <w:vAlign w:val="center"/>
          </w:tcPr>
          <w:p/>
        </w:tc>
        <w:tc>
          <w:tcPr>
            <w:tcW w:w="850" w:type="dxa"/>
            <w:vAlign w:val="center"/>
          </w:tcPr>
          <w:p/>
        </w:tc>
        <w:tc>
          <w:tcPr>
            <w:tcW w:w="1058" w:type="dxa"/>
            <w:vAlign w:val="center"/>
          </w:tcPr>
          <w:p/>
        </w:tc>
        <w:tc>
          <w:tcPr>
            <w:tcW w:w="880" w:type="dxa"/>
            <w:vAlign w:val="center"/>
          </w:tcPr>
          <w:p/>
        </w:tc>
        <w:tc>
          <w:tcPr>
            <w:tcW w:w="1020" w:type="dxa"/>
            <w:vAlign w:val="center"/>
          </w:tcPr>
          <w:p/>
        </w:tc>
        <w:tc>
          <w:tcPr>
            <w:tcW w:w="1480" w:type="dxa"/>
            <w:vAlign w:val="center"/>
          </w:tcPr>
          <w:p/>
        </w:tc>
        <w:tc>
          <w:tcPr>
            <w:tcW w:w="1020" w:type="dxa"/>
            <w:vAlign w:val="center"/>
          </w:tcPr>
          <w:p/>
        </w:tc>
        <w:tc>
          <w:tcPr>
            <w:tcW w:w="921"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tc>
        <w:tc>
          <w:tcPr>
            <w:tcW w:w="1418" w:type="dxa"/>
            <w:vAlign w:val="center"/>
          </w:tcPr>
          <w:p/>
        </w:tc>
        <w:tc>
          <w:tcPr>
            <w:tcW w:w="850" w:type="dxa"/>
            <w:vAlign w:val="center"/>
          </w:tcPr>
          <w:p/>
        </w:tc>
        <w:tc>
          <w:tcPr>
            <w:tcW w:w="1058" w:type="dxa"/>
            <w:vAlign w:val="center"/>
          </w:tcPr>
          <w:p/>
        </w:tc>
        <w:tc>
          <w:tcPr>
            <w:tcW w:w="880" w:type="dxa"/>
            <w:vAlign w:val="center"/>
          </w:tcPr>
          <w:p/>
        </w:tc>
        <w:tc>
          <w:tcPr>
            <w:tcW w:w="1020" w:type="dxa"/>
            <w:vAlign w:val="center"/>
          </w:tcPr>
          <w:p/>
        </w:tc>
        <w:tc>
          <w:tcPr>
            <w:tcW w:w="1480" w:type="dxa"/>
            <w:vAlign w:val="center"/>
          </w:tcPr>
          <w:p/>
        </w:tc>
        <w:tc>
          <w:tcPr>
            <w:tcW w:w="1020" w:type="dxa"/>
            <w:vAlign w:val="center"/>
          </w:tcPr>
          <w:p/>
        </w:tc>
        <w:tc>
          <w:tcPr>
            <w:tcW w:w="921"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tc>
        <w:tc>
          <w:tcPr>
            <w:tcW w:w="1418" w:type="dxa"/>
            <w:vAlign w:val="center"/>
          </w:tcPr>
          <w:p/>
        </w:tc>
        <w:tc>
          <w:tcPr>
            <w:tcW w:w="850" w:type="dxa"/>
            <w:vAlign w:val="center"/>
          </w:tcPr>
          <w:p/>
        </w:tc>
        <w:tc>
          <w:tcPr>
            <w:tcW w:w="1058" w:type="dxa"/>
            <w:vAlign w:val="center"/>
          </w:tcPr>
          <w:p/>
        </w:tc>
        <w:tc>
          <w:tcPr>
            <w:tcW w:w="880" w:type="dxa"/>
            <w:vAlign w:val="center"/>
          </w:tcPr>
          <w:p/>
        </w:tc>
        <w:tc>
          <w:tcPr>
            <w:tcW w:w="1020" w:type="dxa"/>
            <w:vAlign w:val="center"/>
          </w:tcPr>
          <w:p/>
        </w:tc>
        <w:tc>
          <w:tcPr>
            <w:tcW w:w="1480" w:type="dxa"/>
            <w:vAlign w:val="center"/>
          </w:tcPr>
          <w:p/>
        </w:tc>
        <w:tc>
          <w:tcPr>
            <w:tcW w:w="1020" w:type="dxa"/>
            <w:vAlign w:val="center"/>
          </w:tcPr>
          <w:p/>
        </w:tc>
        <w:tc>
          <w:tcPr>
            <w:tcW w:w="921"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tc>
        <w:tc>
          <w:tcPr>
            <w:tcW w:w="1418" w:type="dxa"/>
            <w:vAlign w:val="center"/>
          </w:tcPr>
          <w:p/>
        </w:tc>
        <w:tc>
          <w:tcPr>
            <w:tcW w:w="850" w:type="dxa"/>
            <w:vAlign w:val="center"/>
          </w:tcPr>
          <w:p/>
        </w:tc>
        <w:tc>
          <w:tcPr>
            <w:tcW w:w="1058" w:type="dxa"/>
            <w:vAlign w:val="center"/>
          </w:tcPr>
          <w:p/>
        </w:tc>
        <w:tc>
          <w:tcPr>
            <w:tcW w:w="880" w:type="dxa"/>
            <w:vAlign w:val="center"/>
          </w:tcPr>
          <w:p/>
        </w:tc>
        <w:tc>
          <w:tcPr>
            <w:tcW w:w="1020" w:type="dxa"/>
            <w:vAlign w:val="center"/>
          </w:tcPr>
          <w:p/>
        </w:tc>
        <w:tc>
          <w:tcPr>
            <w:tcW w:w="1480" w:type="dxa"/>
            <w:vAlign w:val="center"/>
          </w:tcPr>
          <w:p/>
        </w:tc>
        <w:tc>
          <w:tcPr>
            <w:tcW w:w="1020" w:type="dxa"/>
            <w:vAlign w:val="center"/>
          </w:tcPr>
          <w:p/>
        </w:tc>
        <w:tc>
          <w:tcPr>
            <w:tcW w:w="921"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top"/>
          </w:tcPr>
          <w:p/>
        </w:tc>
        <w:tc>
          <w:tcPr>
            <w:tcW w:w="1418" w:type="dxa"/>
            <w:vAlign w:val="top"/>
          </w:tcPr>
          <w:p/>
        </w:tc>
        <w:tc>
          <w:tcPr>
            <w:tcW w:w="850" w:type="dxa"/>
            <w:vAlign w:val="top"/>
          </w:tcPr>
          <w:p/>
        </w:tc>
        <w:tc>
          <w:tcPr>
            <w:tcW w:w="1058" w:type="dxa"/>
            <w:vAlign w:val="top"/>
          </w:tcPr>
          <w:p/>
        </w:tc>
        <w:tc>
          <w:tcPr>
            <w:tcW w:w="880" w:type="dxa"/>
            <w:vAlign w:val="top"/>
          </w:tcPr>
          <w:p/>
        </w:tc>
        <w:tc>
          <w:tcPr>
            <w:tcW w:w="1020" w:type="dxa"/>
            <w:vAlign w:val="top"/>
          </w:tcPr>
          <w:p/>
        </w:tc>
        <w:tc>
          <w:tcPr>
            <w:tcW w:w="1480" w:type="dxa"/>
            <w:vAlign w:val="top"/>
          </w:tcPr>
          <w:p/>
        </w:tc>
        <w:tc>
          <w:tcPr>
            <w:tcW w:w="1020" w:type="dxa"/>
            <w:vAlign w:val="top"/>
          </w:tcPr>
          <w:p/>
        </w:tc>
        <w:tc>
          <w:tcPr>
            <w:tcW w:w="921" w:type="dxa"/>
            <w:vAlign w:val="top"/>
          </w:tcPr>
          <w:p/>
        </w:tc>
      </w:tr>
    </w:tbl>
    <w:p>
      <w:bookmarkStart w:id="1122" w:name="_Toc2665"/>
      <w:bookmarkStart w:id="1123" w:name="_Toc8733"/>
      <w:r>
        <w:t>附</w:t>
      </w:r>
      <w:bookmarkStart w:id="1124" w:name="_Toc296891268"/>
      <w:bookmarkStart w:id="1125" w:name="_Toc296346729"/>
      <w:bookmarkStart w:id="1126" w:name="_Toc296503228"/>
      <w:bookmarkStart w:id="1127" w:name="_Toc296891056"/>
      <w:bookmarkStart w:id="1128" w:name="_Toc296347227"/>
      <w:bookmarkStart w:id="1129" w:name="_Toc296944567"/>
      <w:bookmarkStart w:id="1130" w:name="_Toc267261699"/>
      <w:r>
        <w:t>件6：</w:t>
      </w:r>
      <w:bookmarkEnd w:id="1122"/>
      <w:bookmarkEnd w:id="1123"/>
    </w:p>
    <w:bookmarkEnd w:id="1124"/>
    <w:bookmarkEnd w:id="1125"/>
    <w:bookmarkEnd w:id="1126"/>
    <w:bookmarkEnd w:id="1127"/>
    <w:bookmarkEnd w:id="1128"/>
    <w:bookmarkEnd w:id="1129"/>
    <w:bookmarkEnd w:id="1130"/>
    <w:p>
      <w:r>
        <w:t>承包人主要施工管理人员表</w:t>
      </w:r>
    </w:p>
    <w:tbl>
      <w:tblPr>
        <w:tblStyle w:val="42"/>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r>
              <w:t>名    称</w:t>
            </w:r>
          </w:p>
        </w:tc>
        <w:tc>
          <w:tcPr>
            <w:tcW w:w="1418" w:type="dxa"/>
            <w:tcBorders>
              <w:top w:val="single" w:color="auto" w:sz="12" w:space="0"/>
              <w:bottom w:val="double" w:color="auto" w:sz="6" w:space="0"/>
            </w:tcBorders>
            <w:vAlign w:val="center"/>
          </w:tcPr>
          <w:p>
            <w:r>
              <w:t>姓名</w:t>
            </w:r>
          </w:p>
        </w:tc>
        <w:tc>
          <w:tcPr>
            <w:tcW w:w="1134" w:type="dxa"/>
            <w:tcBorders>
              <w:top w:val="single" w:color="auto" w:sz="12" w:space="0"/>
              <w:bottom w:val="double" w:color="auto" w:sz="6" w:space="0"/>
            </w:tcBorders>
            <w:vAlign w:val="center"/>
          </w:tcPr>
          <w:p>
            <w:r>
              <w:t>职务</w:t>
            </w:r>
          </w:p>
        </w:tc>
        <w:tc>
          <w:tcPr>
            <w:tcW w:w="1134" w:type="dxa"/>
            <w:tcBorders>
              <w:top w:val="single" w:color="auto" w:sz="12" w:space="0"/>
              <w:bottom w:val="double" w:color="auto" w:sz="6" w:space="0"/>
            </w:tcBorders>
            <w:vAlign w:val="center"/>
          </w:tcPr>
          <w:p>
            <w:r>
              <w:t>职称</w:t>
            </w:r>
          </w:p>
        </w:tc>
        <w:tc>
          <w:tcPr>
            <w:tcW w:w="4252" w:type="dxa"/>
            <w:tcBorders>
              <w:top w:val="single" w:color="auto" w:sz="12" w:space="0"/>
              <w:bottom w:val="double" w:color="auto" w:sz="6" w:space="0"/>
            </w:tcBorders>
            <w:vAlign w:val="center"/>
          </w:tcPr>
          <w:p>
            <w: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r>
              <w:t>项目主管</w:t>
            </w:r>
          </w:p>
        </w:tc>
        <w:tc>
          <w:tcPr>
            <w:tcW w:w="1418" w:type="dxa"/>
            <w:tcBorders>
              <w:top w:val="nil"/>
            </w:tcBorders>
            <w:vAlign w:val="center"/>
          </w:tcPr>
          <w:p/>
        </w:tc>
        <w:tc>
          <w:tcPr>
            <w:tcW w:w="1134" w:type="dxa"/>
            <w:tcBorders>
              <w:top w:val="nil"/>
            </w:tcBorders>
            <w:vAlign w:val="center"/>
          </w:tcPr>
          <w:p/>
        </w:tc>
        <w:tc>
          <w:tcPr>
            <w:tcW w:w="1134" w:type="dxa"/>
            <w:tcBorders>
              <w:top w:val="nil"/>
            </w:tcBorders>
            <w:vAlign w:val="center"/>
          </w:tcPr>
          <w:p/>
        </w:tc>
        <w:tc>
          <w:tcPr>
            <w:tcW w:w="4252"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Layout w:type="fixed"/>
          <w:tblCellMar>
            <w:top w:w="0" w:type="dxa"/>
            <w:left w:w="28" w:type="dxa"/>
            <w:bottom w:w="0" w:type="dxa"/>
            <w:right w:w="28" w:type="dxa"/>
          </w:tblCellMar>
        </w:tblPrEx>
        <w:trPr>
          <w:jc w:val="center"/>
        </w:trPr>
        <w:tc>
          <w:tcPr>
            <w:tcW w:w="1871" w:type="dxa"/>
            <w:tcBorders>
              <w:top w:val="nil"/>
              <w:bottom w:val="nil"/>
            </w:tcBorders>
            <w:vAlign w:val="center"/>
          </w:tcPr>
          <w:p>
            <w:r>
              <w:t>其他人员</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项目经理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项目副经理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技术负责人</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造价管理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质量管理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材料管理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计划管理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安全管理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r>
              <w:t>其他人员</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tc>
        <w:tc>
          <w:tcPr>
            <w:tcW w:w="1418" w:type="dxa"/>
            <w:tcBorders>
              <w:bottom w:val="nil"/>
            </w:tcBorders>
            <w:vAlign w:val="center"/>
          </w:tcPr>
          <w:p/>
        </w:tc>
        <w:tc>
          <w:tcPr>
            <w:tcW w:w="1134" w:type="dxa"/>
            <w:tcBorders>
              <w:bottom w:val="nil"/>
            </w:tcBorders>
            <w:vAlign w:val="center"/>
          </w:tcPr>
          <w:p/>
        </w:tc>
        <w:tc>
          <w:tcPr>
            <w:tcW w:w="1134" w:type="dxa"/>
            <w:tcBorders>
              <w:bottom w:val="nil"/>
            </w:tcBorders>
            <w:vAlign w:val="center"/>
          </w:tcPr>
          <w:p/>
        </w:tc>
        <w:tc>
          <w:tcPr>
            <w:tcW w:w="4252" w:type="dxa"/>
            <w:tcBorders>
              <w:bottom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Layout w:type="fixed"/>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Layout w:type="fixed"/>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tc>
        <w:tc>
          <w:tcPr>
            <w:tcW w:w="1418" w:type="dxa"/>
            <w:tcBorders>
              <w:bottom w:val="single" w:color="auto" w:sz="12" w:space="0"/>
            </w:tcBorders>
            <w:vAlign w:val="center"/>
          </w:tcPr>
          <w:p/>
        </w:tc>
        <w:tc>
          <w:tcPr>
            <w:tcW w:w="1134" w:type="dxa"/>
            <w:tcBorders>
              <w:bottom w:val="single" w:color="auto" w:sz="12" w:space="0"/>
            </w:tcBorders>
            <w:vAlign w:val="center"/>
          </w:tcPr>
          <w:p/>
        </w:tc>
        <w:tc>
          <w:tcPr>
            <w:tcW w:w="1134" w:type="dxa"/>
            <w:tcBorders>
              <w:bottom w:val="single" w:color="auto" w:sz="12" w:space="0"/>
            </w:tcBorders>
            <w:vAlign w:val="center"/>
          </w:tcPr>
          <w:p/>
        </w:tc>
        <w:tc>
          <w:tcPr>
            <w:tcW w:w="4252" w:type="dxa"/>
            <w:tcBorders>
              <w:bottom w:val="single" w:color="auto" w:sz="12" w:space="0"/>
            </w:tcBorders>
            <w:vAlign w:val="center"/>
          </w:tcPr>
          <w:p/>
        </w:tc>
      </w:tr>
    </w:tbl>
    <w:p>
      <w:r>
        <w:br w:type="page"/>
      </w:r>
      <w:bookmarkStart w:id="1131" w:name="_Toc29439"/>
      <w:bookmarkStart w:id="1132" w:name="_Toc17179"/>
      <w:r>
        <w:t>附</w:t>
      </w:r>
      <w:bookmarkStart w:id="1133" w:name="_Toc296891057"/>
      <w:bookmarkStart w:id="1134" w:name="_Toc296503229"/>
      <w:bookmarkStart w:id="1135" w:name="_Toc296891269"/>
      <w:bookmarkStart w:id="1136" w:name="_Toc296347228"/>
      <w:bookmarkStart w:id="1137" w:name="_Toc296346730"/>
      <w:bookmarkStart w:id="1138" w:name="_Toc296944568"/>
      <w:r>
        <w:t>件7：</w:t>
      </w:r>
      <w:bookmarkEnd w:id="1131"/>
      <w:bookmarkEnd w:id="1132"/>
    </w:p>
    <w:bookmarkEnd w:id="1133"/>
    <w:bookmarkEnd w:id="1134"/>
    <w:bookmarkEnd w:id="1135"/>
    <w:bookmarkEnd w:id="1136"/>
    <w:bookmarkEnd w:id="1137"/>
    <w:bookmarkEnd w:id="1138"/>
    <w:p>
      <w:r>
        <w:t>分包人主要施工管理人员表</w:t>
      </w:r>
    </w:p>
    <w:tbl>
      <w:tblPr>
        <w:tblStyle w:val="42"/>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r>
              <w:t>名    称</w:t>
            </w:r>
          </w:p>
        </w:tc>
        <w:tc>
          <w:tcPr>
            <w:tcW w:w="1418" w:type="dxa"/>
            <w:tcBorders>
              <w:top w:val="single" w:color="auto" w:sz="12" w:space="0"/>
              <w:bottom w:val="double" w:color="auto" w:sz="6" w:space="0"/>
            </w:tcBorders>
            <w:vAlign w:val="center"/>
          </w:tcPr>
          <w:p>
            <w:r>
              <w:t>姓名</w:t>
            </w:r>
          </w:p>
        </w:tc>
        <w:tc>
          <w:tcPr>
            <w:tcW w:w="1134" w:type="dxa"/>
            <w:tcBorders>
              <w:top w:val="single" w:color="auto" w:sz="12" w:space="0"/>
              <w:bottom w:val="double" w:color="auto" w:sz="6" w:space="0"/>
            </w:tcBorders>
            <w:vAlign w:val="center"/>
          </w:tcPr>
          <w:p>
            <w:r>
              <w:t>职务</w:t>
            </w:r>
          </w:p>
        </w:tc>
        <w:tc>
          <w:tcPr>
            <w:tcW w:w="1134" w:type="dxa"/>
            <w:tcBorders>
              <w:top w:val="single" w:color="auto" w:sz="12" w:space="0"/>
              <w:bottom w:val="double" w:color="auto" w:sz="6" w:space="0"/>
            </w:tcBorders>
            <w:vAlign w:val="center"/>
          </w:tcPr>
          <w:p>
            <w:r>
              <w:t>职称</w:t>
            </w:r>
          </w:p>
        </w:tc>
        <w:tc>
          <w:tcPr>
            <w:tcW w:w="4252" w:type="dxa"/>
            <w:tcBorders>
              <w:top w:val="single" w:color="auto" w:sz="12" w:space="0"/>
              <w:bottom w:val="double" w:color="auto" w:sz="6" w:space="0"/>
            </w:tcBorders>
            <w:vAlign w:val="center"/>
          </w:tcPr>
          <w:p>
            <w: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r>
              <w:t>项目主管</w:t>
            </w:r>
          </w:p>
        </w:tc>
        <w:tc>
          <w:tcPr>
            <w:tcW w:w="1418" w:type="dxa"/>
            <w:tcBorders>
              <w:top w:val="nil"/>
            </w:tcBorders>
            <w:vAlign w:val="center"/>
          </w:tcPr>
          <w:p/>
        </w:tc>
        <w:tc>
          <w:tcPr>
            <w:tcW w:w="1134" w:type="dxa"/>
            <w:tcBorders>
              <w:top w:val="nil"/>
            </w:tcBorders>
            <w:vAlign w:val="center"/>
          </w:tcPr>
          <w:p/>
        </w:tc>
        <w:tc>
          <w:tcPr>
            <w:tcW w:w="1134" w:type="dxa"/>
            <w:tcBorders>
              <w:top w:val="nil"/>
            </w:tcBorders>
            <w:vAlign w:val="center"/>
          </w:tcPr>
          <w:p/>
        </w:tc>
        <w:tc>
          <w:tcPr>
            <w:tcW w:w="4252"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r>
              <w:t>其他人员</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项目经理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项目副经理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技术负责人</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造价管理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质量管理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材料管理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计划管理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r>
              <w:t>安全管理</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r>
              <w:t>其他人员</w:t>
            </w: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tc>
        <w:tc>
          <w:tcPr>
            <w:tcW w:w="1418" w:type="dxa"/>
            <w:tcBorders>
              <w:bottom w:val="nil"/>
            </w:tcBorders>
            <w:vAlign w:val="center"/>
          </w:tcPr>
          <w:p/>
        </w:tc>
        <w:tc>
          <w:tcPr>
            <w:tcW w:w="1134" w:type="dxa"/>
            <w:tcBorders>
              <w:bottom w:val="nil"/>
            </w:tcBorders>
            <w:vAlign w:val="center"/>
          </w:tcPr>
          <w:p/>
        </w:tc>
        <w:tc>
          <w:tcPr>
            <w:tcW w:w="1134" w:type="dxa"/>
            <w:tcBorders>
              <w:bottom w:val="nil"/>
            </w:tcBorders>
            <w:vAlign w:val="center"/>
          </w:tcPr>
          <w:p/>
        </w:tc>
        <w:tc>
          <w:tcPr>
            <w:tcW w:w="4252" w:type="dxa"/>
            <w:tcBorders>
              <w:bottom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tc>
        <w:tc>
          <w:tcPr>
            <w:tcW w:w="1134" w:type="dxa"/>
            <w:vAlign w:val="center"/>
          </w:tcPr>
          <w:p/>
        </w:tc>
        <w:tc>
          <w:tcPr>
            <w:tcW w:w="1134" w:type="dxa"/>
            <w:vAlign w:val="center"/>
          </w:tcPr>
          <w:p/>
        </w:tc>
        <w:tc>
          <w:tcPr>
            <w:tcW w:w="425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tc>
        <w:tc>
          <w:tcPr>
            <w:tcW w:w="1418" w:type="dxa"/>
            <w:tcBorders>
              <w:bottom w:val="single" w:color="auto" w:sz="12" w:space="0"/>
            </w:tcBorders>
            <w:vAlign w:val="center"/>
          </w:tcPr>
          <w:p/>
        </w:tc>
        <w:tc>
          <w:tcPr>
            <w:tcW w:w="1134" w:type="dxa"/>
            <w:tcBorders>
              <w:bottom w:val="single" w:color="auto" w:sz="12" w:space="0"/>
            </w:tcBorders>
            <w:vAlign w:val="center"/>
          </w:tcPr>
          <w:p/>
        </w:tc>
        <w:tc>
          <w:tcPr>
            <w:tcW w:w="1134" w:type="dxa"/>
            <w:tcBorders>
              <w:bottom w:val="single" w:color="auto" w:sz="12" w:space="0"/>
            </w:tcBorders>
            <w:vAlign w:val="center"/>
          </w:tcPr>
          <w:p/>
        </w:tc>
        <w:tc>
          <w:tcPr>
            <w:tcW w:w="4252" w:type="dxa"/>
            <w:tcBorders>
              <w:bottom w:val="single" w:color="auto" w:sz="12" w:space="0"/>
            </w:tcBorders>
            <w:vAlign w:val="center"/>
          </w:tcPr>
          <w:p/>
        </w:tc>
      </w:tr>
    </w:tbl>
    <w:p>
      <w:r>
        <w:br w:type="page"/>
      </w:r>
      <w:bookmarkStart w:id="1139" w:name="_Toc17910"/>
      <w:bookmarkStart w:id="1140" w:name="_Toc6321"/>
      <w:bookmarkStart w:id="1141" w:name="_Toc267261701"/>
      <w:r>
        <w:t>附</w:t>
      </w:r>
      <w:bookmarkStart w:id="1142" w:name="_Toc296346732"/>
      <w:bookmarkStart w:id="1143" w:name="_Toc296503231"/>
      <w:bookmarkStart w:id="1144" w:name="_Toc296891271"/>
      <w:bookmarkStart w:id="1145" w:name="_Toc296891059"/>
      <w:bookmarkStart w:id="1146" w:name="_Toc296944570"/>
      <w:bookmarkStart w:id="1147" w:name="_Toc296347230"/>
      <w:r>
        <w:t>件8：</w:t>
      </w:r>
      <w:bookmarkEnd w:id="1139"/>
      <w:bookmarkEnd w:id="1140"/>
    </w:p>
    <w:bookmarkEnd w:id="1141"/>
    <w:bookmarkEnd w:id="1142"/>
    <w:bookmarkEnd w:id="1143"/>
    <w:bookmarkEnd w:id="1144"/>
    <w:bookmarkEnd w:id="1145"/>
    <w:bookmarkEnd w:id="1146"/>
    <w:bookmarkEnd w:id="1147"/>
    <w:p>
      <w:r>
        <w:t>履约担保</w:t>
      </w:r>
    </w:p>
    <w:p>
      <w:r>
        <w:t xml:space="preserve">             </w:t>
      </w:r>
      <w:r>
        <w:tab/>
      </w:r>
      <w:r>
        <w:t>（发包人名称）：</w:t>
      </w:r>
    </w:p>
    <w:p/>
    <w:p>
      <w:r>
        <w:t>鉴于                （发包人名称，以下简称“发包人”）与</w:t>
      </w:r>
    </w:p>
    <w:p>
      <w:r>
        <w:t xml:space="preserve">                            （承包人名称）（以下称“承包人”）于    年   月   日就                         （工程名称）施工及有关事项协商一致共同签订《建设工程施工合同》。我方愿意无条件地、不可撤销地就承包人履行与你方签订的合同，向你方提供连带责任担保。 </w:t>
      </w:r>
    </w:p>
    <w:p>
      <w:r>
        <w:t>1. 担保金额人民币（大写）                 元（¥             ）。</w:t>
      </w:r>
    </w:p>
    <w:p>
      <w:r>
        <w:t>2. 担保有效期自你方与承包人签订的合同生效之日起至你方签发或应签发工程接收证书之日止。</w:t>
      </w:r>
    </w:p>
    <w:p>
      <w:r>
        <w:t>3. 在本担保有效期内，因承包人违反合同约定的义务给你方造成经济损失时，我方在收到你方以书面形式提出的在担保金额内的赔偿要求后，在7天内无条件支付。</w:t>
      </w:r>
    </w:p>
    <w:p>
      <w:r>
        <w:t>4. 你方和承包人按合同约定变更合同时，我方承担本担保规定的义务不变。</w:t>
      </w:r>
    </w:p>
    <w:p>
      <w:r>
        <w:t>5. 因本保函发生的纠纷，可由双方协商解决，协商不成的，任何一方均可提请        仲裁委员会仲裁。</w:t>
      </w:r>
    </w:p>
    <w:p>
      <w:r>
        <w:t>6. 本保函自我方法定代表人（或其授权代理人）签字并加盖公章之日起生效。</w:t>
      </w:r>
    </w:p>
    <w:p/>
    <w:p>
      <w:r>
        <w:t xml:space="preserve">担 保 人：             </w:t>
      </w:r>
      <w:r>
        <w:rPr>
          <w:rFonts w:hint="eastAsia"/>
        </w:rPr>
        <w:t xml:space="preserve"> </w:t>
      </w:r>
      <w:r>
        <w:t xml:space="preserve">   </w:t>
      </w:r>
      <w:r>
        <w:rPr>
          <w:rFonts w:hint="eastAsia"/>
        </w:rPr>
        <w:t xml:space="preserve">  </w:t>
      </w:r>
      <w:r>
        <w:t xml:space="preserve">        （盖单位章）</w:t>
      </w:r>
    </w:p>
    <w:p>
      <w:r>
        <w:t xml:space="preserve">法定代表人或其委托代理人：    </w:t>
      </w:r>
      <w:r>
        <w:rPr>
          <w:rFonts w:hint="eastAsia"/>
        </w:rPr>
        <w:t xml:space="preserve">  </w:t>
      </w:r>
      <w:r>
        <w:t xml:space="preserve">  </w:t>
      </w:r>
      <w:r>
        <w:rPr>
          <w:rFonts w:hint="eastAsia"/>
        </w:rPr>
        <w:t xml:space="preserve"> </w:t>
      </w:r>
      <w:r>
        <w:t xml:space="preserve">      （签字）</w:t>
      </w:r>
    </w:p>
    <w:p>
      <w:r>
        <w:t xml:space="preserve">地    址：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邮政编码：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电    话：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
        <w:t xml:space="preserve">传    真：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p>
      <w:r>
        <w:t xml:space="preserve">             </w:t>
      </w:r>
      <w:r>
        <w:rPr>
          <w:rFonts w:hint="eastAsia"/>
        </w:rPr>
        <w:t xml:space="preserve">  </w:t>
      </w:r>
      <w:r>
        <w:t xml:space="preserve">           年        月        日</w:t>
      </w:r>
    </w:p>
    <w:p/>
    <w:p/>
    <w:p/>
    <w:p>
      <w:bookmarkStart w:id="1148" w:name="_Toc23326"/>
      <w:bookmarkStart w:id="1149" w:name="_Toc30381"/>
      <w:r>
        <w:t>附</w:t>
      </w:r>
      <w:bookmarkStart w:id="1150" w:name="_Toc296347231"/>
      <w:bookmarkStart w:id="1151" w:name="_Toc296503232"/>
      <w:bookmarkStart w:id="1152" w:name="_Toc267261702"/>
      <w:bookmarkStart w:id="1153" w:name="_Toc296346733"/>
      <w:bookmarkStart w:id="1154" w:name="_Toc296891060"/>
      <w:bookmarkStart w:id="1155" w:name="_Toc296944571"/>
      <w:bookmarkStart w:id="1156" w:name="_Toc296891272"/>
      <w:r>
        <w:t>件9 ：</w:t>
      </w:r>
      <w:bookmarkEnd w:id="1148"/>
      <w:bookmarkEnd w:id="1149"/>
    </w:p>
    <w:bookmarkEnd w:id="1150"/>
    <w:bookmarkEnd w:id="1151"/>
    <w:bookmarkEnd w:id="1152"/>
    <w:bookmarkEnd w:id="1153"/>
    <w:bookmarkEnd w:id="1154"/>
    <w:bookmarkEnd w:id="1155"/>
    <w:bookmarkEnd w:id="1156"/>
    <w:p>
      <w:r>
        <w:t>预付款担保</w:t>
      </w:r>
    </w:p>
    <w:p>
      <w:r>
        <w:t xml:space="preserve">            </w:t>
      </w:r>
      <w:r>
        <w:tab/>
      </w:r>
      <w:r>
        <w:tab/>
      </w:r>
      <w:r>
        <w:t xml:space="preserve">  （发包人名称）：</w:t>
      </w:r>
    </w:p>
    <w:p/>
    <w:p>
      <w:r>
        <w:t>根据                 （承包人名称）（以下称</w:t>
      </w:r>
      <w:r>
        <w:rPr>
          <w:rFonts w:hint="eastAsia"/>
        </w:rPr>
        <w:t>“</w:t>
      </w:r>
      <w:r>
        <w:t>承包人</w:t>
      </w:r>
      <w:r>
        <w:rPr>
          <w:rFonts w:hint="eastAsia"/>
        </w:rPr>
        <w:t>”</w:t>
      </w:r>
      <w:r>
        <w:t>）与</w:t>
      </w:r>
    </w:p>
    <w:p>
      <w:r>
        <w:t xml:space="preserve">                        （发包人名称）（以下简称</w:t>
      </w:r>
      <w:r>
        <w:rPr>
          <w:rFonts w:hint="eastAsia"/>
        </w:rPr>
        <w:t>“</w:t>
      </w:r>
      <w:r>
        <w:t>发包人</w:t>
      </w:r>
      <w:r>
        <w:rPr>
          <w:rFonts w:hint="eastAsia"/>
        </w:rPr>
        <w:t>”</w:t>
      </w:r>
      <w:r>
        <w:t>）</w:t>
      </w:r>
    </w:p>
    <w:p>
      <w:r>
        <w:t>于     年    月    日签订的                   （工程名称）《建设工程施工合同》，承包人按约定的金额向</w:t>
      </w:r>
      <w:r>
        <w:rPr>
          <w:rFonts w:hint="eastAsia"/>
        </w:rPr>
        <w:t>你方</w:t>
      </w:r>
      <w:r>
        <w:t>提交一份预付款担保，即有权得到</w:t>
      </w:r>
      <w:r>
        <w:rPr>
          <w:rFonts w:hint="eastAsia"/>
        </w:rPr>
        <w:t>你方</w:t>
      </w:r>
      <w:r>
        <w:t>支付相等金额的预付款。我方愿意就你方提供给承包人的预付款</w:t>
      </w:r>
      <w:r>
        <w:rPr>
          <w:rFonts w:hint="eastAsia"/>
        </w:rPr>
        <w:t>为承包人</w:t>
      </w:r>
      <w:r>
        <w:t>提供连带责任担保。</w:t>
      </w:r>
    </w:p>
    <w:p>
      <w:r>
        <w:rPr>
          <w:rFonts w:hint="eastAsia"/>
        </w:rPr>
        <w:t xml:space="preserve">1. </w:t>
      </w:r>
      <w:r>
        <w:t xml:space="preserve">担保金额人民币（大写）                </w:t>
      </w:r>
      <w:r>
        <w:rPr>
          <w:rFonts w:hint="eastAsia"/>
        </w:rPr>
        <w:t>元</w:t>
      </w:r>
      <w:r>
        <w:t>（¥             ）。</w:t>
      </w:r>
    </w:p>
    <w:p>
      <w:r>
        <w:rPr>
          <w:rFonts w:hint="eastAsia"/>
        </w:rPr>
        <w:t xml:space="preserve">2. </w:t>
      </w:r>
      <w:r>
        <w:t>担保有效期自预付款支付给承包人起生效，至</w:t>
      </w:r>
      <w:r>
        <w:rPr>
          <w:rFonts w:hint="eastAsia"/>
        </w:rPr>
        <w:t>你方</w:t>
      </w:r>
      <w:r>
        <w:t>签发的</w:t>
      </w:r>
      <w:r>
        <w:rPr>
          <w:rFonts w:hint="eastAsia"/>
        </w:rPr>
        <w:t>进</w:t>
      </w:r>
      <w:r>
        <w:t>度款支付证书说明已完全扣清止。</w:t>
      </w:r>
    </w:p>
    <w:p>
      <w:r>
        <w:rPr>
          <w:rFonts w:hint="eastAsia"/>
        </w:rPr>
        <w:t xml:space="preserve">3. </w:t>
      </w:r>
      <w:r>
        <w:t>在本保函有效期内，因承包人违反合同约定的义务而要求</w:t>
      </w:r>
      <w:r>
        <w:rPr>
          <w:rFonts w:hint="eastAsia"/>
        </w:rPr>
        <w:t>收</w:t>
      </w:r>
      <w:r>
        <w:t>回预付款时，我方在收到你方的书面通知后，在７天内无条件支付。但本保函的担保金额，在任何时候不应超过预付款金额减去</w:t>
      </w:r>
      <w:r>
        <w:rPr>
          <w:rFonts w:hint="eastAsia"/>
        </w:rPr>
        <w:t>你方</w:t>
      </w:r>
      <w:r>
        <w:t>按合同约定在向承包人签发的进度款支付证书中扣除的金额。</w:t>
      </w:r>
    </w:p>
    <w:p>
      <w:r>
        <w:rPr>
          <w:rFonts w:hint="eastAsia"/>
        </w:rPr>
        <w:t>4. 你方</w:t>
      </w:r>
      <w:r>
        <w:t>和承包人按合同约定变更合同时，我方承担本保函规定的义务不变。</w:t>
      </w:r>
    </w:p>
    <w:p>
      <w:r>
        <w:rPr>
          <w:rFonts w:hint="eastAsia"/>
        </w:rPr>
        <w:t xml:space="preserve">5. </w:t>
      </w:r>
      <w:r>
        <w:t>因本保函发生的纠纷，可由双方协商解决，协商不成的，任何一方均可提请        仲裁委员会仲裁。</w:t>
      </w:r>
    </w:p>
    <w:p>
      <w:r>
        <w:rPr>
          <w:rFonts w:hint="eastAsia"/>
        </w:rPr>
        <w:t xml:space="preserve">6. </w:t>
      </w:r>
      <w:r>
        <w:t>本保函自我方法定代表人（或其授权代理人）签字并加盖公章之日起生效。</w:t>
      </w:r>
    </w:p>
    <w:p/>
    <w:p/>
    <w:p>
      <w:r>
        <w:t xml:space="preserve">担保人：      </w:t>
      </w:r>
      <w:r>
        <w:rPr>
          <w:rFonts w:hint="eastAsia"/>
        </w:rPr>
        <w:t xml:space="preserve">          </w:t>
      </w:r>
      <w:r>
        <w:t xml:space="preserve">          （盖单位章）</w:t>
      </w:r>
    </w:p>
    <w:p>
      <w:r>
        <w:t xml:space="preserve">法定代表人或其委托代理人：    </w:t>
      </w:r>
      <w:r>
        <w:rPr>
          <w:rFonts w:hint="eastAsia"/>
        </w:rPr>
        <w:t xml:space="preserve">       </w:t>
      </w:r>
      <w:r>
        <w:t xml:space="preserve"> （签字）</w:t>
      </w:r>
    </w:p>
    <w:p>
      <w:r>
        <w:t>地    址：</w:t>
      </w:r>
      <w:r>
        <w:tab/>
      </w:r>
      <w:r>
        <w:tab/>
      </w:r>
      <w:r>
        <w:rPr>
          <w:rFonts w:hint="eastAsia"/>
        </w:rPr>
        <w:t xml:space="preserve">  </w:t>
      </w:r>
      <w:r>
        <w:tab/>
      </w:r>
      <w:r>
        <w:tab/>
      </w:r>
      <w:r>
        <w:rPr>
          <w:rFonts w:hint="eastAsia"/>
        </w:rPr>
        <w:t xml:space="preserve">                   </w:t>
      </w:r>
      <w:r>
        <w:tab/>
      </w:r>
      <w:r>
        <w:tab/>
      </w:r>
      <w:r>
        <w:tab/>
      </w:r>
    </w:p>
    <w:p>
      <w:r>
        <w:t>邮政编码：</w:t>
      </w:r>
      <w:r>
        <w:tab/>
      </w:r>
      <w:r>
        <w:tab/>
      </w:r>
      <w:r>
        <w:rPr>
          <w:rFonts w:hint="eastAsia"/>
        </w:rPr>
        <w:t xml:space="preserve">  </w:t>
      </w:r>
      <w:r>
        <w:tab/>
      </w:r>
      <w:r>
        <w:tab/>
      </w:r>
      <w:r>
        <w:rPr>
          <w:rFonts w:hint="eastAsia"/>
        </w:rPr>
        <w:t xml:space="preserve">                   </w:t>
      </w:r>
      <w:r>
        <w:tab/>
      </w:r>
      <w:r>
        <w:tab/>
      </w:r>
      <w:r>
        <w:tab/>
      </w:r>
    </w:p>
    <w:p>
      <w:r>
        <w:t>电    话：</w:t>
      </w:r>
      <w:r>
        <w:tab/>
      </w:r>
      <w:r>
        <w:tab/>
      </w:r>
      <w:r>
        <w:rPr>
          <w:rFonts w:hint="eastAsia"/>
        </w:rPr>
        <w:t xml:space="preserve">  </w:t>
      </w:r>
      <w:r>
        <w:tab/>
      </w:r>
      <w:r>
        <w:tab/>
      </w:r>
      <w:r>
        <w:rPr>
          <w:rFonts w:hint="eastAsia"/>
        </w:rPr>
        <w:t xml:space="preserve">                   </w:t>
      </w:r>
      <w:r>
        <w:tab/>
      </w:r>
      <w:r>
        <w:tab/>
      </w:r>
      <w:r>
        <w:tab/>
      </w:r>
    </w:p>
    <w:p>
      <w:r>
        <w:t>传    真：</w:t>
      </w:r>
      <w:r>
        <w:tab/>
      </w:r>
      <w:r>
        <w:tab/>
      </w:r>
      <w:r>
        <w:rPr>
          <w:rFonts w:hint="eastAsia"/>
        </w:rPr>
        <w:t xml:space="preserve">  </w:t>
      </w:r>
      <w:r>
        <w:tab/>
      </w:r>
      <w:r>
        <w:tab/>
      </w:r>
      <w:r>
        <w:rPr>
          <w:rFonts w:hint="eastAsia"/>
        </w:rPr>
        <w:t xml:space="preserve">                   </w:t>
      </w:r>
      <w:r>
        <w:tab/>
      </w:r>
      <w:r>
        <w:tab/>
      </w:r>
      <w:r>
        <w:tab/>
      </w:r>
    </w:p>
    <w:p>
      <w:r>
        <w:t xml:space="preserve">  </w:t>
      </w:r>
    </w:p>
    <w:p/>
    <w:p>
      <w:r>
        <w:t xml:space="preserve">                           年      月      日</w:t>
      </w:r>
    </w:p>
    <w:p>
      <w:bookmarkStart w:id="1157" w:name="_Toc14434"/>
      <w:bookmarkStart w:id="1158" w:name="_Toc17338"/>
      <w:r>
        <w:t>附</w:t>
      </w:r>
      <w:bookmarkStart w:id="1159" w:name="_Toc296503233"/>
      <w:bookmarkStart w:id="1160" w:name="_Toc296891061"/>
      <w:bookmarkStart w:id="1161" w:name="_Toc296347232"/>
      <w:bookmarkStart w:id="1162" w:name="_Toc296346734"/>
      <w:bookmarkStart w:id="1163" w:name="_Toc296891273"/>
      <w:bookmarkStart w:id="1164" w:name="_Toc296944572"/>
      <w:r>
        <w:t>件10:</w:t>
      </w:r>
      <w:bookmarkEnd w:id="1157"/>
      <w:bookmarkEnd w:id="1158"/>
      <w:r>
        <w:t xml:space="preserve">  </w:t>
      </w:r>
    </w:p>
    <w:bookmarkEnd w:id="1159"/>
    <w:bookmarkEnd w:id="1160"/>
    <w:bookmarkEnd w:id="1161"/>
    <w:bookmarkEnd w:id="1162"/>
    <w:bookmarkEnd w:id="1163"/>
    <w:bookmarkEnd w:id="1164"/>
    <w:p>
      <w:r>
        <w:t>支付担保</w:t>
      </w:r>
    </w:p>
    <w:p>
      <w:r>
        <w:t xml:space="preserve">             （承包人）：</w:t>
      </w:r>
    </w:p>
    <w:p/>
    <w:p>
      <w:r>
        <w:t>鉴于你方作为承包人已经与             （发包人名称）（以下称</w:t>
      </w:r>
      <w:r>
        <w:rPr>
          <w:rFonts w:hint="eastAsia"/>
        </w:rPr>
        <w:t>“</w:t>
      </w:r>
      <w:r>
        <w:t>发包人</w:t>
      </w:r>
      <w:r>
        <w:rPr>
          <w:rFonts w:hint="eastAsia"/>
        </w:rPr>
        <w:t>”</w:t>
      </w:r>
      <w:r>
        <w:t>）于   年   月    日签订了             （工程名称）《建设工程施工合同》（以下称</w:t>
      </w:r>
      <w:r>
        <w:rPr>
          <w:rFonts w:hint="eastAsia"/>
        </w:rPr>
        <w:t>“</w:t>
      </w:r>
      <w:r>
        <w:t>主合同</w:t>
      </w:r>
      <w:r>
        <w:rPr>
          <w:rFonts w:hint="eastAsia"/>
        </w:rPr>
        <w:t>”</w:t>
      </w:r>
      <w:r>
        <w:t>），应发包人的申请，我方愿就发包人履行主合同约定的工程款支付义务以保证的方式向你方提供如下担保：</w:t>
      </w:r>
    </w:p>
    <w:p>
      <w:r>
        <w:t>一、保证的范围及保证金额</w:t>
      </w:r>
    </w:p>
    <w:p>
      <w:r>
        <w:rPr>
          <w:rFonts w:hint="eastAsia"/>
        </w:rPr>
        <w:t xml:space="preserve">1. </w:t>
      </w:r>
      <w:r>
        <w:t>我方的保证范围是主合同约定的工程款。</w:t>
      </w:r>
    </w:p>
    <w:p>
      <w:r>
        <w:rPr>
          <w:rFonts w:hint="eastAsia"/>
        </w:rPr>
        <w:t xml:space="preserve">2. </w:t>
      </w:r>
      <w:r>
        <w:t>本保函所称主合同约定的工程款是指主合同约定的除工程质量保证金以外的合同价款。</w:t>
      </w:r>
    </w:p>
    <w:p>
      <w:r>
        <w:rPr>
          <w:rFonts w:hint="eastAsia"/>
        </w:rPr>
        <w:t xml:space="preserve">3. </w:t>
      </w:r>
      <w:r>
        <w:t>我方保证的金额是主合同约定的工程款的      %，数额最高不超过人民币元（大写：        ）。</w:t>
      </w:r>
    </w:p>
    <w:p>
      <w:r>
        <w:t>二、保证的方式及保证期间</w:t>
      </w:r>
    </w:p>
    <w:p>
      <w:r>
        <w:rPr>
          <w:rFonts w:hint="eastAsia"/>
        </w:rPr>
        <w:t xml:space="preserve">1. </w:t>
      </w:r>
      <w:r>
        <w:t>我方保证的方式为：连带责任保证。</w:t>
      </w:r>
    </w:p>
    <w:p>
      <w:r>
        <w:rPr>
          <w:rFonts w:hint="eastAsia"/>
        </w:rPr>
        <w:t xml:space="preserve">2. </w:t>
      </w:r>
      <w:r>
        <w:t>我方保证的期间为：自本合同生效之日起至主合同约定的工程款支付完毕之日后    日内。</w:t>
      </w:r>
    </w:p>
    <w:p>
      <w:r>
        <w:rPr>
          <w:rFonts w:hint="eastAsia"/>
        </w:rPr>
        <w:t xml:space="preserve">3. </w:t>
      </w:r>
      <w:r>
        <w:t>你方与发包人协议变更工程款支付日期的，经我方书面同意后，保证期间按照变更后的支付日期做相应调整。</w:t>
      </w:r>
    </w:p>
    <w:p>
      <w:r>
        <w:t>三、承担保证责任的形式</w:t>
      </w:r>
    </w:p>
    <w:p>
      <w:r>
        <w:t>我方承担保证责任的形式是代为支付。发包人未按主合同约定向你方支付工程款的，由我方在保证金额内代为支付。</w:t>
      </w:r>
    </w:p>
    <w:p>
      <w:r>
        <w:t>四、代偿的安排</w:t>
      </w:r>
    </w:p>
    <w:p>
      <w:r>
        <w:rPr>
          <w:rFonts w:hint="eastAsia"/>
        </w:rPr>
        <w:t xml:space="preserve">1. </w:t>
      </w:r>
      <w:r>
        <w:t>你方要求我方承担保证责任的，应向我方发出书面索赔通知及发包人未支付主合同约定工程款的证明材料。索赔通知应写明要求索赔的金额，支付款项应到达的账号。</w:t>
      </w:r>
    </w:p>
    <w:p>
      <w:r>
        <w:rPr>
          <w:rFonts w:hint="eastAsia"/>
        </w:rPr>
        <w:t xml:space="preserve">2. </w:t>
      </w:r>
      <w:r>
        <w:t>在出现你方与发包人因工程质量发生争议，发包人拒绝向你方支付工程款的情形时，你方要求我方履行保证责任代为支付的，需提供符合相应条件要求的工程质量检测机构出具的质量说明材料。</w:t>
      </w:r>
    </w:p>
    <w:p>
      <w:r>
        <w:rPr>
          <w:rFonts w:hint="eastAsia"/>
        </w:rPr>
        <w:t xml:space="preserve">3. </w:t>
      </w:r>
      <w:r>
        <w:t>我方收到你方的书面索赔通知及相应的证明材料后７天内无条件支付。</w:t>
      </w:r>
    </w:p>
    <w:p>
      <w:r>
        <w:t>五、保证责任的解除</w:t>
      </w:r>
    </w:p>
    <w:p>
      <w:r>
        <w:rPr>
          <w:rFonts w:hint="eastAsia"/>
        </w:rPr>
        <w:t xml:space="preserve">1. </w:t>
      </w:r>
      <w:r>
        <w:t>在本保函承诺的保证期间内，你方未书面向我方主张保证责任的，自保证期间届满次日起，我方保证责任解除。</w:t>
      </w:r>
    </w:p>
    <w:p>
      <w:r>
        <w:rPr>
          <w:rFonts w:hint="eastAsia"/>
        </w:rPr>
        <w:t xml:space="preserve">2. </w:t>
      </w:r>
      <w:r>
        <w:t>发包人按主合同约定履行了工程款的全部支付义务的，自本保函承诺的保证期间届满次日起，我方保证责任解除。</w:t>
      </w:r>
    </w:p>
    <w:p>
      <w:r>
        <w:rPr>
          <w:rFonts w:hint="eastAsia"/>
        </w:rPr>
        <w:t xml:space="preserve">3. </w:t>
      </w:r>
      <w:r>
        <w:t>我方按照本保函向你方履行保证责任所支付金额达到本保函保证金额时，自我方向你方支付（支付款项从我方账户划出）之日起，保证责任即解除。</w:t>
      </w:r>
    </w:p>
    <w:p>
      <w:r>
        <w:rPr>
          <w:rFonts w:hint="eastAsia"/>
        </w:rPr>
        <w:t xml:space="preserve">4. </w:t>
      </w:r>
      <w:r>
        <w:t>按照法律法规的规定或出现应解除我方保证责任的其他情形的，我方在本保函项下的保证责任亦解除。</w:t>
      </w:r>
    </w:p>
    <w:p/>
    <w:p>
      <w:r>
        <w:rPr>
          <w:rFonts w:hint="eastAsia"/>
        </w:rPr>
        <w:t xml:space="preserve">5. </w:t>
      </w:r>
      <w:r>
        <w:t>我方解除保证责任后，你方应自我方保证责任解除之日起</w:t>
      </w:r>
      <w:r>
        <w:rPr>
          <w:rFonts w:hint="eastAsia"/>
        </w:rPr>
        <w:t xml:space="preserve">  </w:t>
      </w:r>
      <w:r>
        <w:t>个工作日内，将本保函原件返还我方。</w:t>
      </w:r>
    </w:p>
    <w:p>
      <w:r>
        <w:t>六、免责条款</w:t>
      </w:r>
    </w:p>
    <w:p>
      <w:r>
        <w:rPr>
          <w:rFonts w:hint="eastAsia"/>
        </w:rPr>
        <w:t xml:space="preserve">1. </w:t>
      </w:r>
      <w:r>
        <w:t>因你方违约致使发包人不能履行义务的，我方不承担保证责任。</w:t>
      </w:r>
    </w:p>
    <w:p>
      <w:r>
        <w:rPr>
          <w:rFonts w:hint="eastAsia"/>
        </w:rPr>
        <w:t xml:space="preserve">2. </w:t>
      </w:r>
      <w:r>
        <w:t>依照法律法规的规定或你方与发包人的另行约定，免除发包人部分或全部义务的，我方亦免除其相应的保证责任。</w:t>
      </w:r>
    </w:p>
    <w:p>
      <w:r>
        <w:rPr>
          <w:rFonts w:hint="eastAsia"/>
        </w:rPr>
        <w:t xml:space="preserve">3. </w:t>
      </w:r>
      <w:r>
        <w:t>你方与发包人协议变更主合同的，如加重发包人责任致使我方保证责任加重的，需征得我方书面同意，否则我方不再承担因此而加重部分的保证责任，但主合同第10条</w:t>
      </w:r>
      <w:r>
        <w:rPr>
          <w:rFonts w:hint="eastAsia"/>
        </w:rPr>
        <w:t>〔</w:t>
      </w:r>
      <w:r>
        <w:t>变更</w:t>
      </w:r>
      <w:r>
        <w:rPr>
          <w:rFonts w:hint="eastAsia"/>
        </w:rPr>
        <w:t>〕</w:t>
      </w:r>
      <w:r>
        <w:t>约定的变更不受本款限制。</w:t>
      </w:r>
    </w:p>
    <w:p>
      <w:r>
        <w:rPr>
          <w:rFonts w:hint="eastAsia"/>
        </w:rPr>
        <w:t xml:space="preserve">4. </w:t>
      </w:r>
      <w:r>
        <w:t>因不可抗力造成发包人不能履行义务的，我方不承担保证责任。</w:t>
      </w:r>
    </w:p>
    <w:p>
      <w:r>
        <w:t>七、争议解决</w:t>
      </w:r>
    </w:p>
    <w:p>
      <w:r>
        <w:t>因本保函</w:t>
      </w:r>
      <w:r>
        <w:rPr>
          <w:rFonts w:hint="eastAsia"/>
        </w:rPr>
        <w:t>或本保函相关事项</w:t>
      </w:r>
      <w:r>
        <w:t>发生的纠纷，可由双方协商解决，协商不成的，按下列第     种方式</w:t>
      </w:r>
      <w:r>
        <w:rPr>
          <w:rFonts w:hint="eastAsia"/>
        </w:rPr>
        <w:t>解</w:t>
      </w:r>
      <w:r>
        <w:t>决：</w:t>
      </w:r>
    </w:p>
    <w:p>
      <w:r>
        <w:t>（1）向                     仲裁委员会申请仲裁；</w:t>
      </w:r>
    </w:p>
    <w:p>
      <w:r>
        <w:t>（2）向                     人民法院起诉。</w:t>
      </w:r>
    </w:p>
    <w:p>
      <w:r>
        <w:t>八、保函的生效</w:t>
      </w:r>
    </w:p>
    <w:p>
      <w:r>
        <w:t>本保函自我方法定代表人（或其授权代理人）签字并加盖公章之日起生效。</w:t>
      </w:r>
    </w:p>
    <w:p/>
    <w:p/>
    <w:p>
      <w:r>
        <w:t>担保人：                                   （盖章）</w:t>
      </w:r>
    </w:p>
    <w:p>
      <w:r>
        <w:t>法定代表人或委托代理人：                   （签字）</w:t>
      </w:r>
    </w:p>
    <w:p>
      <w:r>
        <w:t xml:space="preserve">地    址： </w:t>
      </w:r>
      <w:r>
        <w:rPr>
          <w:rFonts w:hint="eastAsia"/>
        </w:rPr>
        <w:t xml:space="preserve">       </w:t>
      </w:r>
      <w:r>
        <w:t xml:space="preserve">                        </w:t>
      </w:r>
      <w:r>
        <w:rPr>
          <w:rFonts w:hint="eastAsia"/>
        </w:rPr>
        <w:t xml:space="preserve"> </w:t>
      </w:r>
      <w:r>
        <w:t xml:space="preserve">       </w:t>
      </w:r>
    </w:p>
    <w:p>
      <w:r>
        <w:t xml:space="preserve">邮政编码：   </w:t>
      </w:r>
      <w:r>
        <w:rPr>
          <w:rFonts w:hint="eastAsia"/>
        </w:rPr>
        <w:t xml:space="preserve">        </w:t>
      </w:r>
      <w:r>
        <w:t xml:space="preserve">                             </w:t>
      </w:r>
    </w:p>
    <w:p>
      <w:r>
        <w:t xml:space="preserve">传    真：      </w:t>
      </w:r>
      <w:r>
        <w:rPr>
          <w:rFonts w:hint="eastAsia"/>
        </w:rPr>
        <w:t xml:space="preserve">        </w:t>
      </w:r>
      <w:r>
        <w:t xml:space="preserve">                          </w:t>
      </w:r>
    </w:p>
    <w:p/>
    <w:p>
      <w:r>
        <w:t xml:space="preserve">                            年      月      日</w:t>
      </w:r>
    </w:p>
    <w:p>
      <w:r>
        <w:br w:type="page"/>
      </w:r>
      <w:bookmarkStart w:id="1165" w:name="_Toc17828"/>
      <w:bookmarkStart w:id="1166" w:name="_Toc19954"/>
      <w:r>
        <w:t>附件11：</w:t>
      </w:r>
      <w:bookmarkEnd w:id="1165"/>
      <w:bookmarkEnd w:id="1166"/>
    </w:p>
    <w:p>
      <w:bookmarkStart w:id="1167" w:name="_Toc10261"/>
      <w:bookmarkStart w:id="1168" w:name="_Toc31983"/>
      <w:r>
        <w:t>11-1：材料暂估价表</w:t>
      </w:r>
      <w:bookmarkEnd w:id="1167"/>
      <w:bookmarkEnd w:id="1168"/>
    </w:p>
    <w:tbl>
      <w:tblPr>
        <w:tblStyle w:val="42"/>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vAlign w:val="top"/>
          </w:tcPr>
          <w:p>
            <w:r>
              <w:t>序号</w:t>
            </w:r>
          </w:p>
        </w:tc>
        <w:tc>
          <w:tcPr>
            <w:tcW w:w="1984" w:type="dxa"/>
            <w:tcBorders>
              <w:top w:val="single" w:color="auto" w:sz="12" w:space="0"/>
              <w:bottom w:val="double" w:color="auto" w:sz="6" w:space="0"/>
            </w:tcBorders>
            <w:vAlign w:val="top"/>
          </w:tcPr>
          <w:p>
            <w:r>
              <w:t>名称</w:t>
            </w:r>
          </w:p>
        </w:tc>
        <w:tc>
          <w:tcPr>
            <w:tcW w:w="851" w:type="dxa"/>
            <w:tcBorders>
              <w:top w:val="single" w:color="auto" w:sz="12" w:space="0"/>
              <w:bottom w:val="double" w:color="auto" w:sz="6" w:space="0"/>
            </w:tcBorders>
            <w:vAlign w:val="top"/>
          </w:tcPr>
          <w:p>
            <w:r>
              <w:t>单位</w:t>
            </w:r>
          </w:p>
        </w:tc>
        <w:tc>
          <w:tcPr>
            <w:tcW w:w="774" w:type="dxa"/>
            <w:tcBorders>
              <w:top w:val="single" w:color="auto" w:sz="12" w:space="0"/>
              <w:bottom w:val="double" w:color="auto" w:sz="6" w:space="0"/>
            </w:tcBorders>
            <w:vAlign w:val="top"/>
          </w:tcPr>
          <w:p>
            <w:r>
              <w:t>数量</w:t>
            </w:r>
          </w:p>
        </w:tc>
        <w:tc>
          <w:tcPr>
            <w:tcW w:w="1352" w:type="dxa"/>
            <w:tcBorders>
              <w:top w:val="single" w:color="auto" w:sz="12" w:space="0"/>
              <w:bottom w:val="double" w:color="auto" w:sz="6" w:space="0"/>
            </w:tcBorders>
            <w:vAlign w:val="top"/>
          </w:tcPr>
          <w:p>
            <w:r>
              <w:t>单价</w:t>
            </w:r>
            <w:r>
              <w:rPr>
                <w:rFonts w:hint="eastAsia"/>
              </w:rPr>
              <w:t>（元）</w:t>
            </w:r>
          </w:p>
        </w:tc>
        <w:tc>
          <w:tcPr>
            <w:tcW w:w="1418" w:type="dxa"/>
            <w:tcBorders>
              <w:top w:val="single" w:color="auto" w:sz="12" w:space="0"/>
              <w:bottom w:val="double" w:color="auto" w:sz="6" w:space="0"/>
            </w:tcBorders>
            <w:vAlign w:val="top"/>
          </w:tcPr>
          <w:p>
            <w:r>
              <w:t>合价</w:t>
            </w:r>
            <w:r>
              <w:rPr>
                <w:rFonts w:hint="eastAsia"/>
              </w:rPr>
              <w:t>（元）</w:t>
            </w:r>
          </w:p>
        </w:tc>
        <w:tc>
          <w:tcPr>
            <w:tcW w:w="1701" w:type="dxa"/>
            <w:tcBorders>
              <w:top w:val="single" w:color="auto" w:sz="12" w:space="0"/>
              <w:bottom w:val="double" w:color="auto" w:sz="6" w:space="0"/>
            </w:tcBorders>
            <w:vAlign w:val="top"/>
          </w:tcPr>
          <w:p>
            <w: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vAlign w:val="top"/>
          </w:tcPr>
          <w:p/>
        </w:tc>
        <w:tc>
          <w:tcPr>
            <w:tcW w:w="1984" w:type="dxa"/>
            <w:tcBorders>
              <w:top w:val="double" w:color="auto" w:sz="6" w:space="0"/>
              <w:bottom w:val="single" w:color="auto" w:sz="6" w:space="0"/>
            </w:tcBorders>
            <w:vAlign w:val="top"/>
          </w:tcPr>
          <w:p/>
        </w:tc>
        <w:tc>
          <w:tcPr>
            <w:tcW w:w="851" w:type="dxa"/>
            <w:tcBorders>
              <w:top w:val="double" w:color="auto" w:sz="6" w:space="0"/>
              <w:bottom w:val="single" w:color="auto" w:sz="6" w:space="0"/>
            </w:tcBorders>
            <w:vAlign w:val="top"/>
          </w:tcPr>
          <w:p/>
        </w:tc>
        <w:tc>
          <w:tcPr>
            <w:tcW w:w="774" w:type="dxa"/>
            <w:tcBorders>
              <w:top w:val="double" w:color="auto" w:sz="6" w:space="0"/>
              <w:bottom w:val="single" w:color="auto" w:sz="6" w:space="0"/>
            </w:tcBorders>
            <w:vAlign w:val="top"/>
          </w:tcPr>
          <w:p/>
        </w:tc>
        <w:tc>
          <w:tcPr>
            <w:tcW w:w="1352" w:type="dxa"/>
            <w:tcBorders>
              <w:top w:val="double" w:color="auto" w:sz="6" w:space="0"/>
              <w:bottom w:val="single" w:color="auto" w:sz="6" w:space="0"/>
            </w:tcBorders>
            <w:vAlign w:val="top"/>
          </w:tcPr>
          <w:p/>
        </w:tc>
        <w:tc>
          <w:tcPr>
            <w:tcW w:w="1418" w:type="dxa"/>
            <w:tcBorders>
              <w:top w:val="double" w:color="auto" w:sz="6" w:space="0"/>
              <w:bottom w:val="single" w:color="auto" w:sz="6" w:space="0"/>
            </w:tcBorders>
            <w:vAlign w:val="top"/>
          </w:tcPr>
          <w:p/>
        </w:tc>
        <w:tc>
          <w:tcPr>
            <w:tcW w:w="1701" w:type="dxa"/>
            <w:tcBorders>
              <w:top w:val="double" w:color="auto" w:sz="6" w:space="0"/>
              <w:bottom w:val="single" w:color="auto" w:sz="6" w:space="0"/>
            </w:tcBorders>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vAlign w:val="top"/>
          </w:tcPr>
          <w:p/>
        </w:tc>
        <w:tc>
          <w:tcPr>
            <w:tcW w:w="1984" w:type="dxa"/>
            <w:tcBorders>
              <w:top w:val="nil"/>
            </w:tcBorders>
            <w:vAlign w:val="top"/>
          </w:tcPr>
          <w:p/>
        </w:tc>
        <w:tc>
          <w:tcPr>
            <w:tcW w:w="851" w:type="dxa"/>
            <w:tcBorders>
              <w:top w:val="nil"/>
            </w:tcBorders>
            <w:vAlign w:val="top"/>
          </w:tcPr>
          <w:p/>
        </w:tc>
        <w:tc>
          <w:tcPr>
            <w:tcW w:w="774" w:type="dxa"/>
            <w:tcBorders>
              <w:top w:val="nil"/>
            </w:tcBorders>
            <w:vAlign w:val="top"/>
          </w:tcPr>
          <w:p/>
        </w:tc>
        <w:tc>
          <w:tcPr>
            <w:tcW w:w="1352" w:type="dxa"/>
            <w:tcBorders>
              <w:top w:val="nil"/>
            </w:tcBorders>
            <w:vAlign w:val="top"/>
          </w:tcPr>
          <w:p/>
        </w:tc>
        <w:tc>
          <w:tcPr>
            <w:tcW w:w="1418" w:type="dxa"/>
            <w:tcBorders>
              <w:top w:val="nil"/>
            </w:tcBorders>
            <w:vAlign w:val="top"/>
          </w:tcPr>
          <w:p/>
        </w:tc>
        <w:tc>
          <w:tcPr>
            <w:tcW w:w="1701" w:type="dxa"/>
            <w:tcBorders>
              <w:top w:val="nil"/>
            </w:tcBorders>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bl>
    <w:p/>
    <w:p>
      <w:bookmarkStart w:id="1169" w:name="_Toc8315"/>
      <w:bookmarkStart w:id="1170" w:name="_Toc30541"/>
      <w:r>
        <w:t>11-2：工程设备暂估价表</w:t>
      </w:r>
      <w:bookmarkEnd w:id="1169"/>
      <w:bookmarkEnd w:id="1170"/>
    </w:p>
    <w:tbl>
      <w:tblPr>
        <w:tblStyle w:val="42"/>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vAlign w:val="top"/>
          </w:tcPr>
          <w:p>
            <w:r>
              <w:t>序号</w:t>
            </w:r>
          </w:p>
        </w:tc>
        <w:tc>
          <w:tcPr>
            <w:tcW w:w="1984" w:type="dxa"/>
            <w:tcBorders>
              <w:top w:val="single" w:color="auto" w:sz="12" w:space="0"/>
              <w:bottom w:val="double" w:color="auto" w:sz="6" w:space="0"/>
            </w:tcBorders>
            <w:vAlign w:val="top"/>
          </w:tcPr>
          <w:p>
            <w:r>
              <w:t>名称</w:t>
            </w:r>
          </w:p>
        </w:tc>
        <w:tc>
          <w:tcPr>
            <w:tcW w:w="851" w:type="dxa"/>
            <w:tcBorders>
              <w:top w:val="single" w:color="auto" w:sz="12" w:space="0"/>
              <w:bottom w:val="double" w:color="auto" w:sz="6" w:space="0"/>
            </w:tcBorders>
            <w:vAlign w:val="top"/>
          </w:tcPr>
          <w:p>
            <w:r>
              <w:t>单位</w:t>
            </w:r>
          </w:p>
        </w:tc>
        <w:tc>
          <w:tcPr>
            <w:tcW w:w="774" w:type="dxa"/>
            <w:tcBorders>
              <w:top w:val="single" w:color="auto" w:sz="12" w:space="0"/>
              <w:bottom w:val="double" w:color="auto" w:sz="6" w:space="0"/>
            </w:tcBorders>
            <w:vAlign w:val="top"/>
          </w:tcPr>
          <w:p>
            <w:r>
              <w:t>数量</w:t>
            </w:r>
          </w:p>
        </w:tc>
        <w:tc>
          <w:tcPr>
            <w:tcW w:w="1352" w:type="dxa"/>
            <w:tcBorders>
              <w:top w:val="single" w:color="auto" w:sz="12" w:space="0"/>
              <w:bottom w:val="double" w:color="auto" w:sz="6" w:space="0"/>
            </w:tcBorders>
            <w:vAlign w:val="top"/>
          </w:tcPr>
          <w:p>
            <w:r>
              <w:t>单价</w:t>
            </w:r>
            <w:r>
              <w:rPr>
                <w:rFonts w:hint="eastAsia"/>
              </w:rPr>
              <w:t>（元）</w:t>
            </w:r>
          </w:p>
        </w:tc>
        <w:tc>
          <w:tcPr>
            <w:tcW w:w="1418" w:type="dxa"/>
            <w:tcBorders>
              <w:top w:val="single" w:color="auto" w:sz="12" w:space="0"/>
              <w:bottom w:val="double" w:color="auto" w:sz="6" w:space="0"/>
            </w:tcBorders>
            <w:vAlign w:val="top"/>
          </w:tcPr>
          <w:p>
            <w:r>
              <w:t>合价</w:t>
            </w:r>
            <w:r>
              <w:rPr>
                <w:rFonts w:hint="eastAsia"/>
              </w:rPr>
              <w:t>（元）</w:t>
            </w:r>
          </w:p>
        </w:tc>
        <w:tc>
          <w:tcPr>
            <w:tcW w:w="1701" w:type="dxa"/>
            <w:tcBorders>
              <w:top w:val="single" w:color="auto" w:sz="12" w:space="0"/>
              <w:bottom w:val="double" w:color="auto" w:sz="6" w:space="0"/>
            </w:tcBorders>
            <w:vAlign w:val="top"/>
          </w:tcPr>
          <w:p>
            <w: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vAlign w:val="top"/>
          </w:tcPr>
          <w:p/>
        </w:tc>
        <w:tc>
          <w:tcPr>
            <w:tcW w:w="1984" w:type="dxa"/>
            <w:tcBorders>
              <w:top w:val="double" w:color="auto" w:sz="6" w:space="0"/>
              <w:bottom w:val="single" w:color="auto" w:sz="6" w:space="0"/>
            </w:tcBorders>
            <w:vAlign w:val="top"/>
          </w:tcPr>
          <w:p/>
        </w:tc>
        <w:tc>
          <w:tcPr>
            <w:tcW w:w="851" w:type="dxa"/>
            <w:tcBorders>
              <w:top w:val="double" w:color="auto" w:sz="6" w:space="0"/>
              <w:bottom w:val="single" w:color="auto" w:sz="6" w:space="0"/>
            </w:tcBorders>
            <w:vAlign w:val="top"/>
          </w:tcPr>
          <w:p/>
        </w:tc>
        <w:tc>
          <w:tcPr>
            <w:tcW w:w="774" w:type="dxa"/>
            <w:tcBorders>
              <w:top w:val="double" w:color="auto" w:sz="6" w:space="0"/>
              <w:bottom w:val="single" w:color="auto" w:sz="6" w:space="0"/>
            </w:tcBorders>
            <w:vAlign w:val="top"/>
          </w:tcPr>
          <w:p/>
        </w:tc>
        <w:tc>
          <w:tcPr>
            <w:tcW w:w="1352" w:type="dxa"/>
            <w:tcBorders>
              <w:top w:val="double" w:color="auto" w:sz="6" w:space="0"/>
              <w:bottom w:val="single" w:color="auto" w:sz="6" w:space="0"/>
            </w:tcBorders>
            <w:vAlign w:val="top"/>
          </w:tcPr>
          <w:p/>
        </w:tc>
        <w:tc>
          <w:tcPr>
            <w:tcW w:w="1418" w:type="dxa"/>
            <w:tcBorders>
              <w:top w:val="double" w:color="auto" w:sz="6" w:space="0"/>
              <w:bottom w:val="single" w:color="auto" w:sz="6" w:space="0"/>
            </w:tcBorders>
            <w:vAlign w:val="top"/>
          </w:tcPr>
          <w:p/>
        </w:tc>
        <w:tc>
          <w:tcPr>
            <w:tcW w:w="1701" w:type="dxa"/>
            <w:tcBorders>
              <w:top w:val="double" w:color="auto" w:sz="6" w:space="0"/>
              <w:bottom w:val="single" w:color="auto" w:sz="6" w:space="0"/>
            </w:tcBorders>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vAlign w:val="top"/>
          </w:tcPr>
          <w:p/>
        </w:tc>
        <w:tc>
          <w:tcPr>
            <w:tcW w:w="1984" w:type="dxa"/>
            <w:tcBorders>
              <w:top w:val="nil"/>
            </w:tcBorders>
            <w:vAlign w:val="top"/>
          </w:tcPr>
          <w:p/>
        </w:tc>
        <w:tc>
          <w:tcPr>
            <w:tcW w:w="851" w:type="dxa"/>
            <w:tcBorders>
              <w:top w:val="nil"/>
            </w:tcBorders>
            <w:vAlign w:val="top"/>
          </w:tcPr>
          <w:p/>
        </w:tc>
        <w:tc>
          <w:tcPr>
            <w:tcW w:w="774" w:type="dxa"/>
            <w:tcBorders>
              <w:top w:val="nil"/>
            </w:tcBorders>
            <w:vAlign w:val="top"/>
          </w:tcPr>
          <w:p/>
        </w:tc>
        <w:tc>
          <w:tcPr>
            <w:tcW w:w="1352" w:type="dxa"/>
            <w:tcBorders>
              <w:top w:val="nil"/>
            </w:tcBorders>
            <w:vAlign w:val="top"/>
          </w:tcPr>
          <w:p/>
        </w:tc>
        <w:tc>
          <w:tcPr>
            <w:tcW w:w="1418" w:type="dxa"/>
            <w:tcBorders>
              <w:top w:val="nil"/>
            </w:tcBorders>
            <w:vAlign w:val="top"/>
          </w:tcPr>
          <w:p/>
        </w:tc>
        <w:tc>
          <w:tcPr>
            <w:tcW w:w="1701" w:type="dxa"/>
            <w:tcBorders>
              <w:top w:val="nil"/>
            </w:tcBorders>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vAlign w:val="top"/>
          </w:tcPr>
          <w:p/>
        </w:tc>
        <w:tc>
          <w:tcPr>
            <w:tcW w:w="1984" w:type="dxa"/>
            <w:vAlign w:val="top"/>
          </w:tcPr>
          <w:p/>
        </w:tc>
        <w:tc>
          <w:tcPr>
            <w:tcW w:w="851" w:type="dxa"/>
            <w:vAlign w:val="top"/>
          </w:tcPr>
          <w:p/>
        </w:tc>
        <w:tc>
          <w:tcPr>
            <w:tcW w:w="774" w:type="dxa"/>
            <w:vAlign w:val="top"/>
          </w:tcPr>
          <w:p/>
        </w:tc>
        <w:tc>
          <w:tcPr>
            <w:tcW w:w="1352" w:type="dxa"/>
            <w:vAlign w:val="top"/>
          </w:tcPr>
          <w:p/>
        </w:tc>
        <w:tc>
          <w:tcPr>
            <w:tcW w:w="1418" w:type="dxa"/>
            <w:vAlign w:val="top"/>
          </w:tcPr>
          <w:p/>
        </w:tc>
        <w:tc>
          <w:tcPr>
            <w:tcW w:w="1701" w:type="dxa"/>
            <w:vAlign w:val="top"/>
          </w:tcPr>
          <w:p/>
        </w:tc>
      </w:tr>
    </w:tbl>
    <w:p/>
    <w:p>
      <w:r>
        <w:br w:type="page"/>
      </w:r>
      <w:bookmarkStart w:id="1171" w:name="_Toc12072"/>
      <w:bookmarkStart w:id="1172" w:name="_Toc3911"/>
      <w:r>
        <w:t>11-3：专业工程暂估价表</w:t>
      </w:r>
      <w:bookmarkEnd w:id="1171"/>
      <w:bookmarkEnd w:id="1172"/>
    </w:p>
    <w:tbl>
      <w:tblPr>
        <w:tblStyle w:val="42"/>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vAlign w:val="top"/>
          </w:tcPr>
          <w:p>
            <w:r>
              <w:t>序号</w:t>
            </w:r>
          </w:p>
        </w:tc>
        <w:tc>
          <w:tcPr>
            <w:tcW w:w="1984" w:type="dxa"/>
            <w:tcBorders>
              <w:top w:val="single" w:color="auto" w:sz="12" w:space="0"/>
              <w:bottom w:val="double" w:color="auto" w:sz="6" w:space="0"/>
            </w:tcBorders>
            <w:vAlign w:val="top"/>
          </w:tcPr>
          <w:p>
            <w:r>
              <w:t>专业工程名称</w:t>
            </w:r>
          </w:p>
        </w:tc>
        <w:tc>
          <w:tcPr>
            <w:tcW w:w="4678" w:type="dxa"/>
            <w:tcBorders>
              <w:top w:val="single" w:color="auto" w:sz="12" w:space="0"/>
              <w:bottom w:val="double" w:color="auto" w:sz="6" w:space="0"/>
            </w:tcBorders>
            <w:vAlign w:val="top"/>
          </w:tcPr>
          <w:p>
            <w:r>
              <w:t>工程内容</w:t>
            </w:r>
          </w:p>
        </w:tc>
        <w:tc>
          <w:tcPr>
            <w:tcW w:w="1276" w:type="dxa"/>
            <w:tcBorders>
              <w:top w:val="single" w:color="auto" w:sz="12" w:space="0"/>
              <w:bottom w:val="double" w:color="auto" w:sz="6" w:space="0"/>
            </w:tcBorders>
            <w:vAlign w:val="top"/>
          </w:tcPr>
          <w:p>
            <w: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vAlign w:val="top"/>
          </w:tcPr>
          <w:p/>
        </w:tc>
        <w:tc>
          <w:tcPr>
            <w:tcW w:w="1984" w:type="dxa"/>
            <w:tcBorders>
              <w:top w:val="double" w:color="auto" w:sz="6" w:space="0"/>
              <w:bottom w:val="single" w:color="auto" w:sz="6" w:space="0"/>
            </w:tcBorders>
            <w:vAlign w:val="top"/>
          </w:tcPr>
          <w:p/>
        </w:tc>
        <w:tc>
          <w:tcPr>
            <w:tcW w:w="4678" w:type="dxa"/>
            <w:tcBorders>
              <w:top w:val="double" w:color="auto" w:sz="6" w:space="0"/>
              <w:bottom w:val="single" w:color="auto" w:sz="6" w:space="0"/>
            </w:tcBorders>
            <w:vAlign w:val="top"/>
          </w:tcPr>
          <w:p/>
        </w:tc>
        <w:tc>
          <w:tcPr>
            <w:tcW w:w="1276" w:type="dxa"/>
            <w:tcBorders>
              <w:top w:val="double" w:color="auto" w:sz="6" w:space="0"/>
              <w:bottom w:val="single" w:color="auto" w:sz="6" w:space="0"/>
            </w:tcBorders>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vAlign w:val="top"/>
          </w:tcPr>
          <w:p/>
        </w:tc>
        <w:tc>
          <w:tcPr>
            <w:tcW w:w="1984" w:type="dxa"/>
            <w:tcBorders>
              <w:top w:val="nil"/>
            </w:tcBorders>
            <w:vAlign w:val="top"/>
          </w:tcPr>
          <w:p/>
        </w:tc>
        <w:tc>
          <w:tcPr>
            <w:tcW w:w="4678" w:type="dxa"/>
            <w:tcBorders>
              <w:top w:val="nil"/>
            </w:tcBorders>
            <w:vAlign w:val="top"/>
          </w:tcPr>
          <w:p/>
        </w:tc>
        <w:tc>
          <w:tcPr>
            <w:tcW w:w="1276" w:type="dxa"/>
            <w:tcBorders>
              <w:top w:val="nil"/>
            </w:tcBorders>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vAlign w:val="top"/>
          </w:tcPr>
          <w:p/>
        </w:tc>
        <w:tc>
          <w:tcPr>
            <w:tcW w:w="1984" w:type="dxa"/>
            <w:tcBorders>
              <w:top w:val="nil"/>
            </w:tcBorders>
            <w:vAlign w:val="top"/>
          </w:tcPr>
          <w:p/>
        </w:tc>
        <w:tc>
          <w:tcPr>
            <w:tcW w:w="4678" w:type="dxa"/>
            <w:tcBorders>
              <w:top w:val="nil"/>
            </w:tcBorders>
            <w:vAlign w:val="top"/>
          </w:tcPr>
          <w:p/>
        </w:tc>
        <w:tc>
          <w:tcPr>
            <w:tcW w:w="1276" w:type="dxa"/>
            <w:tcBorders>
              <w:top w:val="nil"/>
            </w:tcBorders>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Layout w:type="fixed"/>
          <w:tblCellMar>
            <w:top w:w="0" w:type="dxa"/>
            <w:left w:w="28" w:type="dxa"/>
            <w:bottom w:w="0" w:type="dxa"/>
            <w:right w:w="28" w:type="dxa"/>
          </w:tblCellMar>
        </w:tblPrEx>
        <w:tc>
          <w:tcPr>
            <w:tcW w:w="879" w:type="dxa"/>
            <w:vAlign w:val="top"/>
          </w:tcPr>
          <w:p/>
        </w:tc>
        <w:tc>
          <w:tcPr>
            <w:tcW w:w="1984" w:type="dxa"/>
            <w:vAlign w:val="top"/>
          </w:tcPr>
          <w:p/>
        </w:tc>
        <w:tc>
          <w:tcPr>
            <w:tcW w:w="4678" w:type="dxa"/>
            <w:vAlign w:val="top"/>
          </w:tcPr>
          <w:p/>
        </w:tc>
        <w:tc>
          <w:tcPr>
            <w:tcW w:w="1276" w:type="dxa"/>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vAlign w:val="top"/>
          </w:tcPr>
          <w:p>
            <w:r>
              <w:t>小计：</w:t>
            </w:r>
          </w:p>
        </w:tc>
      </w:tr>
    </w:tbl>
    <w:p>
      <w:pPr>
        <w:jc w:val="right"/>
        <w:rPr>
          <w:rFonts w:hint="eastAsia"/>
          <w:b/>
          <w:bCs/>
          <w:sz w:val="44"/>
          <w:szCs w:val="24"/>
          <w:lang w:val="en-US" w:eastAsia="zh-CN"/>
        </w:rPr>
      </w:pPr>
    </w:p>
    <w:p>
      <w:pPr>
        <w:jc w:val="right"/>
        <w:rPr>
          <w:rFonts w:hint="eastAsia"/>
          <w:b/>
          <w:bCs/>
          <w:sz w:val="44"/>
          <w:szCs w:val="24"/>
          <w:lang w:val="en-US" w:eastAsia="zh-CN"/>
        </w:rPr>
      </w:pPr>
    </w:p>
    <w:p>
      <w:pPr>
        <w:jc w:val="right"/>
        <w:rPr>
          <w:rFonts w:hint="eastAsia"/>
          <w:b/>
          <w:bCs/>
          <w:sz w:val="44"/>
          <w:szCs w:val="24"/>
          <w:lang w:val="en-US" w:eastAsia="zh-CN"/>
        </w:rPr>
      </w:pPr>
    </w:p>
    <w:p>
      <w:pPr>
        <w:jc w:val="right"/>
        <w:rPr>
          <w:rFonts w:hint="eastAsia"/>
          <w:b/>
          <w:bCs/>
          <w:sz w:val="44"/>
          <w:szCs w:val="24"/>
          <w:lang w:val="en-US" w:eastAsia="zh-CN"/>
        </w:rPr>
      </w:pPr>
    </w:p>
    <w:p>
      <w:pPr>
        <w:jc w:val="right"/>
        <w:rPr>
          <w:rFonts w:hint="eastAsia"/>
          <w:b/>
          <w:bCs/>
          <w:sz w:val="44"/>
          <w:szCs w:val="24"/>
          <w:lang w:val="en-US" w:eastAsia="zh-CN"/>
        </w:rPr>
      </w:pPr>
    </w:p>
    <w:p>
      <w:pPr>
        <w:jc w:val="right"/>
        <w:rPr>
          <w:rFonts w:hint="eastAsia"/>
          <w:b/>
          <w:bCs/>
          <w:sz w:val="44"/>
          <w:szCs w:val="24"/>
          <w:lang w:val="en-US" w:eastAsia="zh-CN"/>
        </w:rPr>
      </w:pPr>
    </w:p>
    <w:p>
      <w:pPr>
        <w:jc w:val="right"/>
        <w:rPr>
          <w:rFonts w:hint="eastAsia" w:eastAsia="宋体"/>
          <w:b/>
          <w:bCs/>
          <w:sz w:val="44"/>
          <w:szCs w:val="24"/>
          <w:lang w:val="en-US" w:eastAsia="zh-CN"/>
        </w:rPr>
      </w:pPr>
      <w:r>
        <w:rPr>
          <w:rFonts w:hint="eastAsia"/>
          <w:b/>
          <w:bCs/>
          <w:sz w:val="44"/>
          <w:szCs w:val="24"/>
          <w:lang w:val="en-US" w:eastAsia="zh-CN"/>
        </w:rPr>
        <w:t>以最终签订合同为准。</w:t>
      </w:r>
    </w:p>
    <w:p/>
    <w:p>
      <w:pPr>
        <w:rPr>
          <w:rFonts w:hint="eastAsia"/>
        </w:rPr>
      </w:pPr>
    </w:p>
    <w:p>
      <w:pPr>
        <w:rPr>
          <w:rFonts w:hint="eastAsia"/>
        </w:rPr>
      </w:pPr>
      <w:r>
        <w:rPr>
          <w:rFonts w:hint="eastAsia"/>
        </w:rPr>
        <w:br w:type="page"/>
      </w:r>
    </w:p>
    <w:p>
      <w:pPr>
        <w:pStyle w:val="3"/>
        <w:jc w:val="center"/>
      </w:pPr>
      <w:bookmarkStart w:id="1173" w:name="_Toc13887"/>
      <w:bookmarkStart w:id="1174" w:name="_Toc1797"/>
      <w:r>
        <w:rPr>
          <w:rFonts w:hint="eastAsia"/>
        </w:rPr>
        <w:t>第五章 工程量清单</w:t>
      </w:r>
      <w:bookmarkEnd w:id="1173"/>
      <w:bookmarkEnd w:id="1174"/>
    </w:p>
    <w:p>
      <w:pPr>
        <w:pStyle w:val="4"/>
        <w:spacing w:before="0" w:after="0" w:line="240" w:lineRule="auto"/>
      </w:pPr>
      <w:r>
        <w:rPr>
          <w:rFonts w:hint="eastAsia"/>
        </w:rPr>
        <w:t>1、工程量清单说明</w:t>
      </w:r>
    </w:p>
    <w:p>
      <w:r>
        <w:rPr>
          <w:rFonts w:hint="eastAsia"/>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
        <w:rPr>
          <w:rFonts w:hint="eastAsia"/>
        </w:rPr>
        <w:t>1.2 本工程量清单应与招标文件中的投标人须知、通用合同条款、专用合同条款、技术标准和要求及图纸等章节内容一起阅读和理解。</w:t>
      </w:r>
    </w:p>
    <w:p>
      <w:r>
        <w:rPr>
          <w:rFonts w:hint="eastAsia"/>
        </w:rPr>
        <w:t>1.3 本工程量清单仅是投标报价的共同基础，竣工结算的工程量按合同约定确定。合同价格的确定以及价款支付应遵循合同条款(包括通用合同条款和专用合同条款)、技术标准和要求以及本章的有关约定。</w:t>
      </w:r>
    </w:p>
    <w:p>
      <w:r>
        <w:rPr>
          <w:rFonts w:hint="eastAsia"/>
        </w:rPr>
        <w:t>1.4补充子目的子目特征、计量单位、工程量计算规则及工作内容说明如下：本工程使用《建设工程工程量清单计价规范》（GB50854-2013）</w:t>
      </w:r>
    </w:p>
    <w:p>
      <w:r>
        <w:rPr>
          <w:rFonts w:hint="eastAsia"/>
        </w:rPr>
        <w:t>1.5 本条第1.1款中约定的计量和计价规则适用于合同履约过程中工程量计量与价款支付、工程变更、索赔和工程结算。</w:t>
      </w:r>
    </w:p>
    <w:p>
      <w:r>
        <w:rPr>
          <w:rFonts w:hint="eastAsia"/>
        </w:rPr>
        <w:t>1.6 本条与下述第2条和第3条的说明内容是构成合同文件的已标价工程量清单的组成部分。</w:t>
      </w:r>
    </w:p>
    <w:p>
      <w:pPr>
        <w:pStyle w:val="4"/>
        <w:spacing w:before="0" w:after="0" w:line="240" w:lineRule="auto"/>
      </w:pPr>
      <w:r>
        <w:rPr>
          <w:rFonts w:hint="eastAsia"/>
        </w:rPr>
        <w:t>2、投标报价说明</w:t>
      </w:r>
    </w:p>
    <w:p>
      <w:r>
        <w:rPr>
          <w:rFonts w:hint="eastAsia"/>
        </w:rPr>
        <w:t>2.1 投标报价应根据招标文件中的有关计价要求，并按照下列依据自主报价。</w:t>
      </w:r>
    </w:p>
    <w:p>
      <w:r>
        <w:rPr>
          <w:rFonts w:hint="eastAsia"/>
        </w:rPr>
        <w:t>(1) 本招标文件；</w:t>
      </w:r>
    </w:p>
    <w:p>
      <w:r>
        <w:rPr>
          <w:rFonts w:hint="eastAsia"/>
        </w:rPr>
        <w:t>(2) 《河南省房屋建筑及装饰工程预算定额（HA01-31-2016）》、《河南省通用安装工程预算定额（HA02-31-2016）》；；</w:t>
      </w:r>
    </w:p>
    <w:p>
      <w:r>
        <w:rPr>
          <w:rFonts w:hint="eastAsia"/>
        </w:rPr>
        <w:t>(3) 国家或省级、行业建设主管部门颁发的计价办法；</w:t>
      </w:r>
    </w:p>
    <w:p>
      <w:r>
        <w:rPr>
          <w:rFonts w:hint="eastAsia"/>
        </w:rPr>
        <w:t>(4) 企业定额，国家或省级、行业建设主管部门颁发的计价定额；</w:t>
      </w:r>
    </w:p>
    <w:p>
      <w:r>
        <w:rPr>
          <w:rFonts w:hint="eastAsia"/>
        </w:rPr>
        <w:t>(5) 招标文件(包括工程量清单)的澄清、补充和修改文件；</w:t>
      </w:r>
    </w:p>
    <w:p>
      <w:r>
        <w:rPr>
          <w:rFonts w:hint="eastAsia"/>
        </w:rPr>
        <w:t>(6) 建设工程设计文件及相关资料；</w:t>
      </w:r>
    </w:p>
    <w:p>
      <w:r>
        <w:rPr>
          <w:rFonts w:hint="eastAsia"/>
        </w:rPr>
        <w:t>(7) 施工现场情况、工程特点及拟定的投标施工组织设计或施工方案；</w:t>
      </w:r>
    </w:p>
    <w:p>
      <w:r>
        <w:rPr>
          <w:rFonts w:hint="eastAsia"/>
        </w:rPr>
        <w:t>(8) 与建设项目相关的标准、规定等技术资料；</w:t>
      </w:r>
    </w:p>
    <w:p>
      <w:r>
        <w:rPr>
          <w:rFonts w:hint="eastAsia"/>
        </w:rPr>
        <w:t>(9) 材料价格按许昌市《许昌工程造价信息》及市场调查价执行；</w:t>
      </w:r>
    </w:p>
    <w:p>
      <w:r>
        <w:rPr>
          <w:rFonts w:hint="eastAsia"/>
        </w:rPr>
        <w:t>(10)其他的相关资料：</w:t>
      </w:r>
    </w:p>
    <w:p>
      <w:r>
        <w:rPr>
          <w:rFonts w:hint="eastAsia"/>
        </w:rPr>
        <w:t>2.2 工程量清单中的每一子目须填入单价或价格，且只允许有一个报价。</w:t>
      </w:r>
    </w:p>
    <w:p>
      <w:r>
        <w:rPr>
          <w:rFonts w:hint="eastAsia"/>
        </w:rPr>
        <w:t>2.3 工程量清单中标价的单价或金额，应包括所需人工费、材料费、施工机械使用费和管理费及利润，以及一定范围内的风险费用。所谓“一定范围内的风险”是指合同约定的风险。</w:t>
      </w:r>
    </w:p>
    <w:p>
      <w:r>
        <w:rPr>
          <w:rFonts w:hint="eastAsia"/>
        </w:rPr>
        <w:t>2.4 已标价工程量清单中投标人没有填入单价或价格的子目，其费用视为已分摊在工程量清单中其他已标价的相关子目的单价或价格之中。</w:t>
      </w:r>
    </w:p>
    <w:p>
      <w:r>
        <w:rPr>
          <w:rFonts w:hint="eastAsia"/>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
        <w:rPr>
          <w:rFonts w:hint="eastAsia"/>
        </w:rPr>
        <w:t>2.6 分部分项工程项目按下列要求报价：</w:t>
      </w:r>
    </w:p>
    <w:p>
      <w:r>
        <w:rPr>
          <w:rFonts w:hint="eastAsia"/>
        </w:rPr>
        <w:t>2.6.1 分部分项工程量清单计价应依据计价规范中关于综合单价的组成内容确定报价。</w:t>
      </w:r>
    </w:p>
    <w:p>
      <w:r>
        <w:rPr>
          <w:rFonts w:hint="eastAsia"/>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
        <w:rPr>
          <w:rFonts w:hint="eastAsia"/>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
        <w:rPr>
          <w:rFonts w:hint="eastAsia"/>
        </w:rPr>
        <w:t>2.6.4 “分部分项工程量清单与计价表”所列各子目的综合单价组成中，各子目的人工、材料和机械台班消耗量由投标人按照其自身情况做充分的、竞争性考虑。材料消耗量包括损耗量。</w:t>
      </w:r>
    </w:p>
    <w:p>
      <w:r>
        <w:rPr>
          <w:rFonts w:hint="eastAsia"/>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
        <w:rPr>
          <w:rFonts w:hint="eastAsia"/>
        </w:rPr>
        <w:t>2.7 措施项目按下列要求报价：</w:t>
      </w:r>
    </w:p>
    <w:p>
      <w:r>
        <w:rPr>
          <w:rFonts w:hint="eastAsia"/>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
        <w:rPr>
          <w:rFonts w:hint="eastAsia"/>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
        <w:rPr>
          <w:rFonts w:hint="eastAsia"/>
        </w:rPr>
        <w:t>2.7.3 “措施项目清单与计价表”中所填写的报价金额，应全面涵盖招标文件约定的投标人中标后施工、竣工、交付本工程并维修其任何缺陷所需要履行的责任和义务的全部费用。</w:t>
      </w:r>
    </w:p>
    <w:p>
      <w:r>
        <w:rPr>
          <w:rFonts w:hint="eastAsia"/>
        </w:rPr>
        <w:t>2.8 其他项目清单费应按下列规定报价：</w:t>
      </w:r>
    </w:p>
    <w:p>
      <w:r>
        <w:rPr>
          <w:rFonts w:hint="eastAsia"/>
        </w:rPr>
        <w:t>2.8.1 暂列金额按“暂列金额明细表”中列出的金额报价，此处的暂列金额是招标人在招标文件中统一给定的，并不包括本章第2.8.3项的计日工金额。</w:t>
      </w:r>
    </w:p>
    <w:p>
      <w:r>
        <w:rPr>
          <w:rFonts w:hint="eastAsia"/>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
        <w:rPr>
          <w:rFonts w:hint="eastAsia"/>
        </w:rPr>
        <w:t>2.8.3 计日工按“计日工表”中列出的子目和估算数量，自主确定综合单价并计算计日工金额。计日工综合单价均不包括规费和税金，其中：</w:t>
      </w:r>
    </w:p>
    <w:p>
      <w:r>
        <w:rPr>
          <w:rFonts w:hint="eastAsia"/>
        </w:rPr>
        <w:t>(1) 劳务单价应当包括工人工资、交通费用、各种补贴、劳动安全保护、社保费用、手提手动和电动工器具、施工场地内已经搭设的脚手架、水电和低值易耗品费用、现场管理费用、企业管理费和利润；</w:t>
      </w:r>
    </w:p>
    <w:p>
      <w:r>
        <w:rPr>
          <w:rFonts w:hint="eastAsia"/>
        </w:rPr>
        <w:t>(2) 材料价格包括材料运到现场的价格以及现场搬运、仓储、二次搬运、损耗、保险、企业管理费和利润；</w:t>
      </w:r>
    </w:p>
    <w:p>
      <w:r>
        <w:rPr>
          <w:rFonts w:hint="eastAsia"/>
        </w:rPr>
        <w:t>(3) 施工机械限于在施工场地(现场)的机械设备，其价格包括租赁或折旧、维修、维护和燃油等消耗品以及操作人员费用，包括承包人企业管理费和利润，但不包括规费和税金。辅助人员按劳务价格另计。</w:t>
      </w:r>
    </w:p>
    <w:p>
      <w:r>
        <w:rPr>
          <w:rFonts w:hint="eastAsia"/>
        </w:rPr>
        <w:t xml:space="preserve">    2.9 规费和税金应按“规费、税金项目清单与计价表”所列项目并根据国家、省级或行业建设主管部门的有关规定列项和计算，不得作为竞争性费用。</w:t>
      </w:r>
    </w:p>
    <w:p>
      <w:r>
        <w:rPr>
          <w:rFonts w:hint="eastAsia"/>
        </w:rPr>
        <w:t>2.10 除招标文件有强制性规定外，投标报价由投标人自主确定，但不得低于其成本。</w:t>
      </w:r>
    </w:p>
    <w:p>
      <w:r>
        <w:rPr>
          <w:rFonts w:hint="eastAsia"/>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
        <w:rPr>
          <w:rFonts w:hint="eastAsia"/>
        </w:rPr>
        <w:t>2.12 管理费应由投标人在保证不低于其成本的基础上做竞争性考虑；利润由投标人根据自身情况和综合实力做竞争性考虑。</w:t>
      </w:r>
    </w:p>
    <w:p>
      <w:r>
        <w:rPr>
          <w:rFonts w:hint="eastAsia"/>
        </w:rPr>
        <w:t>2.13 投标报价中应考虑招标文件中要求投标人承担的风险范围以及相关的费用。</w:t>
      </w:r>
    </w:p>
    <w:p>
      <w:r>
        <w:rPr>
          <w:rFonts w:hint="eastAsia"/>
        </w:rPr>
        <w:t>2.14 投标总价为投标人在投标文件中提出的各项支付金额的总和，为实施、完成招标工程并修补缺陷以及履行招标文件中约定的风险范围内的所有责任和义务所发生的全部费用。</w:t>
      </w:r>
    </w:p>
    <w:p>
      <w:r>
        <w:rPr>
          <w:rFonts w:hint="eastAsia"/>
        </w:rPr>
        <w:t>2.15 有关投标报价的其他说明：</w:t>
      </w:r>
    </w:p>
    <w:p>
      <w:r>
        <w:rPr>
          <w:rFonts w:hint="eastAsia"/>
        </w:rPr>
        <w:t>2.15.1“规费和税金”的规定按照住建部《建设工程工程量清单计价规范》（GB50500-2013）及省住建厅有关规定，规费和税金应按规定费（税）率足额计取，即费（税）率不可竞争。</w:t>
      </w:r>
    </w:p>
    <w:p>
      <w:r>
        <w:rPr>
          <w:rFonts w:hint="eastAsia"/>
        </w:rPr>
        <w:t>规费、税金、安全文明施工措施费计入投标总报价，并在投标函、投标函附录中单列，不参与商务标评审。</w:t>
      </w:r>
    </w:p>
    <w:p>
      <w:r>
        <w:rPr>
          <w:rFonts w:hint="eastAsia"/>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
        <w:rPr>
          <w:rFonts w:hint="eastAsia"/>
        </w:rPr>
        <w:t>投标人编制投标报价时，同一投标文件综合工日应前后保持一致。</w:t>
      </w:r>
    </w:p>
    <w:p>
      <w:r>
        <w:rPr>
          <w:rFonts w:hint="eastAsia"/>
        </w:rPr>
        <w:t>不按照以上要求编制投标报价的，视为违反《许昌市建设工程工程量清单招标评标办法（试行）》第八条第3款之规定，按废标处理。”</w:t>
      </w:r>
    </w:p>
    <w:p>
      <w:pPr>
        <w:pStyle w:val="4"/>
        <w:spacing w:before="0" w:after="0" w:line="240" w:lineRule="auto"/>
      </w:pPr>
      <w:r>
        <w:rPr>
          <w:rFonts w:hint="eastAsia"/>
        </w:rPr>
        <w:t>3、其他说明</w:t>
      </w:r>
    </w:p>
    <w:p>
      <w:r>
        <w:rPr>
          <w:rFonts w:hint="eastAsia"/>
        </w:rPr>
        <w:t>3.1词语和定义</w:t>
      </w:r>
    </w:p>
    <w:p>
      <w:r>
        <w:rPr>
          <w:rFonts w:hint="eastAsia"/>
        </w:rPr>
        <w:t>3.1.1 工程量清单</w:t>
      </w:r>
    </w:p>
    <w:p>
      <w:r>
        <w:rPr>
          <w:rFonts w:hint="eastAsia"/>
        </w:rPr>
        <w:t>是表现本工程分部分项工程项目、措施项目、其他项目、规费项目和税金的名称和相应数量等的明细清单。</w:t>
      </w:r>
    </w:p>
    <w:p>
      <w:r>
        <w:rPr>
          <w:rFonts w:hint="eastAsia"/>
        </w:rPr>
        <w:t>3.1.2 总价子目</w:t>
      </w:r>
    </w:p>
    <w:p>
      <w:r>
        <w:rPr>
          <w:rFonts w:hint="eastAsia"/>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
        <w:rPr>
          <w:rFonts w:hint="eastAsia"/>
        </w:rPr>
        <w:t>3.1.3 单价子目</w:t>
      </w:r>
    </w:p>
    <w:p>
      <w:r>
        <w:rPr>
          <w:rFonts w:hint="eastAsia"/>
        </w:rPr>
        <w:t>工程量清单中以单价计价，根据有合同约束力的图纸和工程量计算规则进行计量，以实际完成数量乘以相应单价进行结算的子目。</w:t>
      </w:r>
    </w:p>
    <w:p>
      <w:r>
        <w:rPr>
          <w:rFonts w:hint="eastAsia"/>
        </w:rPr>
        <w:t>3.1.4 子目编码</w:t>
      </w:r>
    </w:p>
    <w:p>
      <w:r>
        <w:rPr>
          <w:rFonts w:hint="eastAsia"/>
        </w:rPr>
        <w:t>分部分项工程项目清单中所列的子目名称的数字标识和代码，子目编码与项目编码同义。</w:t>
      </w:r>
    </w:p>
    <w:p>
      <w:r>
        <w:rPr>
          <w:rFonts w:hint="eastAsia"/>
        </w:rPr>
        <w:t>3.1.5 子目特征</w:t>
      </w:r>
    </w:p>
    <w:p>
      <w:r>
        <w:rPr>
          <w:rFonts w:hint="eastAsia"/>
        </w:rPr>
        <w:t>构成分部分项工程项目清单子目、措施项目的实质内容、决定其自身价值的本质特征，子目特征与项目特征同义。</w:t>
      </w:r>
    </w:p>
    <w:p>
      <w:r>
        <w:rPr>
          <w:rFonts w:hint="eastAsia"/>
        </w:rPr>
        <w:t>3.1.6 规费</w:t>
      </w:r>
    </w:p>
    <w:p>
      <w:r>
        <w:rPr>
          <w:rFonts w:hint="eastAsia"/>
        </w:rPr>
        <w:t>承包人根据省级政府或省级有关权力部门规定必须缴纳的，应计入建筑安装工程造价的费用。</w:t>
      </w:r>
    </w:p>
    <w:p>
      <w:r>
        <w:rPr>
          <w:rFonts w:hint="eastAsia"/>
        </w:rPr>
        <w:t>3.1.7 税金</w:t>
      </w:r>
    </w:p>
    <w:p>
      <w:r>
        <w:rPr>
          <w:rFonts w:hint="eastAsia"/>
        </w:rPr>
        <w:t>根据财税《2016》36号文“营业税改征增值税试点实施办法”规定，增值税计税方法采用一般计税方法。</w:t>
      </w:r>
    </w:p>
    <w:p>
      <w:r>
        <w:rPr>
          <w:rFonts w:hint="eastAsia"/>
        </w:rPr>
        <w:t>3.1.8 总承包服务费</w:t>
      </w:r>
    </w:p>
    <w:p>
      <w:r>
        <w:rPr>
          <w:rFonts w:hint="eastAsia"/>
        </w:rPr>
        <w:t>总承包人为配合协调发包人发包的专业工程以及发包人采购的材料和工程设备等进行管理、服务以及施工现场管理、竣工资料汇总整理等所需的费用。</w:t>
      </w:r>
    </w:p>
    <w:p>
      <w:r>
        <w:rPr>
          <w:rFonts w:hint="eastAsia"/>
        </w:rPr>
        <w:t>3.1.9 同义词语</w:t>
      </w:r>
    </w:p>
    <w:p>
      <w:r>
        <w:rPr>
          <w:rFonts w:hint="eastAsia"/>
        </w:rPr>
        <w:t>本章中使用的词语“招标人”和“投标人”分别与合同条款中定义的“发包人”和“承包人”同义；就工程量清单而言，“子目”与“项目”同义。</w:t>
      </w:r>
    </w:p>
    <w:p>
      <w:r>
        <w:rPr>
          <w:rFonts w:hint="eastAsia"/>
        </w:rPr>
        <w:t>3.2工程量差异调整</w:t>
      </w:r>
    </w:p>
    <w:p>
      <w:r>
        <w:rPr>
          <w:rFonts w:hint="eastAsia"/>
        </w:rPr>
        <w:t>3.2.1 工程量清单中的工作内容分类、子目列项、特征描述以及“分部分项工程量清单与计价表”中附带的工程量都不应理解为是对承包(招标)范围以及合同工作内容的唯一的、最终的或全部的定义。</w:t>
      </w:r>
    </w:p>
    <w:p>
      <w:r>
        <w:rPr>
          <w:rFonts w:hint="eastAsia"/>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
        <w:rPr>
          <w:rFonts w:hint="eastAsia"/>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
        <w:rPr>
          <w:rFonts w:hint="eastAsia"/>
        </w:rPr>
        <w:t>3.3暂列金额和暂估价</w:t>
      </w:r>
    </w:p>
    <w:p>
      <w:r>
        <w:rPr>
          <w:rFonts w:hint="eastAsia"/>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
        <w:rPr>
          <w:rFonts w:hint="eastAsia"/>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
        <w:rPr>
          <w:rFonts w:hint="eastAsia"/>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
        <w:rPr>
          <w:rFonts w:hint="eastAsia"/>
        </w:rPr>
        <w:t>3.4其他补充说明</w:t>
      </w:r>
    </w:p>
    <w:p>
      <w:pPr>
        <w:pStyle w:val="4"/>
        <w:spacing w:before="0" w:after="0" w:line="240" w:lineRule="auto"/>
      </w:pPr>
      <w:r>
        <w:rPr>
          <w:rFonts w:hint="eastAsia"/>
        </w:rPr>
        <w:t>4．工程量清单</w:t>
      </w:r>
    </w:p>
    <w:p>
      <w:r>
        <w:rPr>
          <w:rFonts w:hint="eastAsia"/>
        </w:rPr>
        <w:t>工程量清单在【全国公共资源交易平台(河南省▪许昌市)】（http://www.xczbtb.com/），通过“投标人/供应商登录”后自行下载。</w:t>
      </w:r>
    </w:p>
    <w:p/>
    <w:p/>
    <w:p/>
    <w:p/>
    <w:p/>
    <w:p>
      <w:r>
        <w:br w:type="page"/>
      </w:r>
    </w:p>
    <w:p/>
    <w:p>
      <w:pPr>
        <w:pStyle w:val="3"/>
        <w:spacing w:line="240" w:lineRule="auto"/>
        <w:jc w:val="center"/>
      </w:pPr>
      <w:bookmarkStart w:id="1175" w:name="_Toc12029"/>
      <w:bookmarkStart w:id="1176" w:name="_Toc2091"/>
      <w:r>
        <w:rPr>
          <w:rFonts w:hint="eastAsia"/>
        </w:rPr>
        <w:t>第六章图纸</w:t>
      </w:r>
      <w:bookmarkEnd w:id="1175"/>
      <w:bookmarkEnd w:id="1176"/>
    </w:p>
    <w:p>
      <w:r>
        <w:rPr>
          <w:rFonts w:hint="eastAsia"/>
        </w:rPr>
        <w:t>按照招标文件中第二章投标人须知前附表第2.1项所给的网址自行下载。</w:t>
      </w:r>
    </w:p>
    <w:p/>
    <w:p/>
    <w:p/>
    <w:p/>
    <w:p/>
    <w:p>
      <w:pPr>
        <w:pStyle w:val="3"/>
        <w:jc w:val="center"/>
      </w:pPr>
      <w:bookmarkStart w:id="1177" w:name="_Toc22944"/>
      <w:bookmarkStart w:id="1178" w:name="_Toc10726"/>
      <w:r>
        <w:rPr>
          <w:rFonts w:hint="eastAsia"/>
        </w:rPr>
        <w:t>第七章技术标准和要求</w:t>
      </w:r>
      <w:bookmarkEnd w:id="1177"/>
      <w:bookmarkEnd w:id="1178"/>
    </w:p>
    <w:p>
      <w:r>
        <w:rPr>
          <w:rFonts w:hint="eastAsia"/>
        </w:rPr>
        <w:t>1、本工程技术标准和要求以本工程施工图纸和适用的国家、行业以及地方规范、标准和规程为准。</w:t>
      </w:r>
    </w:p>
    <w:p>
      <w:r>
        <w:rPr>
          <w:rFonts w:hint="eastAsia"/>
        </w:rPr>
        <w:t>2、施工工地扬尘污染整治标准以《许昌市施工工地扬尘污染综合整治工作方案》许气联办【2016】21号文件为准。</w:t>
      </w:r>
    </w:p>
    <w:p/>
    <w:p/>
    <w:p/>
    <w:p/>
    <w:p/>
    <w:p/>
    <w:p/>
    <w:p>
      <w:pPr>
        <w:rPr>
          <w:rFonts w:hint="eastAsia"/>
        </w:rPr>
      </w:pPr>
      <w:bookmarkStart w:id="1179" w:name="_Toc15082"/>
      <w:bookmarkStart w:id="1180" w:name="_Toc278443525"/>
    </w:p>
    <w:p>
      <w:pPr>
        <w:pStyle w:val="3"/>
        <w:jc w:val="center"/>
      </w:pPr>
      <w:bookmarkStart w:id="1181" w:name="_Toc27266"/>
      <w:r>
        <w:rPr>
          <w:rFonts w:hint="eastAsia"/>
        </w:rPr>
        <w:t>第八章投标文件格式</w:t>
      </w:r>
      <w:bookmarkEnd w:id="1179"/>
      <w:bookmarkEnd w:id="1180"/>
      <w:bookmarkEnd w:id="1181"/>
    </w:p>
    <w:p>
      <w:pPr>
        <w:rPr>
          <w:rFonts w:hint="eastAsia"/>
          <w:b/>
          <w:bCs/>
          <w:sz w:val="40"/>
          <w:szCs w:val="22"/>
        </w:rPr>
      </w:pPr>
      <w:bookmarkStart w:id="1182" w:name="_Toc22343"/>
      <w:bookmarkStart w:id="1183" w:name="_Toc13334"/>
      <w:r>
        <w:rPr>
          <w:rFonts w:hint="eastAsia"/>
          <w:b/>
          <w:bCs/>
          <w:sz w:val="40"/>
          <w:szCs w:val="22"/>
        </w:rPr>
        <w:t>正（副）本</w:t>
      </w:r>
      <w:bookmarkEnd w:id="1182"/>
      <w:bookmarkEnd w:id="1183"/>
    </w:p>
    <w:p>
      <w:pPr>
        <w:jc w:val="center"/>
        <w:rPr>
          <w:rFonts w:hint="eastAsia"/>
          <w:b/>
          <w:bCs/>
          <w:sz w:val="40"/>
          <w:szCs w:val="22"/>
        </w:rPr>
      </w:pPr>
      <w:r>
        <w:rPr>
          <w:rFonts w:hint="eastAsia"/>
          <w:b/>
          <w:bCs/>
          <w:sz w:val="72"/>
          <w:szCs w:val="40"/>
        </w:rPr>
        <w:t>（</w:t>
      </w:r>
      <w:r>
        <w:rPr>
          <w:rFonts w:hint="eastAsia"/>
          <w:b/>
          <w:bCs/>
          <w:sz w:val="72"/>
          <w:szCs w:val="40"/>
          <w:lang w:val="en-US" w:eastAsia="zh-CN"/>
        </w:rPr>
        <w:t>项目</w:t>
      </w:r>
      <w:r>
        <w:rPr>
          <w:rFonts w:hint="eastAsia"/>
          <w:b/>
          <w:bCs/>
          <w:sz w:val="72"/>
          <w:szCs w:val="40"/>
        </w:rPr>
        <w:t>名称） 施工</w:t>
      </w:r>
    </w:p>
    <w:p>
      <w:pPr>
        <w:ind w:left="0" w:leftChars="0" w:firstLine="3072" w:firstLineChars="765"/>
        <w:rPr>
          <w:rFonts w:hint="eastAsia"/>
          <w:b/>
          <w:bCs/>
          <w:sz w:val="40"/>
          <w:szCs w:val="22"/>
        </w:rPr>
      </w:pPr>
      <w:bookmarkStart w:id="1184" w:name="_Toc25899"/>
      <w:r>
        <w:rPr>
          <w:rFonts w:hint="eastAsia"/>
          <w:b/>
          <w:bCs/>
          <w:sz w:val="40"/>
          <w:szCs w:val="22"/>
        </w:rPr>
        <w:t>投 标 文 件</w:t>
      </w:r>
      <w:bookmarkEnd w:id="1184"/>
    </w:p>
    <w:p>
      <w:pPr>
        <w:ind w:left="0" w:leftChars="0" w:firstLine="3072" w:firstLineChars="765"/>
        <w:rPr>
          <w:rFonts w:hint="eastAsia"/>
          <w:b/>
          <w:bCs/>
          <w:sz w:val="40"/>
          <w:szCs w:val="22"/>
        </w:rPr>
      </w:pPr>
      <w:bookmarkStart w:id="1185" w:name="_Toc26519"/>
      <w:r>
        <w:rPr>
          <w:rFonts w:hint="eastAsia"/>
          <w:b/>
          <w:bCs/>
          <w:sz w:val="40"/>
          <w:szCs w:val="22"/>
        </w:rPr>
        <w:t>（商务标）</w:t>
      </w:r>
      <w:bookmarkEnd w:id="1185"/>
    </w:p>
    <w:p>
      <w:pPr>
        <w:rPr>
          <w:rFonts w:hint="eastAsia"/>
          <w:b/>
          <w:bCs/>
          <w:sz w:val="40"/>
          <w:szCs w:val="22"/>
        </w:rPr>
      </w:pPr>
      <w:r>
        <w:rPr>
          <w:rFonts w:hint="eastAsia"/>
          <w:b/>
          <w:bCs/>
          <w:sz w:val="40"/>
          <w:szCs w:val="22"/>
        </w:rPr>
        <w:t xml:space="preserve">               </w:t>
      </w:r>
    </w:p>
    <w:p>
      <w:pPr>
        <w:ind w:left="0" w:leftChars="0" w:firstLine="2385" w:firstLineChars="594"/>
        <w:rPr>
          <w:rFonts w:hint="eastAsia"/>
          <w:b/>
          <w:bCs/>
          <w:sz w:val="40"/>
          <w:szCs w:val="22"/>
        </w:rPr>
      </w:pPr>
      <w:bookmarkStart w:id="1186" w:name="_Toc8698"/>
      <w:r>
        <w:rPr>
          <w:rFonts w:hint="eastAsia"/>
          <w:b/>
          <w:bCs/>
          <w:sz w:val="40"/>
          <w:szCs w:val="22"/>
        </w:rPr>
        <w:t>项目编号：</w:t>
      </w:r>
      <w:bookmarkEnd w:id="1186"/>
    </w:p>
    <w:p>
      <w:pPr>
        <w:rPr>
          <w:rFonts w:hint="eastAsia"/>
          <w:b/>
          <w:bCs/>
          <w:sz w:val="40"/>
          <w:szCs w:val="22"/>
        </w:rPr>
      </w:pPr>
    </w:p>
    <w:p>
      <w:pPr>
        <w:rPr>
          <w:rFonts w:hint="eastAsia"/>
          <w:b/>
          <w:bCs/>
          <w:sz w:val="40"/>
          <w:szCs w:val="22"/>
        </w:rPr>
      </w:pPr>
    </w:p>
    <w:p>
      <w:pPr>
        <w:rPr>
          <w:rFonts w:hint="eastAsia"/>
          <w:b/>
          <w:bCs/>
          <w:sz w:val="40"/>
          <w:szCs w:val="22"/>
        </w:rPr>
      </w:pPr>
    </w:p>
    <w:p>
      <w:pPr>
        <w:rPr>
          <w:rFonts w:hint="eastAsia"/>
          <w:b/>
          <w:bCs/>
          <w:sz w:val="40"/>
          <w:szCs w:val="22"/>
        </w:rPr>
      </w:pPr>
    </w:p>
    <w:p>
      <w:pPr>
        <w:ind w:left="0" w:leftChars="0" w:firstLine="1020" w:firstLineChars="254"/>
        <w:rPr>
          <w:rFonts w:hint="eastAsia"/>
          <w:b/>
          <w:bCs/>
          <w:sz w:val="40"/>
          <w:szCs w:val="22"/>
        </w:rPr>
      </w:pPr>
    </w:p>
    <w:p>
      <w:pPr>
        <w:ind w:left="0" w:leftChars="0" w:firstLine="1020" w:firstLineChars="254"/>
        <w:rPr>
          <w:rFonts w:hint="eastAsia"/>
          <w:b/>
          <w:bCs/>
          <w:sz w:val="40"/>
          <w:szCs w:val="22"/>
        </w:rPr>
      </w:pPr>
    </w:p>
    <w:p>
      <w:pPr>
        <w:ind w:left="0" w:leftChars="0" w:firstLine="1020" w:firstLineChars="254"/>
        <w:rPr>
          <w:rFonts w:hint="eastAsia"/>
          <w:b/>
          <w:bCs/>
          <w:sz w:val="40"/>
          <w:szCs w:val="22"/>
        </w:rPr>
      </w:pPr>
    </w:p>
    <w:p>
      <w:pPr>
        <w:ind w:left="0" w:leftChars="0" w:firstLine="1020" w:firstLineChars="254"/>
        <w:rPr>
          <w:rFonts w:hint="eastAsia"/>
          <w:b/>
          <w:bCs/>
          <w:sz w:val="40"/>
          <w:szCs w:val="22"/>
        </w:rPr>
      </w:pPr>
    </w:p>
    <w:p>
      <w:pPr>
        <w:ind w:left="0" w:leftChars="0" w:firstLine="1020" w:firstLineChars="254"/>
        <w:rPr>
          <w:rFonts w:hint="eastAsia"/>
          <w:b/>
          <w:bCs/>
          <w:sz w:val="40"/>
          <w:szCs w:val="22"/>
        </w:rPr>
      </w:pPr>
      <w:bookmarkStart w:id="1187" w:name="_Toc7184"/>
      <w:r>
        <w:rPr>
          <w:rFonts w:hint="eastAsia"/>
          <w:b/>
          <w:bCs/>
          <w:sz w:val="40"/>
          <w:szCs w:val="22"/>
        </w:rPr>
        <w:t>投标人:(盖单位章)</w:t>
      </w:r>
      <w:bookmarkEnd w:id="1187"/>
    </w:p>
    <w:p>
      <w:pPr>
        <w:ind w:left="0" w:leftChars="0" w:firstLine="1020" w:firstLineChars="254"/>
        <w:rPr>
          <w:rFonts w:hint="eastAsia"/>
          <w:b/>
          <w:bCs/>
          <w:sz w:val="40"/>
          <w:szCs w:val="22"/>
        </w:rPr>
      </w:pPr>
    </w:p>
    <w:p>
      <w:pPr>
        <w:ind w:left="0" w:leftChars="0" w:firstLine="1020" w:firstLineChars="254"/>
        <w:rPr>
          <w:rFonts w:hint="eastAsia"/>
          <w:b/>
          <w:bCs/>
          <w:sz w:val="40"/>
          <w:szCs w:val="22"/>
        </w:rPr>
      </w:pPr>
      <w:bookmarkStart w:id="1188" w:name="_Toc10112"/>
      <w:r>
        <w:rPr>
          <w:rFonts w:hint="eastAsia"/>
          <w:b/>
          <w:bCs/>
          <w:sz w:val="40"/>
          <w:szCs w:val="22"/>
        </w:rPr>
        <w:t>法定代表人或其委托代理人:(签字)</w:t>
      </w:r>
      <w:bookmarkEnd w:id="1188"/>
    </w:p>
    <w:p>
      <w:pPr>
        <w:ind w:left="0" w:leftChars="0" w:firstLine="1020" w:firstLineChars="254"/>
        <w:rPr>
          <w:rFonts w:hint="eastAsia"/>
          <w:b/>
          <w:bCs/>
          <w:sz w:val="40"/>
          <w:szCs w:val="22"/>
        </w:rPr>
      </w:pPr>
    </w:p>
    <w:p>
      <w:pPr>
        <w:ind w:firstLine="4819" w:firstLineChars="1200"/>
        <w:rPr>
          <w:rFonts w:hint="eastAsia"/>
          <w:b/>
          <w:bCs/>
          <w:sz w:val="40"/>
          <w:szCs w:val="22"/>
        </w:rPr>
      </w:pPr>
      <w:bookmarkStart w:id="1189" w:name="_Toc30659"/>
      <w:r>
        <w:rPr>
          <w:rFonts w:hint="eastAsia"/>
          <w:b/>
          <w:bCs/>
          <w:sz w:val="40"/>
          <w:szCs w:val="22"/>
        </w:rPr>
        <w:t>年</w:t>
      </w:r>
      <w:r>
        <w:rPr>
          <w:rFonts w:hint="eastAsia"/>
          <w:b/>
          <w:bCs/>
          <w:sz w:val="40"/>
          <w:szCs w:val="22"/>
          <w:lang w:val="en-US" w:eastAsia="zh-CN"/>
        </w:rPr>
        <w:t xml:space="preserve">    </w:t>
      </w:r>
      <w:r>
        <w:rPr>
          <w:rFonts w:hint="eastAsia"/>
          <w:b/>
          <w:bCs/>
          <w:sz w:val="40"/>
          <w:szCs w:val="22"/>
        </w:rPr>
        <w:t>月</w:t>
      </w:r>
      <w:r>
        <w:rPr>
          <w:rFonts w:hint="eastAsia"/>
          <w:b/>
          <w:bCs/>
          <w:sz w:val="40"/>
          <w:szCs w:val="22"/>
          <w:lang w:val="en-US" w:eastAsia="zh-CN"/>
        </w:rPr>
        <w:t xml:space="preserve">     </w:t>
      </w:r>
      <w:r>
        <w:rPr>
          <w:rFonts w:hint="eastAsia"/>
          <w:b/>
          <w:bCs/>
          <w:sz w:val="40"/>
          <w:szCs w:val="22"/>
        </w:rPr>
        <w:t>日</w:t>
      </w:r>
      <w:bookmarkEnd w:id="1189"/>
      <w:r>
        <w:rPr>
          <w:rFonts w:hint="eastAsia"/>
          <w:b/>
          <w:bCs/>
          <w:sz w:val="40"/>
          <w:szCs w:val="22"/>
        </w:rPr>
        <w:br w:type="page"/>
      </w:r>
    </w:p>
    <w:p>
      <w:r>
        <w:rPr>
          <w:rFonts w:hint="eastAsia"/>
        </w:rPr>
        <w:t>已标价工程量清单</w:t>
      </w:r>
    </w:p>
    <w:p>
      <w:r>
        <w:rPr>
          <w:rFonts w:hint="eastAsia"/>
        </w:rPr>
        <w:t xml:space="preserve">  （按所发放的工程量清单编制）</w:t>
      </w:r>
    </w:p>
    <w:p/>
    <w:p/>
    <w:p/>
    <w:p/>
    <w:p/>
    <w:p/>
    <w:p/>
    <w:p/>
    <w:p/>
    <w:p/>
    <w:p/>
    <w:p/>
    <w:p/>
    <w:p/>
    <w:p>
      <w:r>
        <w:br w:type="page"/>
      </w:r>
    </w:p>
    <w:p>
      <w:pPr>
        <w:rPr>
          <w:b/>
          <w:bCs/>
          <w:sz w:val="40"/>
          <w:szCs w:val="22"/>
        </w:rPr>
      </w:pPr>
      <w:bookmarkStart w:id="1190" w:name="_Toc20528"/>
      <w:bookmarkStart w:id="1191" w:name="_Toc28570"/>
      <w:r>
        <w:rPr>
          <w:rFonts w:hint="eastAsia"/>
          <w:b/>
          <w:bCs/>
          <w:sz w:val="40"/>
          <w:szCs w:val="22"/>
        </w:rPr>
        <w:t>正（副）本</w:t>
      </w:r>
      <w:bookmarkEnd w:id="1190"/>
      <w:bookmarkEnd w:id="1191"/>
    </w:p>
    <w:p>
      <w:pPr>
        <w:jc w:val="center"/>
        <w:rPr>
          <w:b/>
          <w:bCs/>
          <w:sz w:val="72"/>
          <w:szCs w:val="40"/>
        </w:rPr>
      </w:pPr>
      <w:r>
        <w:rPr>
          <w:rFonts w:hint="eastAsia"/>
          <w:b/>
          <w:bCs/>
          <w:sz w:val="72"/>
          <w:szCs w:val="40"/>
        </w:rPr>
        <w:t>（</w:t>
      </w:r>
      <w:r>
        <w:rPr>
          <w:rFonts w:hint="eastAsia"/>
          <w:b/>
          <w:bCs/>
          <w:sz w:val="72"/>
          <w:szCs w:val="40"/>
          <w:lang w:val="en-US" w:eastAsia="zh-CN"/>
        </w:rPr>
        <w:t>项目名称）</w:t>
      </w:r>
      <w:r>
        <w:rPr>
          <w:rFonts w:hint="eastAsia"/>
          <w:b/>
          <w:bCs/>
          <w:sz w:val="72"/>
          <w:szCs w:val="40"/>
        </w:rPr>
        <w:t>施工</w:t>
      </w:r>
    </w:p>
    <w:p/>
    <w:p>
      <w:pPr>
        <w:ind w:left="0" w:leftChars="0" w:firstLine="3413" w:firstLineChars="850"/>
        <w:rPr>
          <w:rFonts w:hint="eastAsia"/>
          <w:b/>
          <w:bCs/>
          <w:sz w:val="40"/>
          <w:szCs w:val="22"/>
        </w:rPr>
      </w:pPr>
      <w:bookmarkStart w:id="1192" w:name="_Toc18553"/>
      <w:r>
        <w:rPr>
          <w:rFonts w:hint="eastAsia"/>
          <w:b/>
          <w:bCs/>
          <w:sz w:val="40"/>
          <w:szCs w:val="22"/>
        </w:rPr>
        <w:t>投 标 文 件</w:t>
      </w:r>
      <w:bookmarkEnd w:id="1192"/>
    </w:p>
    <w:p>
      <w:pPr>
        <w:ind w:left="0" w:leftChars="0" w:firstLine="3072" w:firstLineChars="765"/>
        <w:rPr>
          <w:b/>
          <w:bCs/>
          <w:sz w:val="40"/>
          <w:szCs w:val="22"/>
        </w:rPr>
      </w:pPr>
      <w:bookmarkStart w:id="1193" w:name="_Toc866"/>
      <w:r>
        <w:rPr>
          <w:rFonts w:hint="eastAsia"/>
          <w:b/>
          <w:bCs/>
          <w:sz w:val="40"/>
          <w:szCs w:val="22"/>
        </w:rPr>
        <w:t>综合（信用）标</w:t>
      </w:r>
      <w:bookmarkEnd w:id="1193"/>
    </w:p>
    <w:p>
      <w:pPr>
        <w:rPr>
          <w:rFonts w:hint="eastAsia"/>
        </w:rPr>
      </w:pPr>
      <w:r>
        <w:rPr>
          <w:rFonts w:hint="eastAsia"/>
        </w:rPr>
        <w:t xml:space="preserve">              </w:t>
      </w:r>
    </w:p>
    <w:p>
      <w:pPr>
        <w:ind w:firstLine="2048" w:firstLineChars="600"/>
        <w:jc w:val="both"/>
      </w:pPr>
      <w:r>
        <w:rPr>
          <w:rFonts w:hint="eastAsia"/>
          <w:b/>
          <w:bCs/>
        </w:rPr>
        <w:t>项目编号：</w:t>
      </w:r>
    </w:p>
    <w:p/>
    <w:p/>
    <w:p>
      <w:pPr>
        <w:rPr>
          <w:rFonts w:hint="eastAsia"/>
        </w:rPr>
      </w:pPr>
    </w:p>
    <w:p>
      <w:pPr>
        <w:rPr>
          <w:rFonts w:hint="eastAsia"/>
        </w:rPr>
      </w:pPr>
    </w:p>
    <w:p>
      <w:pPr>
        <w:rPr>
          <w:rFonts w:hint="eastAsia"/>
        </w:rPr>
      </w:pPr>
    </w:p>
    <w:p>
      <w:pPr>
        <w:rPr>
          <w:rFonts w:hint="eastAsia"/>
        </w:rPr>
      </w:pPr>
    </w:p>
    <w:p>
      <w:pPr>
        <w:ind w:left="0" w:leftChars="0" w:firstLine="1024" w:firstLineChars="300"/>
        <w:rPr>
          <w:rFonts w:hint="eastAsia"/>
          <w:b/>
          <w:bCs/>
        </w:rPr>
      </w:pPr>
    </w:p>
    <w:p>
      <w:pPr>
        <w:ind w:left="0" w:leftChars="0" w:firstLine="1024" w:firstLineChars="300"/>
        <w:rPr>
          <w:rFonts w:hint="eastAsia"/>
          <w:b/>
          <w:bCs/>
        </w:rPr>
      </w:pPr>
    </w:p>
    <w:p>
      <w:pPr>
        <w:ind w:left="0" w:leftChars="0" w:firstLine="1024" w:firstLineChars="300"/>
        <w:rPr>
          <w:b/>
          <w:bCs/>
        </w:rPr>
      </w:pPr>
      <w:r>
        <w:rPr>
          <w:rFonts w:hint="eastAsia"/>
          <w:b/>
          <w:bCs/>
        </w:rPr>
        <w:t>投标人:(盖单位章)</w:t>
      </w:r>
    </w:p>
    <w:p>
      <w:pPr>
        <w:ind w:left="0" w:leftChars="0" w:firstLine="1024" w:firstLineChars="300"/>
        <w:rPr>
          <w:b/>
          <w:bCs/>
        </w:rPr>
      </w:pPr>
    </w:p>
    <w:p>
      <w:pPr>
        <w:ind w:left="0" w:leftChars="0" w:firstLine="1024" w:firstLineChars="300"/>
        <w:rPr>
          <w:b/>
          <w:bCs/>
        </w:rPr>
      </w:pPr>
      <w:r>
        <w:rPr>
          <w:rFonts w:hint="eastAsia"/>
          <w:b/>
          <w:bCs/>
        </w:rPr>
        <w:t>法定代表人或其委托代理人:(签字)</w:t>
      </w:r>
    </w:p>
    <w:p>
      <w:pPr>
        <w:ind w:left="0" w:leftChars="0" w:firstLine="1024" w:firstLineChars="300"/>
        <w:rPr>
          <w:b/>
          <w:bCs/>
        </w:rPr>
      </w:pPr>
    </w:p>
    <w:p>
      <w:pPr>
        <w:ind w:left="0" w:leftChars="0" w:firstLine="4437" w:firstLineChars="1300"/>
        <w:rPr>
          <w:b/>
          <w:bCs/>
        </w:rPr>
      </w:pPr>
      <w:r>
        <w:rPr>
          <w:rFonts w:hint="eastAsia"/>
          <w:b/>
          <w:bCs/>
        </w:rPr>
        <w:t>年</w:t>
      </w:r>
      <w:r>
        <w:rPr>
          <w:rFonts w:hint="eastAsia"/>
          <w:b/>
          <w:bCs/>
          <w:lang w:val="en-US" w:eastAsia="zh-CN"/>
        </w:rPr>
        <w:t xml:space="preserve">    </w:t>
      </w:r>
      <w:r>
        <w:rPr>
          <w:rFonts w:hint="eastAsia"/>
          <w:b/>
          <w:bCs/>
        </w:rPr>
        <w:t>月</w:t>
      </w:r>
      <w:r>
        <w:rPr>
          <w:rFonts w:hint="eastAsia"/>
          <w:b/>
          <w:bCs/>
          <w:lang w:val="en-US" w:eastAsia="zh-CN"/>
        </w:rPr>
        <w:t xml:space="preserve">    </w:t>
      </w:r>
      <w:r>
        <w:rPr>
          <w:rFonts w:hint="eastAsia"/>
          <w:b/>
          <w:bCs/>
        </w:rPr>
        <w:t>日</w:t>
      </w:r>
    </w:p>
    <w:p>
      <w:pPr>
        <w:ind w:left="0" w:leftChars="0" w:firstLine="1020" w:firstLineChars="300"/>
      </w:pPr>
      <w:r>
        <w:br w:type="page"/>
      </w:r>
    </w:p>
    <w:p/>
    <w:p>
      <w:pPr>
        <w:jc w:val="center"/>
      </w:pPr>
      <w:r>
        <w:rPr>
          <w:rFonts w:hint="eastAsia"/>
        </w:rPr>
        <w:t>目   录</w:t>
      </w:r>
    </w:p>
    <w:p>
      <w:r>
        <w:rPr>
          <w:rFonts w:hint="eastAsia"/>
        </w:rPr>
        <w:t>一、投标函及投标函附录；</w:t>
      </w:r>
    </w:p>
    <w:p>
      <w:r>
        <w:rPr>
          <w:rFonts w:hint="eastAsia"/>
        </w:rPr>
        <w:t>二、法定代表人身份证明、授权委托书及项目经理承诺书；</w:t>
      </w:r>
    </w:p>
    <w:p>
      <w:r>
        <w:rPr>
          <w:rFonts w:hint="eastAsia"/>
        </w:rPr>
        <w:t>三、投标保证金；</w:t>
      </w:r>
    </w:p>
    <w:p>
      <w:r>
        <w:rPr>
          <w:rFonts w:hint="eastAsia"/>
        </w:rPr>
        <w:t>四、项目管理机构配备情况；</w:t>
      </w:r>
    </w:p>
    <w:p>
      <w:r>
        <w:rPr>
          <w:rFonts w:hint="eastAsia"/>
        </w:rPr>
        <w:t>五、投标单位基本信息表；</w:t>
      </w:r>
    </w:p>
    <w:p>
      <w:r>
        <w:rPr>
          <w:rFonts w:hint="eastAsia"/>
        </w:rPr>
        <w:t>六、资格证明文件；</w:t>
      </w:r>
    </w:p>
    <w:p>
      <w:r>
        <w:rPr>
          <w:rFonts w:hint="eastAsia"/>
        </w:rPr>
        <w:t>七、近年财务状况</w:t>
      </w:r>
    </w:p>
    <w:p>
      <w:r>
        <w:rPr>
          <w:rFonts w:hint="eastAsia"/>
        </w:rPr>
        <w:t>八、近年发生的诉讼及仲裁情况；</w:t>
      </w:r>
    </w:p>
    <w:p>
      <w:r>
        <w:rPr>
          <w:rFonts w:hint="eastAsia"/>
        </w:rPr>
        <w:t>九、近年完成的类似项目情况；</w:t>
      </w:r>
    </w:p>
    <w:p>
      <w:r>
        <w:rPr>
          <w:rFonts w:hint="eastAsia"/>
        </w:rPr>
        <w:t>十、正在施工的和新承接的项目情况；</w:t>
      </w:r>
    </w:p>
    <w:p>
      <w:r>
        <w:rPr>
          <w:rFonts w:hint="eastAsia"/>
        </w:rPr>
        <w:t>十一、其它材料；</w:t>
      </w:r>
    </w:p>
    <w:p/>
    <w:p>
      <w:r>
        <w:rPr>
          <w:rFonts w:hint="eastAsia"/>
        </w:rPr>
        <w:t>投标文件编制过程中应按本章提供的格式填报。</w:t>
      </w:r>
    </w:p>
    <w:p>
      <w:r>
        <w:rPr>
          <w:rFonts w:hint="eastAsia"/>
        </w:rPr>
        <w:t>如有本章未提供的格式，投标人可自行编制。</w:t>
      </w:r>
    </w:p>
    <w:p/>
    <w:p/>
    <w:p>
      <w:pPr>
        <w:jc w:val="center"/>
      </w:pPr>
      <w:r>
        <w:br w:type="page"/>
      </w:r>
      <w:bookmarkStart w:id="1194" w:name="_Toc11793"/>
      <w:r>
        <w:rPr>
          <w:rFonts w:hint="eastAsia"/>
          <w:b/>
          <w:bCs/>
        </w:rPr>
        <w:t>一、投标函及投标函附录</w:t>
      </w:r>
      <w:bookmarkEnd w:id="1194"/>
    </w:p>
    <w:p>
      <w:bookmarkStart w:id="1195" w:name="_Toc271787730"/>
      <w:r>
        <w:rPr>
          <w:rFonts w:hint="eastAsia"/>
        </w:rPr>
        <w:t>（一）投标函</w:t>
      </w:r>
    </w:p>
    <w:p>
      <w:r>
        <w:rPr>
          <w:rFonts w:hint="eastAsia"/>
        </w:rPr>
        <w:t>致：（招标人名称）</w:t>
      </w:r>
    </w:p>
    <w:p>
      <w:r>
        <w:rPr>
          <w:rFonts w:hint="eastAsia"/>
        </w:rPr>
        <w:t>在考察现场并充分研究（项目名称）（以下简称“本工程”）施工招标文件的全部内容后，我方兹以：</w:t>
      </w:r>
    </w:p>
    <w:p>
      <w:r>
        <w:rPr>
          <w:rFonts w:hint="eastAsia"/>
        </w:rPr>
        <w:t>人民币（大写）：            元</w:t>
      </w:r>
    </w:p>
    <w:p>
      <w:r>
        <w:rPr>
          <w:rFonts w:hint="eastAsia"/>
        </w:rPr>
        <w:t>RMB￥：                元</w:t>
      </w:r>
    </w:p>
    <w:p>
      <w:r>
        <w:rPr>
          <w:rFonts w:hint="eastAsia"/>
        </w:rPr>
        <w:t>的投标价格和按合同约定有权得到的其它金额，并严格按照合同约定，施工、竣工和交付本工程并维修其中的任何缺陷。</w:t>
      </w:r>
    </w:p>
    <w:p>
      <w:r>
        <w:rPr>
          <w:rFonts w:hint="eastAsia"/>
        </w:rPr>
        <w:t>在我方的上述投标总报价中，包括：</w:t>
      </w:r>
    </w:p>
    <w:p>
      <w:r>
        <w:rPr>
          <w:rFonts w:hint="eastAsia"/>
        </w:rPr>
        <w:t>规费RMB￥：              元</w:t>
      </w:r>
    </w:p>
    <w:p>
      <w:r>
        <w:rPr>
          <w:rFonts w:hint="eastAsia"/>
        </w:rPr>
        <w:t>税金RMB￥：              元</w:t>
      </w:r>
    </w:p>
    <w:p>
      <w:r>
        <w:rPr>
          <w:rFonts w:hint="eastAsia"/>
        </w:rPr>
        <w:t>安全文明措施费RMB￥：             元</w:t>
      </w:r>
    </w:p>
    <w:p>
      <w:r>
        <w:rPr>
          <w:rFonts w:hint="eastAsia"/>
        </w:rPr>
        <w:t>如果我方中标，我方保证按照合同约定的开工日期开始本工程的施工，       天（日历日）内竣工，并确保工程质量达到标准。我方同意本投标函在招标文件规定的提交投标文件截止时间后，在招标文件规定的投标有效期期满前对我方具有约束力，且随时准备接受你方发出的中标通知书。</w:t>
      </w:r>
    </w:p>
    <w:p>
      <w:r>
        <w:rPr>
          <w:rFonts w:hint="eastAsia"/>
        </w:rPr>
        <w:t>随本投标函递交的投标函附录是本投标函的组成部分，对我方构成约束力。</w:t>
      </w:r>
    </w:p>
    <w:p>
      <w:r>
        <w:rPr>
          <w:rFonts w:hint="eastAsia"/>
        </w:rPr>
        <w:t>随同本投标函递交投标保证金一份，金额为人民币（大写）：        元（￥：    元）。</w:t>
      </w:r>
    </w:p>
    <w:p>
      <w:r>
        <w:rPr>
          <w:rFonts w:hint="eastAsia"/>
        </w:rPr>
        <w:t>在签署协议书之前，你方的中标通知书连同本投标函，包括投标函附录，对双方具有约束力。</w:t>
      </w:r>
    </w:p>
    <w:p/>
    <w:p>
      <w:r>
        <w:rPr>
          <w:rFonts w:hint="eastAsia"/>
        </w:rPr>
        <w:t xml:space="preserve">投标人（盖章）：                   </w:t>
      </w:r>
    </w:p>
    <w:p>
      <w:r>
        <w:rPr>
          <w:rFonts w:hint="eastAsia"/>
        </w:rPr>
        <w:t xml:space="preserve">法定代表人或委托代理人（签字）：        </w:t>
      </w:r>
    </w:p>
    <w:p>
      <w:r>
        <w:rPr>
          <w:rFonts w:hint="eastAsia"/>
        </w:rPr>
        <w:t>日期：   年    月   日</w:t>
      </w:r>
    </w:p>
    <w:p/>
    <w:p>
      <w:bookmarkStart w:id="1196" w:name="_Toc250616672"/>
    </w:p>
    <w:p>
      <w:pPr>
        <w:rPr>
          <w:rFonts w:hint="eastAsia"/>
        </w:rPr>
        <w:sectPr>
          <w:footerReference r:id="rId10" w:type="default"/>
          <w:pgSz w:w="11906" w:h="16838"/>
          <w:pgMar w:top="1440" w:right="1080" w:bottom="1440" w:left="1080" w:header="851" w:footer="992" w:gutter="0"/>
          <w:pgNumType w:fmt="decimal"/>
          <w:cols w:space="425" w:num="1"/>
          <w:docGrid w:type="lines" w:linePitch="312" w:charSpace="0"/>
        </w:sectPr>
      </w:pPr>
    </w:p>
    <w:p>
      <w:pPr>
        <w:jc w:val="left"/>
        <w:rPr>
          <w:b w:val="0"/>
          <w:bCs w:val="0"/>
        </w:rPr>
      </w:pPr>
      <w:r>
        <w:rPr>
          <w:rFonts w:hint="eastAsia"/>
          <w:b w:val="0"/>
          <w:bCs w:val="0"/>
        </w:rPr>
        <w:t>（二）投标函附录</w:t>
      </w:r>
      <w:bookmarkEnd w:id="1196"/>
    </w:p>
    <w:tbl>
      <w:tblPr>
        <w:tblStyle w:val="42"/>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6"/>
        <w:gridCol w:w="1331"/>
        <w:gridCol w:w="740"/>
        <w:gridCol w:w="1243"/>
        <w:gridCol w:w="78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3236" w:type="dxa"/>
            <w:vAlign w:val="center"/>
          </w:tcPr>
          <w:p>
            <w:r>
              <w:rPr>
                <w:rFonts w:hint="eastAsia"/>
              </w:rPr>
              <w:t>工程名称</w:t>
            </w:r>
          </w:p>
        </w:tc>
        <w:tc>
          <w:tcPr>
            <w:tcW w:w="6004"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3236" w:type="dxa"/>
            <w:vAlign w:val="center"/>
          </w:tcPr>
          <w:p>
            <w:r>
              <w:rPr>
                <w:rFonts w:hint="eastAsia"/>
              </w:rPr>
              <w:t>投标人</w:t>
            </w:r>
          </w:p>
        </w:tc>
        <w:tc>
          <w:tcPr>
            <w:tcW w:w="6004"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36" w:type="dxa"/>
            <w:vAlign w:val="center"/>
          </w:tcPr>
          <w:p>
            <w:r>
              <w:rPr>
                <w:rFonts w:hint="eastAsia"/>
              </w:rPr>
              <w:t>项目经理</w:t>
            </w:r>
          </w:p>
        </w:tc>
        <w:tc>
          <w:tcPr>
            <w:tcW w:w="1331" w:type="dxa"/>
            <w:vAlign w:val="center"/>
          </w:tcPr>
          <w:p/>
        </w:tc>
        <w:tc>
          <w:tcPr>
            <w:tcW w:w="740" w:type="dxa"/>
            <w:vAlign w:val="center"/>
          </w:tcPr>
          <w:p>
            <w:r>
              <w:rPr>
                <w:rFonts w:hint="eastAsia"/>
              </w:rPr>
              <w:t>级别</w:t>
            </w:r>
          </w:p>
        </w:tc>
        <w:tc>
          <w:tcPr>
            <w:tcW w:w="1243" w:type="dxa"/>
            <w:vAlign w:val="center"/>
          </w:tcPr>
          <w:p/>
        </w:tc>
        <w:tc>
          <w:tcPr>
            <w:tcW w:w="789" w:type="dxa"/>
            <w:vAlign w:val="center"/>
          </w:tcPr>
          <w:p>
            <w:r>
              <w:rPr>
                <w:rFonts w:hint="eastAsia"/>
              </w:rPr>
              <w:t>证书编号</w:t>
            </w:r>
          </w:p>
        </w:tc>
        <w:tc>
          <w:tcPr>
            <w:tcW w:w="19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36" w:type="dxa"/>
            <w:vAlign w:val="center"/>
          </w:tcPr>
          <w:p>
            <w:r>
              <w:rPr>
                <w:rFonts w:hint="eastAsia"/>
              </w:rPr>
              <w:t>技术负责人</w:t>
            </w:r>
          </w:p>
        </w:tc>
        <w:tc>
          <w:tcPr>
            <w:tcW w:w="1331" w:type="dxa"/>
            <w:vAlign w:val="center"/>
          </w:tcPr>
          <w:p/>
        </w:tc>
        <w:tc>
          <w:tcPr>
            <w:tcW w:w="740" w:type="dxa"/>
            <w:vAlign w:val="center"/>
          </w:tcPr>
          <w:p>
            <w:r>
              <w:rPr>
                <w:rFonts w:hint="eastAsia"/>
              </w:rPr>
              <w:t>级别</w:t>
            </w:r>
          </w:p>
        </w:tc>
        <w:tc>
          <w:tcPr>
            <w:tcW w:w="1243" w:type="dxa"/>
            <w:vAlign w:val="center"/>
          </w:tcPr>
          <w:p/>
        </w:tc>
        <w:tc>
          <w:tcPr>
            <w:tcW w:w="789" w:type="dxa"/>
            <w:vAlign w:val="center"/>
          </w:tcPr>
          <w:p>
            <w:r>
              <w:rPr>
                <w:rFonts w:hint="eastAsia"/>
              </w:rPr>
              <w:t>证书编号</w:t>
            </w:r>
          </w:p>
        </w:tc>
        <w:tc>
          <w:tcPr>
            <w:tcW w:w="19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3236" w:type="dxa"/>
            <w:vMerge w:val="restart"/>
            <w:vAlign w:val="center"/>
          </w:tcPr>
          <w:p>
            <w:r>
              <w:rPr>
                <w:rFonts w:hint="eastAsia"/>
              </w:rPr>
              <w:t>投标总报价</w:t>
            </w:r>
          </w:p>
        </w:tc>
        <w:tc>
          <w:tcPr>
            <w:tcW w:w="3314" w:type="dxa"/>
            <w:gridSpan w:val="3"/>
            <w:vAlign w:val="center"/>
          </w:tcPr>
          <w:p>
            <w:r>
              <w:rPr>
                <w:rFonts w:hint="eastAsia"/>
              </w:rPr>
              <w:t>（大写）:</w:t>
            </w:r>
          </w:p>
        </w:tc>
        <w:tc>
          <w:tcPr>
            <w:tcW w:w="2690" w:type="dxa"/>
            <w:gridSpan w:val="2"/>
            <w:vAlign w:val="center"/>
          </w:tcPr>
          <w:p>
            <w:r>
              <w:rPr>
                <w:rFonts w:hint="eastAsia"/>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6" w:hRule="atLeast"/>
          <w:jc w:val="center"/>
        </w:trPr>
        <w:tc>
          <w:tcPr>
            <w:tcW w:w="3236" w:type="dxa"/>
            <w:vMerge w:val="continue"/>
            <w:vAlign w:val="center"/>
          </w:tcPr>
          <w:p/>
        </w:tc>
        <w:tc>
          <w:tcPr>
            <w:tcW w:w="6004" w:type="dxa"/>
            <w:gridSpan w:val="5"/>
            <w:vAlign w:val="center"/>
          </w:tcPr>
          <w:p>
            <w:r>
              <w:rPr>
                <w:rFonts w:hint="eastAsia"/>
              </w:rPr>
              <w:t>其中：</w:t>
            </w:r>
          </w:p>
          <w:p>
            <w:r>
              <w:rPr>
                <w:rFonts w:hint="eastAsia"/>
              </w:rPr>
              <w:t>规费RMB￥：元</w:t>
            </w:r>
          </w:p>
          <w:p>
            <w:r>
              <w:rPr>
                <w:rFonts w:hint="eastAsia"/>
              </w:rPr>
              <w:t>税金RMB￥：元</w:t>
            </w:r>
          </w:p>
          <w:p>
            <w:r>
              <w:rPr>
                <w:rFonts w:hint="eastAsia"/>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3236" w:type="dxa"/>
            <w:vAlign w:val="center"/>
          </w:tcPr>
          <w:p>
            <w:r>
              <w:rPr>
                <w:rFonts w:hint="eastAsia"/>
              </w:rPr>
              <w:t>工程质量</w:t>
            </w:r>
          </w:p>
        </w:tc>
        <w:tc>
          <w:tcPr>
            <w:tcW w:w="6004"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236" w:type="dxa"/>
            <w:vAlign w:val="center"/>
          </w:tcPr>
          <w:p>
            <w:r>
              <w:rPr>
                <w:rFonts w:hint="eastAsia"/>
              </w:rPr>
              <w:t>投标工期</w:t>
            </w:r>
          </w:p>
        </w:tc>
        <w:tc>
          <w:tcPr>
            <w:tcW w:w="6004" w:type="dxa"/>
            <w:gridSpan w:val="5"/>
            <w:vAlign w:val="center"/>
          </w:tcPr>
          <w:p>
            <w:r>
              <w:rPr>
                <w:rFonts w:hint="eastAsia"/>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3236" w:type="dxa"/>
            <w:vAlign w:val="center"/>
          </w:tcPr>
          <w:p>
            <w:r>
              <w:rPr>
                <w:rFonts w:hint="eastAsia"/>
              </w:rPr>
              <w:t>投标有效期</w:t>
            </w:r>
          </w:p>
        </w:tc>
        <w:tc>
          <w:tcPr>
            <w:tcW w:w="6004"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9240" w:type="dxa"/>
            <w:gridSpan w:val="6"/>
          </w:tcPr>
          <w:p>
            <w:r>
              <w:rPr>
                <w:rFonts w:hint="eastAsia"/>
              </w:rPr>
              <w:t xml:space="preserve"> 优惠与服务承诺：</w:t>
            </w:r>
          </w:p>
          <w:p/>
          <w:p/>
          <w:p/>
          <w:p/>
          <w:p/>
        </w:tc>
      </w:tr>
    </w:tbl>
    <w:p/>
    <w:p>
      <w:r>
        <w:rPr>
          <w:rFonts w:hint="eastAsia"/>
        </w:rPr>
        <w:t>投标单位（盖章）：</w:t>
      </w:r>
    </w:p>
    <w:p>
      <w:r>
        <w:rPr>
          <w:rFonts w:hint="eastAsia"/>
        </w:rPr>
        <w:t>法定代表人或委托代理人（签字）：</w:t>
      </w:r>
    </w:p>
    <w:p>
      <w:r>
        <w:rPr>
          <w:rFonts w:hint="eastAsia"/>
        </w:rPr>
        <w:t>年   月    日</w:t>
      </w:r>
    </w:p>
    <w:p>
      <w:pPr>
        <w:rPr>
          <w:rFonts w:hint="eastAsia"/>
        </w:rPr>
      </w:pPr>
      <w:r>
        <w:rPr>
          <w:rFonts w:hint="eastAsia"/>
        </w:rPr>
        <w:br w:type="page"/>
      </w:r>
    </w:p>
    <w:p>
      <w:pPr>
        <w:jc w:val="center"/>
        <w:rPr>
          <w:b/>
          <w:bCs/>
        </w:rPr>
      </w:pPr>
      <w:bookmarkStart w:id="1197" w:name="_Toc1972"/>
      <w:r>
        <w:rPr>
          <w:rFonts w:hint="eastAsia"/>
          <w:b/>
          <w:bCs/>
        </w:rPr>
        <w:t>二、</w:t>
      </w:r>
      <w:bookmarkEnd w:id="1195"/>
      <w:r>
        <w:rPr>
          <w:rFonts w:hint="eastAsia"/>
          <w:b/>
          <w:bCs/>
        </w:rPr>
        <w:t>法定代表人身份证明、授权委托书、项目经理承诺书</w:t>
      </w:r>
      <w:bookmarkEnd w:id="1197"/>
    </w:p>
    <w:p>
      <w:bookmarkStart w:id="1198" w:name="_Toc271787731"/>
      <w:r>
        <w:rPr>
          <w:rFonts w:hint="eastAsia"/>
        </w:rPr>
        <w:t>（一）法定代表人身份证明</w:t>
      </w:r>
      <w:bookmarkEnd w:id="1198"/>
    </w:p>
    <w:p/>
    <w:p>
      <w:r>
        <w:rPr>
          <w:rFonts w:hint="eastAsia"/>
        </w:rPr>
        <w:t xml:space="preserve">投标人名称：        </w:t>
      </w:r>
    </w:p>
    <w:p>
      <w:r>
        <w:rPr>
          <w:rFonts w:hint="eastAsia"/>
        </w:rPr>
        <w:t xml:space="preserve">单位性质：        </w:t>
      </w:r>
    </w:p>
    <w:p>
      <w:r>
        <w:rPr>
          <w:rFonts w:hint="eastAsia"/>
        </w:rPr>
        <w:t xml:space="preserve">地址：        </w:t>
      </w:r>
    </w:p>
    <w:p>
      <w:r>
        <w:rPr>
          <w:rFonts w:hint="eastAsia"/>
        </w:rPr>
        <w:t>成立时间：年月日</w:t>
      </w:r>
    </w:p>
    <w:p>
      <w:r>
        <w:rPr>
          <w:rFonts w:hint="eastAsia"/>
        </w:rPr>
        <w:t xml:space="preserve">经营期限：        </w:t>
      </w:r>
    </w:p>
    <w:p>
      <w:r>
        <w:rPr>
          <w:rFonts w:hint="eastAsia"/>
        </w:rPr>
        <w:t xml:space="preserve">姓名：        性别：        年龄：        职务：        </w:t>
      </w:r>
    </w:p>
    <w:p>
      <w:r>
        <w:rPr>
          <w:rFonts w:hint="eastAsia"/>
        </w:rPr>
        <w:t>系（投标人名称）的法定代表人。</w:t>
      </w:r>
    </w:p>
    <w:p>
      <w:r>
        <w:rPr>
          <w:rFonts w:hint="eastAsia"/>
        </w:rPr>
        <w:t>特此证明。</w:t>
      </w:r>
    </w:p>
    <w:p/>
    <w:p>
      <w:r>
        <w:rPr>
          <w:rFonts w:hint="eastAsia"/>
        </w:rPr>
        <w:t>投标人：（盖单位章）</w:t>
      </w:r>
    </w:p>
    <w:p>
      <w:r>
        <w:rPr>
          <w:rFonts w:hint="eastAsia"/>
        </w:rPr>
        <w:t>年月日</w:t>
      </w:r>
    </w:p>
    <w:p/>
    <w:p/>
    <w:p/>
    <w:p/>
    <w:p/>
    <w:p/>
    <w:p/>
    <w:p/>
    <w:p>
      <w:r>
        <w:br w:type="page"/>
      </w:r>
    </w:p>
    <w:p>
      <w:pPr>
        <w:jc w:val="left"/>
        <w:rPr>
          <w:b w:val="0"/>
          <w:bCs w:val="0"/>
          <w:i w:val="0"/>
          <w:iCs w:val="0"/>
        </w:rPr>
      </w:pPr>
    </w:p>
    <w:p>
      <w:pPr>
        <w:jc w:val="left"/>
        <w:rPr>
          <w:b w:val="0"/>
          <w:bCs w:val="0"/>
          <w:i w:val="0"/>
          <w:iCs w:val="0"/>
        </w:rPr>
      </w:pPr>
      <w:bookmarkStart w:id="1199" w:name="_Toc271787732"/>
      <w:r>
        <w:rPr>
          <w:rFonts w:hint="eastAsia"/>
          <w:b w:val="0"/>
          <w:bCs w:val="0"/>
          <w:i w:val="0"/>
          <w:iCs w:val="0"/>
        </w:rPr>
        <w:t>（二）授权委托书</w:t>
      </w:r>
      <w:bookmarkEnd w:id="1199"/>
    </w:p>
    <w:p/>
    <w:p>
      <w:r>
        <w:rPr>
          <w:rFonts w:hint="eastAsia"/>
        </w:rPr>
        <w:t>本人（姓名）系（投标人名称）的法定代表人，现委托（姓名）为我方代理人。代理人根据授权，以我方名义签署、澄清、说明、补正、递交、撤回、修改（项目名称）施工投标文件、签订合同和处理有关事宜，其法律后果由我方承担。</w:t>
      </w:r>
    </w:p>
    <w:p>
      <w:r>
        <w:rPr>
          <w:rFonts w:hint="eastAsia"/>
        </w:rPr>
        <w:t>委托期限：        。</w:t>
      </w:r>
    </w:p>
    <w:p>
      <w:r>
        <w:rPr>
          <w:rFonts w:hint="eastAsia"/>
        </w:rPr>
        <w:t>代理人无转委托权。</w:t>
      </w:r>
    </w:p>
    <w:p>
      <w:r>
        <w:rPr>
          <w:rFonts w:hint="eastAsia"/>
        </w:rPr>
        <w:t>附：法定代表人身份证明</w:t>
      </w:r>
    </w:p>
    <w:p/>
    <w:p/>
    <w:p>
      <w:pPr>
        <w:rPr>
          <w:rFonts w:hint="eastAsia" w:eastAsia="宋体"/>
          <w:lang w:eastAsia="zh-CN"/>
        </w:rPr>
      </w:pPr>
    </w:p>
    <w:p/>
    <w:p/>
    <w:p>
      <w:r>
        <w:rPr>
          <w:rFonts w:hint="eastAsia"/>
        </w:rPr>
        <w:t>投标人：                    （盖单位章）</w:t>
      </w:r>
    </w:p>
    <w:p>
      <w:r>
        <w:rPr>
          <w:rFonts w:hint="eastAsia"/>
        </w:rPr>
        <w:t xml:space="preserve">     法定代表人：                     （签字）</w:t>
      </w:r>
    </w:p>
    <w:p>
      <w:r>
        <w:rPr>
          <w:rFonts w:hint="eastAsia"/>
        </w:rPr>
        <w:t xml:space="preserve">身份证号码：                         </w:t>
      </w:r>
    </w:p>
    <w:p>
      <w:r>
        <w:rPr>
          <w:rFonts w:hint="eastAsia"/>
        </w:rPr>
        <w:t>委托代理人：                       （签字）</w:t>
      </w:r>
    </w:p>
    <w:p>
      <w:r>
        <w:rPr>
          <w:rFonts w:hint="eastAsia"/>
        </w:rPr>
        <w:t xml:space="preserve">身份证号码：                              </w:t>
      </w:r>
    </w:p>
    <w:p>
      <w:r>
        <w:rPr>
          <w:rFonts w:hint="eastAsia"/>
        </w:rPr>
        <w:t>年月日</w:t>
      </w:r>
    </w:p>
    <w:p/>
    <w:p>
      <w:r>
        <w:rPr>
          <w:rFonts w:hint="eastAsia"/>
        </w:rPr>
        <w:t>（三）项目经理承诺书</w:t>
      </w:r>
    </w:p>
    <w:p/>
    <w:p>
      <w:r>
        <w:rPr>
          <w:rFonts w:hint="eastAsia"/>
        </w:rPr>
        <w:t xml:space="preserve">（招标人名称）：             </w:t>
      </w:r>
    </w:p>
    <w:p>
      <w:r>
        <w:rPr>
          <w:rFonts w:hint="eastAsia"/>
        </w:rPr>
        <w:t>本人（姓名）系我公司拟派 （项目名称）的项目经理，现承诺：亲自参加开标活动，并愿意承担因我方就此弄虚作假所引起的一切法律后果。</w:t>
      </w:r>
    </w:p>
    <w:p>
      <w:r>
        <w:rPr>
          <w:rFonts w:hint="eastAsia"/>
        </w:rPr>
        <w:t>特此承诺！</w:t>
      </w:r>
    </w:p>
    <w:p>
      <w:r>
        <w:rPr>
          <w:rFonts w:hint="eastAsia"/>
        </w:rPr>
        <w:t>附：项目经理身份证明</w:t>
      </w:r>
    </w:p>
    <w:p>
      <w:r>
        <w:rPr>
          <w:rFonts w:hint="eastAsia"/>
        </w:rPr>
        <w:t>投  标  人：                      （盖单位章）</w:t>
      </w:r>
    </w:p>
    <w:p>
      <w:r>
        <w:rPr>
          <w:rFonts w:hint="eastAsia"/>
        </w:rPr>
        <w:t>项目经理：                           （须本人签字）</w:t>
      </w:r>
    </w:p>
    <w:p>
      <w:r>
        <w:rPr>
          <w:rFonts w:hint="eastAsia"/>
        </w:rPr>
        <w:t xml:space="preserve">身份证号：                           </w:t>
      </w:r>
    </w:p>
    <w:p>
      <w:r>
        <w:rPr>
          <w:rFonts w:hint="eastAsia"/>
        </w:rPr>
        <w:t xml:space="preserve">                                      年    月    日</w:t>
      </w:r>
    </w:p>
    <w:p/>
    <w:tbl>
      <w:tblPr>
        <w:tblStyle w:val="42"/>
        <w:tblW w:w="9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6"/>
        <w:gridCol w:w="4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5" w:hRule="atLeast"/>
          <w:jc w:val="center"/>
        </w:trPr>
        <w:tc>
          <w:tcPr>
            <w:tcW w:w="4736" w:type="dxa"/>
            <w:vAlign w:val="center"/>
          </w:tcPr>
          <w:p>
            <w:r>
              <w:rPr>
                <w:rFonts w:hint="eastAsia"/>
              </w:rPr>
              <w:t>身份证复印件</w:t>
            </w:r>
          </w:p>
        </w:tc>
        <w:tc>
          <w:tcPr>
            <w:tcW w:w="4736" w:type="dxa"/>
            <w:vAlign w:val="center"/>
          </w:tcPr>
          <w:p>
            <w:r>
              <w:rPr>
                <w:rFonts w:hint="eastAsia"/>
              </w:rPr>
              <w:t>建造师证书复印件</w:t>
            </w:r>
          </w:p>
        </w:tc>
      </w:tr>
    </w:tbl>
    <w:p/>
    <w:p>
      <w:pPr>
        <w:jc w:val="center"/>
        <w:rPr>
          <w:b/>
          <w:bCs/>
        </w:rPr>
      </w:pPr>
      <w:r>
        <w:rPr>
          <w:rFonts w:hint="eastAsia"/>
          <w:b/>
          <w:bCs/>
        </w:rPr>
        <w:drawing>
          <wp:anchor distT="0" distB="0" distL="114300" distR="114300" simplePos="0" relativeHeight="251662336"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6"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66"/>
                    <pic:cNvPicPr>
                      <a:picLocks noChangeAspect="1" noChangeArrowheads="1"/>
                    </pic:cNvPicPr>
                  </pic:nvPicPr>
                  <pic:blipFill>
                    <a:blip r:embed="rId22"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b/>
          <w:bCs/>
        </w:rPr>
        <w:t>三、投标保证金</w:t>
      </w:r>
    </w:p>
    <w:p/>
    <w:p/>
    <w:p>
      <w:r>
        <w:rPr>
          <w:rFonts w:hint="eastAsia"/>
        </w:rPr>
        <w:t>附投标保证金有效银行转账凭证复印件；</w:t>
      </w:r>
    </w:p>
    <w:p>
      <w:pPr>
        <w:jc w:val="center"/>
      </w:pPr>
      <w:r>
        <w:br w:type="page"/>
      </w:r>
      <w:bookmarkStart w:id="1200" w:name="_Toc27110"/>
      <w:r>
        <w:rPr>
          <w:rFonts w:hint="eastAsia"/>
          <w:b/>
          <w:bCs/>
        </w:rPr>
        <w:t>四、项目管理机构配备情况</w:t>
      </w:r>
      <w:bookmarkEnd w:id="1200"/>
    </w:p>
    <w:p>
      <w:r>
        <w:rPr>
          <w:rFonts w:hint="eastAsia"/>
        </w:rPr>
        <w:t>（一）项目管理机构组成表</w:t>
      </w:r>
    </w:p>
    <w:p/>
    <w:tbl>
      <w:tblPr>
        <w:tblStyle w:val="42"/>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r>
              <w:rPr>
                <w:rFonts w:hint="eastAsia"/>
              </w:rPr>
              <w:t>职务</w:t>
            </w:r>
          </w:p>
        </w:tc>
        <w:tc>
          <w:tcPr>
            <w:tcW w:w="914" w:type="dxa"/>
            <w:vMerge w:val="restart"/>
            <w:vAlign w:val="center"/>
          </w:tcPr>
          <w:p>
            <w:r>
              <w:rPr>
                <w:rFonts w:hint="eastAsia"/>
              </w:rPr>
              <w:t>姓名</w:t>
            </w:r>
          </w:p>
        </w:tc>
        <w:tc>
          <w:tcPr>
            <w:tcW w:w="914" w:type="dxa"/>
            <w:vMerge w:val="restart"/>
            <w:vAlign w:val="center"/>
          </w:tcPr>
          <w:p>
            <w:r>
              <w:rPr>
                <w:rFonts w:hint="eastAsia"/>
              </w:rPr>
              <w:t>职称</w:t>
            </w:r>
          </w:p>
        </w:tc>
        <w:tc>
          <w:tcPr>
            <w:tcW w:w="5710" w:type="dxa"/>
            <w:gridSpan w:val="5"/>
            <w:vAlign w:val="center"/>
          </w:tcPr>
          <w:p>
            <w:r>
              <w:rPr>
                <w:rFonts w:hint="eastAsia"/>
              </w:rPr>
              <w:t>执业或职业资格证明</w:t>
            </w:r>
          </w:p>
        </w:tc>
        <w:tc>
          <w:tcPr>
            <w:tcW w:w="1036" w:type="dxa"/>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tc>
        <w:tc>
          <w:tcPr>
            <w:tcW w:w="914" w:type="dxa"/>
            <w:vMerge w:val="continue"/>
            <w:vAlign w:val="center"/>
          </w:tcPr>
          <w:p/>
        </w:tc>
        <w:tc>
          <w:tcPr>
            <w:tcW w:w="914" w:type="dxa"/>
            <w:vMerge w:val="continue"/>
            <w:vAlign w:val="center"/>
          </w:tcPr>
          <w:p/>
        </w:tc>
        <w:tc>
          <w:tcPr>
            <w:tcW w:w="1405" w:type="dxa"/>
            <w:vAlign w:val="center"/>
          </w:tcPr>
          <w:p>
            <w:r>
              <w:rPr>
                <w:rFonts w:hint="eastAsia"/>
              </w:rPr>
              <w:t>证书名称</w:t>
            </w:r>
          </w:p>
        </w:tc>
        <w:tc>
          <w:tcPr>
            <w:tcW w:w="945" w:type="dxa"/>
            <w:vAlign w:val="center"/>
          </w:tcPr>
          <w:p>
            <w:r>
              <w:rPr>
                <w:rFonts w:hint="eastAsia"/>
              </w:rPr>
              <w:t>级别</w:t>
            </w:r>
          </w:p>
        </w:tc>
        <w:tc>
          <w:tcPr>
            <w:tcW w:w="945" w:type="dxa"/>
            <w:vAlign w:val="center"/>
          </w:tcPr>
          <w:p>
            <w:r>
              <w:rPr>
                <w:rFonts w:hint="eastAsia"/>
              </w:rPr>
              <w:t>证号</w:t>
            </w:r>
          </w:p>
        </w:tc>
        <w:tc>
          <w:tcPr>
            <w:tcW w:w="945" w:type="dxa"/>
            <w:vAlign w:val="center"/>
          </w:tcPr>
          <w:p>
            <w:r>
              <w:rPr>
                <w:rFonts w:hint="eastAsia"/>
              </w:rPr>
              <w:t>专业</w:t>
            </w:r>
          </w:p>
        </w:tc>
        <w:tc>
          <w:tcPr>
            <w:tcW w:w="1470" w:type="dxa"/>
            <w:vAlign w:val="center"/>
          </w:tcPr>
          <w:p>
            <w:r>
              <w:rPr>
                <w:rFonts w:hint="eastAsia"/>
              </w:rPr>
              <w:t>养老保险</w:t>
            </w:r>
          </w:p>
        </w:tc>
        <w:tc>
          <w:tcPr>
            <w:tcW w:w="103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tc>
        <w:tc>
          <w:tcPr>
            <w:tcW w:w="914" w:type="dxa"/>
          </w:tcPr>
          <w:p/>
        </w:tc>
        <w:tc>
          <w:tcPr>
            <w:tcW w:w="914" w:type="dxa"/>
          </w:tcPr>
          <w:p/>
        </w:tc>
        <w:tc>
          <w:tcPr>
            <w:tcW w:w="1405" w:type="dxa"/>
          </w:tcPr>
          <w:p/>
        </w:tc>
        <w:tc>
          <w:tcPr>
            <w:tcW w:w="945" w:type="dxa"/>
          </w:tcPr>
          <w:p/>
        </w:tc>
        <w:tc>
          <w:tcPr>
            <w:tcW w:w="945" w:type="dxa"/>
          </w:tcPr>
          <w:p/>
        </w:tc>
        <w:tc>
          <w:tcPr>
            <w:tcW w:w="945" w:type="dxa"/>
          </w:tcPr>
          <w:p/>
        </w:tc>
        <w:tc>
          <w:tcPr>
            <w:tcW w:w="1470" w:type="dxa"/>
          </w:tcPr>
          <w:p/>
        </w:tc>
        <w:tc>
          <w:tcPr>
            <w:tcW w:w="1036" w:type="dxa"/>
          </w:tcPr>
          <w:p/>
        </w:tc>
      </w:tr>
      <w:tr>
        <w:tblPrEx>
          <w:tblLayout w:type="fixed"/>
          <w:tblCellMar>
            <w:top w:w="0" w:type="dxa"/>
            <w:left w:w="108" w:type="dxa"/>
            <w:bottom w:w="0" w:type="dxa"/>
            <w:right w:w="108" w:type="dxa"/>
          </w:tblCellMar>
        </w:tblPrEx>
        <w:trPr>
          <w:trHeight w:val="499" w:hRule="atLeast"/>
          <w:jc w:val="center"/>
        </w:trPr>
        <w:tc>
          <w:tcPr>
            <w:tcW w:w="913" w:type="dxa"/>
          </w:tcPr>
          <w:p/>
        </w:tc>
        <w:tc>
          <w:tcPr>
            <w:tcW w:w="914" w:type="dxa"/>
          </w:tcPr>
          <w:p/>
        </w:tc>
        <w:tc>
          <w:tcPr>
            <w:tcW w:w="914" w:type="dxa"/>
          </w:tcPr>
          <w:p/>
        </w:tc>
        <w:tc>
          <w:tcPr>
            <w:tcW w:w="1405" w:type="dxa"/>
          </w:tcPr>
          <w:p/>
        </w:tc>
        <w:tc>
          <w:tcPr>
            <w:tcW w:w="945" w:type="dxa"/>
          </w:tcPr>
          <w:p/>
        </w:tc>
        <w:tc>
          <w:tcPr>
            <w:tcW w:w="945" w:type="dxa"/>
          </w:tcPr>
          <w:p/>
        </w:tc>
        <w:tc>
          <w:tcPr>
            <w:tcW w:w="945" w:type="dxa"/>
          </w:tcPr>
          <w:p/>
        </w:tc>
        <w:tc>
          <w:tcPr>
            <w:tcW w:w="1470" w:type="dxa"/>
          </w:tcPr>
          <w:p/>
        </w:tc>
        <w:tc>
          <w:tcPr>
            <w:tcW w:w="1036" w:type="dxa"/>
          </w:tcPr>
          <w:p/>
        </w:tc>
      </w:tr>
      <w:tr>
        <w:tblPrEx>
          <w:tblLayout w:type="fixed"/>
          <w:tblCellMar>
            <w:top w:w="0" w:type="dxa"/>
            <w:left w:w="108" w:type="dxa"/>
            <w:bottom w:w="0" w:type="dxa"/>
            <w:right w:w="108" w:type="dxa"/>
          </w:tblCellMar>
        </w:tblPrEx>
        <w:trPr>
          <w:trHeight w:val="499" w:hRule="atLeast"/>
          <w:jc w:val="center"/>
        </w:trPr>
        <w:tc>
          <w:tcPr>
            <w:tcW w:w="913" w:type="dxa"/>
          </w:tcPr>
          <w:p/>
        </w:tc>
        <w:tc>
          <w:tcPr>
            <w:tcW w:w="914" w:type="dxa"/>
          </w:tcPr>
          <w:p/>
        </w:tc>
        <w:tc>
          <w:tcPr>
            <w:tcW w:w="914" w:type="dxa"/>
          </w:tcPr>
          <w:p/>
        </w:tc>
        <w:tc>
          <w:tcPr>
            <w:tcW w:w="1405" w:type="dxa"/>
          </w:tcPr>
          <w:p/>
        </w:tc>
        <w:tc>
          <w:tcPr>
            <w:tcW w:w="945" w:type="dxa"/>
          </w:tcPr>
          <w:p/>
        </w:tc>
        <w:tc>
          <w:tcPr>
            <w:tcW w:w="945" w:type="dxa"/>
          </w:tcPr>
          <w:p/>
        </w:tc>
        <w:tc>
          <w:tcPr>
            <w:tcW w:w="945" w:type="dxa"/>
          </w:tcPr>
          <w:p/>
        </w:tc>
        <w:tc>
          <w:tcPr>
            <w:tcW w:w="1470" w:type="dxa"/>
          </w:tcPr>
          <w:p/>
        </w:tc>
        <w:tc>
          <w:tcPr>
            <w:tcW w:w="103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tc>
        <w:tc>
          <w:tcPr>
            <w:tcW w:w="914" w:type="dxa"/>
          </w:tcPr>
          <w:p>
            <w:r>
              <w:rPr>
                <w:rFonts w:hint="eastAsia"/>
              </w:rPr>
              <w:t>……</w:t>
            </w:r>
          </w:p>
        </w:tc>
        <w:tc>
          <w:tcPr>
            <w:tcW w:w="914" w:type="dxa"/>
          </w:tcPr>
          <w:p/>
        </w:tc>
        <w:tc>
          <w:tcPr>
            <w:tcW w:w="1405" w:type="dxa"/>
          </w:tcPr>
          <w:p/>
        </w:tc>
        <w:tc>
          <w:tcPr>
            <w:tcW w:w="945" w:type="dxa"/>
          </w:tcPr>
          <w:p/>
        </w:tc>
        <w:tc>
          <w:tcPr>
            <w:tcW w:w="945" w:type="dxa"/>
          </w:tcPr>
          <w:p/>
        </w:tc>
        <w:tc>
          <w:tcPr>
            <w:tcW w:w="945" w:type="dxa"/>
          </w:tcPr>
          <w:p/>
        </w:tc>
        <w:tc>
          <w:tcPr>
            <w:tcW w:w="1470" w:type="dxa"/>
          </w:tcPr>
          <w:p/>
        </w:tc>
        <w:tc>
          <w:tcPr>
            <w:tcW w:w="1036" w:type="dxa"/>
          </w:tcPr>
          <w:p/>
        </w:tc>
      </w:tr>
    </w:tbl>
    <w:p/>
    <w:p>
      <w:r>
        <w:br w:type="page"/>
      </w:r>
    </w:p>
    <w:p>
      <w:r>
        <w:rPr>
          <w:rFonts w:hint="eastAsia"/>
        </w:rPr>
        <w:t>（二）主要人员简历表</w:t>
      </w:r>
    </w:p>
    <w:p>
      <w:r>
        <w:rPr>
          <w:rFonts w:hint="eastAsia"/>
        </w:rPr>
        <w:t>附1：项目经理简历表</w:t>
      </w:r>
    </w:p>
    <w:p>
      <w:r>
        <w:rPr>
          <w:rFonts w:hint="eastAsia"/>
        </w:rPr>
        <w:t>项目经理应附项目经理执业资格证书、注册证书、安全生产考核合格证书、身份证、职称证、学历证、养老保险复印件及未担任其他在施建设工程项目项目经理的承诺书，管理过的项目业绩须附合同协议书和竣工验收备案登记表复印件。类似项目限于以项目经理身份参与的项目。</w:t>
      </w:r>
    </w:p>
    <w:p/>
    <w:tbl>
      <w:tblPr>
        <w:tblStyle w:val="42"/>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r>
              <w:rPr>
                <w:rFonts w:hint="eastAsia"/>
              </w:rPr>
              <w:t>姓  名</w:t>
            </w:r>
          </w:p>
        </w:tc>
        <w:tc>
          <w:tcPr>
            <w:tcW w:w="1101" w:type="dxa"/>
            <w:vAlign w:val="center"/>
          </w:tcPr>
          <w:p/>
        </w:tc>
        <w:tc>
          <w:tcPr>
            <w:tcW w:w="1204" w:type="dxa"/>
            <w:vAlign w:val="center"/>
          </w:tcPr>
          <w:p>
            <w:r>
              <w:rPr>
                <w:rFonts w:hint="eastAsia"/>
              </w:rPr>
              <w:t>年  龄</w:t>
            </w:r>
          </w:p>
        </w:tc>
        <w:tc>
          <w:tcPr>
            <w:tcW w:w="1355" w:type="dxa"/>
            <w:vAlign w:val="center"/>
          </w:tcPr>
          <w:p/>
        </w:tc>
        <w:tc>
          <w:tcPr>
            <w:tcW w:w="1959" w:type="dxa"/>
            <w:vAlign w:val="center"/>
          </w:tcPr>
          <w:p>
            <w:r>
              <w:rPr>
                <w:rFonts w:hint="eastAsia"/>
              </w:rPr>
              <w:t>学历</w:t>
            </w:r>
          </w:p>
        </w:tc>
        <w:tc>
          <w:tcPr>
            <w:tcW w:w="225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r>
              <w:rPr>
                <w:rFonts w:hint="eastAsia"/>
              </w:rPr>
              <w:t>职  称</w:t>
            </w:r>
          </w:p>
        </w:tc>
        <w:tc>
          <w:tcPr>
            <w:tcW w:w="1101" w:type="dxa"/>
            <w:vAlign w:val="center"/>
          </w:tcPr>
          <w:p/>
        </w:tc>
        <w:tc>
          <w:tcPr>
            <w:tcW w:w="1204" w:type="dxa"/>
            <w:vAlign w:val="center"/>
          </w:tcPr>
          <w:p>
            <w:r>
              <w:rPr>
                <w:rFonts w:hint="eastAsia"/>
              </w:rPr>
              <w:t>职  务</w:t>
            </w:r>
          </w:p>
        </w:tc>
        <w:tc>
          <w:tcPr>
            <w:tcW w:w="1355" w:type="dxa"/>
            <w:vAlign w:val="center"/>
          </w:tcPr>
          <w:p/>
        </w:tc>
        <w:tc>
          <w:tcPr>
            <w:tcW w:w="1959" w:type="dxa"/>
            <w:vAlign w:val="center"/>
          </w:tcPr>
          <w:p>
            <w:r>
              <w:rPr>
                <w:rFonts w:hint="eastAsia"/>
              </w:rPr>
              <w:t>拟在本工程任职</w:t>
            </w:r>
          </w:p>
        </w:tc>
        <w:tc>
          <w:tcPr>
            <w:tcW w:w="2259" w:type="dxa"/>
            <w:vAlign w:val="center"/>
          </w:tcPr>
          <w:p>
            <w:r>
              <w:rPr>
                <w:rFonts w:hint="eastAsia"/>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r>
              <w:rPr>
                <w:rFonts w:hint="eastAsia"/>
              </w:rPr>
              <w:t>注册建造师执业资格等级</w:t>
            </w:r>
          </w:p>
        </w:tc>
        <w:tc>
          <w:tcPr>
            <w:tcW w:w="1355" w:type="dxa"/>
            <w:vAlign w:val="center"/>
          </w:tcPr>
          <w:p>
            <w:r>
              <w:rPr>
                <w:rFonts w:hint="eastAsia"/>
              </w:rPr>
              <w:t xml:space="preserve">      级</w:t>
            </w:r>
          </w:p>
        </w:tc>
        <w:tc>
          <w:tcPr>
            <w:tcW w:w="1959" w:type="dxa"/>
            <w:vAlign w:val="center"/>
          </w:tcPr>
          <w:p>
            <w:r>
              <w:rPr>
                <w:rFonts w:hint="eastAsia"/>
              </w:rPr>
              <w:t>建造师专业</w:t>
            </w:r>
          </w:p>
        </w:tc>
        <w:tc>
          <w:tcPr>
            <w:tcW w:w="225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r>
              <w:rPr>
                <w:rFonts w:hint="eastAsia"/>
              </w:rPr>
              <w:t>安全生产考核合格证书</w:t>
            </w:r>
          </w:p>
        </w:tc>
        <w:tc>
          <w:tcPr>
            <w:tcW w:w="5573"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r>
              <w:rPr>
                <w:rFonts w:hint="eastAsia"/>
              </w:rPr>
              <w:t>毕业学校</w:t>
            </w:r>
          </w:p>
        </w:tc>
        <w:tc>
          <w:tcPr>
            <w:tcW w:w="7878" w:type="dxa"/>
            <w:gridSpan w:val="5"/>
            <w:vAlign w:val="center"/>
          </w:tcPr>
          <w:p>
            <w:r>
              <w:rPr>
                <w:rFonts w:hint="eastAsia"/>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r>
              <w:rPr>
                <w:rFonts w:hint="eastAsia"/>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r>
              <w:rPr>
                <w:rFonts w:hint="eastAsia"/>
              </w:rPr>
              <w:t>时  间</w:t>
            </w:r>
          </w:p>
        </w:tc>
        <w:tc>
          <w:tcPr>
            <w:tcW w:w="3660" w:type="dxa"/>
            <w:gridSpan w:val="3"/>
            <w:vAlign w:val="center"/>
          </w:tcPr>
          <w:p>
            <w:r>
              <w:rPr>
                <w:rFonts w:hint="eastAsia"/>
              </w:rPr>
              <w:t>参加过的类似项目名称</w:t>
            </w:r>
          </w:p>
        </w:tc>
        <w:tc>
          <w:tcPr>
            <w:tcW w:w="1959" w:type="dxa"/>
            <w:vAlign w:val="center"/>
          </w:tcPr>
          <w:p>
            <w:r>
              <w:rPr>
                <w:rFonts w:hint="eastAsia"/>
              </w:rPr>
              <w:t>工程概况说明</w:t>
            </w:r>
          </w:p>
        </w:tc>
        <w:tc>
          <w:tcPr>
            <w:tcW w:w="2259" w:type="dxa"/>
            <w:vAlign w:val="center"/>
          </w:tcPr>
          <w:p>
            <w:r>
              <w:rPr>
                <w:rFonts w:hint="eastAsia"/>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tc>
        <w:tc>
          <w:tcPr>
            <w:tcW w:w="3660" w:type="dxa"/>
            <w:gridSpan w:val="3"/>
            <w:vAlign w:val="center"/>
          </w:tcPr>
          <w:p/>
        </w:tc>
        <w:tc>
          <w:tcPr>
            <w:tcW w:w="1959" w:type="dxa"/>
            <w:vAlign w:val="center"/>
          </w:tcPr>
          <w:p/>
        </w:tc>
        <w:tc>
          <w:tcPr>
            <w:tcW w:w="225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tc>
        <w:tc>
          <w:tcPr>
            <w:tcW w:w="3660" w:type="dxa"/>
            <w:gridSpan w:val="3"/>
            <w:vAlign w:val="center"/>
          </w:tcPr>
          <w:p/>
        </w:tc>
        <w:tc>
          <w:tcPr>
            <w:tcW w:w="1959" w:type="dxa"/>
            <w:vAlign w:val="center"/>
          </w:tcPr>
          <w:p/>
        </w:tc>
        <w:tc>
          <w:tcPr>
            <w:tcW w:w="225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tc>
        <w:tc>
          <w:tcPr>
            <w:tcW w:w="3660" w:type="dxa"/>
            <w:gridSpan w:val="3"/>
            <w:vAlign w:val="center"/>
          </w:tcPr>
          <w:p/>
        </w:tc>
        <w:tc>
          <w:tcPr>
            <w:tcW w:w="1959" w:type="dxa"/>
            <w:vAlign w:val="center"/>
          </w:tcPr>
          <w:p/>
        </w:tc>
        <w:tc>
          <w:tcPr>
            <w:tcW w:w="2259" w:type="dxa"/>
            <w:vAlign w:val="center"/>
          </w:tcPr>
          <w:p/>
        </w:tc>
      </w:tr>
    </w:tbl>
    <w:p>
      <w:r>
        <w:br w:type="page"/>
      </w:r>
      <w:r>
        <w:rPr>
          <w:rFonts w:hint="eastAsia"/>
        </w:rPr>
        <w:t>附2：主要项目管理人员简历表</w:t>
      </w:r>
    </w:p>
    <w:p>
      <w:r>
        <w:rPr>
          <w:rFonts w:hint="eastAsia"/>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Style w:val="4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r>
              <w:rPr>
                <w:rFonts w:hint="eastAsia"/>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r>
              <w:rPr>
                <w:rFonts w:hint="eastAsia"/>
              </w:rPr>
              <w:t>姓    名</w:t>
            </w:r>
          </w:p>
        </w:tc>
        <w:tc>
          <w:tcPr>
            <w:tcW w:w="4458" w:type="dxa"/>
            <w:tcBorders>
              <w:left w:val="nil"/>
            </w:tcBorders>
            <w:vAlign w:val="center"/>
          </w:tcPr>
          <w:p>
            <w:r>
              <w:rPr>
                <w:rFonts w:hint="eastAsia"/>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r>
              <w:rPr>
                <w:rFonts w:hint="eastAsia"/>
              </w:rPr>
              <w:t>性    别</w:t>
            </w:r>
          </w:p>
        </w:tc>
        <w:tc>
          <w:tcPr>
            <w:tcW w:w="4458" w:type="dxa"/>
            <w:vAlign w:val="center"/>
          </w:tcPr>
          <w:p>
            <w:r>
              <w:rPr>
                <w:rFonts w:hint="eastAsia"/>
              </w:rPr>
              <w:t>毕业学校</w:t>
            </w:r>
          </w:p>
        </w:tc>
      </w:tr>
      <w:tr>
        <w:tblPrEx>
          <w:tblLayout w:type="fixed"/>
          <w:tblCellMar>
            <w:top w:w="0" w:type="dxa"/>
            <w:left w:w="108" w:type="dxa"/>
            <w:bottom w:w="0" w:type="dxa"/>
            <w:right w:w="108" w:type="dxa"/>
          </w:tblCellMar>
        </w:tblPrEx>
        <w:trPr>
          <w:trHeight w:val="590" w:hRule="atLeast"/>
          <w:jc w:val="center"/>
        </w:trPr>
        <w:tc>
          <w:tcPr>
            <w:tcW w:w="4226" w:type="dxa"/>
            <w:gridSpan w:val="2"/>
            <w:vAlign w:val="center"/>
          </w:tcPr>
          <w:p>
            <w:r>
              <w:rPr>
                <w:rFonts w:hint="eastAsia"/>
              </w:rPr>
              <w:t>学历和专业</w:t>
            </w:r>
          </w:p>
        </w:tc>
        <w:tc>
          <w:tcPr>
            <w:tcW w:w="4458" w:type="dxa"/>
            <w:vAlign w:val="center"/>
          </w:tcPr>
          <w:p>
            <w:r>
              <w:rPr>
                <w:rFonts w:hint="eastAsia"/>
              </w:rPr>
              <w:t>毕业时间</w:t>
            </w:r>
          </w:p>
        </w:tc>
      </w:tr>
      <w:tr>
        <w:tblPrEx>
          <w:tblLayout w:type="fixed"/>
          <w:tblCellMar>
            <w:top w:w="0" w:type="dxa"/>
            <w:left w:w="108" w:type="dxa"/>
            <w:bottom w:w="0" w:type="dxa"/>
            <w:right w:w="108" w:type="dxa"/>
          </w:tblCellMar>
        </w:tblPrEx>
        <w:trPr>
          <w:trHeight w:val="604" w:hRule="atLeast"/>
          <w:jc w:val="center"/>
        </w:trPr>
        <w:tc>
          <w:tcPr>
            <w:tcW w:w="4226" w:type="dxa"/>
            <w:gridSpan w:val="2"/>
            <w:vAlign w:val="center"/>
          </w:tcPr>
          <w:p>
            <w:r>
              <w:rPr>
                <w:rFonts w:hint="eastAsia"/>
              </w:rPr>
              <w:t>拥有的执业资格</w:t>
            </w:r>
          </w:p>
        </w:tc>
        <w:tc>
          <w:tcPr>
            <w:tcW w:w="4458" w:type="dxa"/>
            <w:vAlign w:val="center"/>
          </w:tcPr>
          <w:p>
            <w:r>
              <w:rPr>
                <w:rFonts w:hint="eastAsia"/>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r>
              <w:rPr>
                <w:rFonts w:hint="eastAsia"/>
              </w:rPr>
              <w:t>执业资格证书编号</w:t>
            </w:r>
          </w:p>
        </w:tc>
        <w:tc>
          <w:tcPr>
            <w:tcW w:w="4458" w:type="dxa"/>
            <w:vAlign w:val="center"/>
          </w:tcPr>
          <w:p>
            <w:r>
              <w:rPr>
                <w:rFonts w:hint="eastAsia"/>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r>
              <w:rPr>
                <w:rFonts w:hint="eastAsia"/>
              </w:rPr>
              <w:t>主要</w:t>
            </w:r>
          </w:p>
          <w:p>
            <w:r>
              <w:rPr>
                <w:rFonts w:hint="eastAsia"/>
              </w:rPr>
              <w:t>工作</w:t>
            </w:r>
          </w:p>
          <w:p>
            <w:r>
              <w:rPr>
                <w:rFonts w:hint="eastAsia"/>
              </w:rPr>
              <w:t>业绩</w:t>
            </w:r>
          </w:p>
          <w:p>
            <w:r>
              <w:rPr>
                <w:rFonts w:hint="eastAsia"/>
              </w:rPr>
              <w:t>及担</w:t>
            </w:r>
          </w:p>
          <w:p>
            <w:r>
              <w:rPr>
                <w:rFonts w:hint="eastAsia"/>
              </w:rPr>
              <w:t>任的</w:t>
            </w:r>
          </w:p>
          <w:p>
            <w:r>
              <w:rPr>
                <w:rFonts w:hint="eastAsia"/>
              </w:rPr>
              <w:t>主要</w:t>
            </w:r>
          </w:p>
          <w:p>
            <w:r>
              <w:rPr>
                <w:rFonts w:hint="eastAsia"/>
              </w:rPr>
              <w:t>工作</w:t>
            </w:r>
          </w:p>
        </w:tc>
        <w:tc>
          <w:tcPr>
            <w:tcW w:w="7586" w:type="dxa"/>
            <w:gridSpan w:val="2"/>
          </w:tcPr>
          <w:p/>
        </w:tc>
      </w:tr>
    </w:tbl>
    <w:p/>
    <w:p>
      <w:r>
        <w:br w:type="page"/>
      </w:r>
    </w:p>
    <w:p>
      <w:r>
        <w:rPr>
          <w:rFonts w:hint="eastAsia"/>
        </w:rPr>
        <w:t>附3：承诺书</w:t>
      </w:r>
    </w:p>
    <w:p>
      <w:r>
        <w:rPr>
          <w:rFonts w:hint="eastAsia"/>
        </w:rPr>
        <w:t>承诺书</w:t>
      </w:r>
    </w:p>
    <w:p>
      <w:r>
        <w:rPr>
          <w:rFonts w:hint="eastAsia"/>
        </w:rPr>
        <w:t xml:space="preserve">（招标人名称）：                </w:t>
      </w:r>
    </w:p>
    <w:p>
      <w:r>
        <w:rPr>
          <w:rFonts w:hint="eastAsia"/>
        </w:rPr>
        <w:t>我方在此声明，我方拟派往（项目名称）（以下简称“本工程”）的项目经理（项目经理姓名）现阶段没有担任任何在施建设工程项目的项目经理。</w:t>
      </w:r>
    </w:p>
    <w:p>
      <w:r>
        <w:rPr>
          <w:rFonts w:hint="eastAsia"/>
        </w:rPr>
        <w:t>我方保证上述信息的真实和准确，并愿意承担因我方就此弄虚作假所引起的一切法律后果。</w:t>
      </w:r>
    </w:p>
    <w:p>
      <w:r>
        <w:rPr>
          <w:rFonts w:hint="eastAsia"/>
        </w:rPr>
        <w:t>特此承诺</w:t>
      </w:r>
    </w:p>
    <w:p>
      <w:r>
        <w:rPr>
          <w:rFonts w:hint="eastAsia"/>
        </w:rPr>
        <w:t>投标人：（盖单位章）</w:t>
      </w:r>
    </w:p>
    <w:p>
      <w:r>
        <w:rPr>
          <w:rFonts w:hint="eastAsia"/>
        </w:rPr>
        <w:t>法定代表人：（签字）</w:t>
      </w:r>
    </w:p>
    <w:p>
      <w:r>
        <w:rPr>
          <w:rFonts w:hint="eastAsia"/>
        </w:rPr>
        <w:t>年月日</w:t>
      </w:r>
    </w:p>
    <w:p>
      <w:pPr>
        <w:jc w:val="center"/>
      </w:pPr>
      <w:r>
        <w:br w:type="page"/>
      </w:r>
      <w:bookmarkStart w:id="1201" w:name="_Toc16749"/>
      <w:bookmarkStart w:id="1202" w:name="_Toc1248"/>
      <w:r>
        <w:rPr>
          <w:rFonts w:hint="eastAsia"/>
          <w:b/>
          <w:bCs/>
        </w:rPr>
        <w:t>五、投标单位基本情况表</w:t>
      </w:r>
      <w:bookmarkEnd w:id="1201"/>
      <w:bookmarkEnd w:id="1202"/>
    </w:p>
    <w:p/>
    <w:tbl>
      <w:tblPr>
        <w:tblStyle w:val="42"/>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r>
              <w:rPr>
                <w:rFonts w:hint="eastAsia"/>
              </w:rPr>
              <w:t>投标人名称</w:t>
            </w:r>
          </w:p>
        </w:tc>
        <w:tc>
          <w:tcPr>
            <w:tcW w:w="7435" w:type="dxa"/>
            <w:gridSpan w:val="9"/>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r>
              <w:rPr>
                <w:rFonts w:hint="eastAsia"/>
              </w:rPr>
              <w:t>注册地址</w:t>
            </w:r>
          </w:p>
        </w:tc>
        <w:tc>
          <w:tcPr>
            <w:tcW w:w="4134" w:type="dxa"/>
            <w:gridSpan w:val="5"/>
            <w:vAlign w:val="center"/>
          </w:tcPr>
          <w:p/>
        </w:tc>
        <w:tc>
          <w:tcPr>
            <w:tcW w:w="1575" w:type="dxa"/>
            <w:gridSpan w:val="2"/>
            <w:vAlign w:val="center"/>
          </w:tcPr>
          <w:p>
            <w:r>
              <w:rPr>
                <w:rFonts w:hint="eastAsia"/>
              </w:rPr>
              <w:t>邮政编码</w:t>
            </w:r>
          </w:p>
        </w:tc>
        <w:tc>
          <w:tcPr>
            <w:tcW w:w="1726"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r>
              <w:rPr>
                <w:rFonts w:hint="eastAsia"/>
              </w:rPr>
              <w:t>联系方式</w:t>
            </w:r>
          </w:p>
        </w:tc>
        <w:tc>
          <w:tcPr>
            <w:tcW w:w="1205" w:type="dxa"/>
            <w:vAlign w:val="center"/>
          </w:tcPr>
          <w:p>
            <w:r>
              <w:rPr>
                <w:rFonts w:hint="eastAsia"/>
              </w:rPr>
              <w:t>联系人</w:t>
            </w:r>
          </w:p>
        </w:tc>
        <w:tc>
          <w:tcPr>
            <w:tcW w:w="2929" w:type="dxa"/>
            <w:gridSpan w:val="4"/>
            <w:vAlign w:val="center"/>
          </w:tcPr>
          <w:p/>
        </w:tc>
        <w:tc>
          <w:tcPr>
            <w:tcW w:w="1575" w:type="dxa"/>
            <w:gridSpan w:val="2"/>
            <w:vAlign w:val="center"/>
          </w:tcPr>
          <w:p>
            <w:r>
              <w:rPr>
                <w:rFonts w:hint="eastAsia"/>
              </w:rPr>
              <w:t>电话</w:t>
            </w:r>
          </w:p>
        </w:tc>
        <w:tc>
          <w:tcPr>
            <w:tcW w:w="1726"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tc>
        <w:tc>
          <w:tcPr>
            <w:tcW w:w="1205" w:type="dxa"/>
            <w:vAlign w:val="center"/>
          </w:tcPr>
          <w:p>
            <w:r>
              <w:rPr>
                <w:rFonts w:hint="eastAsia"/>
              </w:rPr>
              <w:t>传真</w:t>
            </w:r>
          </w:p>
        </w:tc>
        <w:tc>
          <w:tcPr>
            <w:tcW w:w="2929" w:type="dxa"/>
            <w:gridSpan w:val="4"/>
            <w:vAlign w:val="center"/>
          </w:tcPr>
          <w:p/>
        </w:tc>
        <w:tc>
          <w:tcPr>
            <w:tcW w:w="1575" w:type="dxa"/>
            <w:gridSpan w:val="2"/>
            <w:vAlign w:val="center"/>
          </w:tcPr>
          <w:p>
            <w:r>
              <w:rPr>
                <w:rFonts w:hint="eastAsia"/>
              </w:rPr>
              <w:t>网址</w:t>
            </w:r>
          </w:p>
        </w:tc>
        <w:tc>
          <w:tcPr>
            <w:tcW w:w="1726"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r>
              <w:rPr>
                <w:rFonts w:hint="eastAsia"/>
              </w:rPr>
              <w:t>组织结构</w:t>
            </w:r>
          </w:p>
        </w:tc>
        <w:tc>
          <w:tcPr>
            <w:tcW w:w="7435" w:type="dxa"/>
            <w:gridSpan w:val="9"/>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r>
              <w:rPr>
                <w:rFonts w:hint="eastAsia"/>
              </w:rPr>
              <w:t>法定代表人</w:t>
            </w:r>
          </w:p>
        </w:tc>
        <w:tc>
          <w:tcPr>
            <w:tcW w:w="1205" w:type="dxa"/>
            <w:vAlign w:val="center"/>
          </w:tcPr>
          <w:p>
            <w:r>
              <w:rPr>
                <w:rFonts w:hint="eastAsia"/>
              </w:rPr>
              <w:t>姓名</w:t>
            </w:r>
          </w:p>
        </w:tc>
        <w:tc>
          <w:tcPr>
            <w:tcW w:w="1205" w:type="dxa"/>
            <w:vAlign w:val="center"/>
          </w:tcPr>
          <w:p/>
        </w:tc>
        <w:tc>
          <w:tcPr>
            <w:tcW w:w="1689" w:type="dxa"/>
            <w:gridSpan w:val="2"/>
            <w:vAlign w:val="center"/>
          </w:tcPr>
          <w:p>
            <w:r>
              <w:rPr>
                <w:rFonts w:hint="eastAsia"/>
              </w:rPr>
              <w:t>技术职称</w:t>
            </w:r>
          </w:p>
        </w:tc>
        <w:tc>
          <w:tcPr>
            <w:tcW w:w="1069" w:type="dxa"/>
            <w:gridSpan w:val="2"/>
            <w:vAlign w:val="center"/>
          </w:tcPr>
          <w:p/>
        </w:tc>
        <w:tc>
          <w:tcPr>
            <w:tcW w:w="1061" w:type="dxa"/>
            <w:gridSpan w:val="2"/>
            <w:vAlign w:val="center"/>
          </w:tcPr>
          <w:p>
            <w:r>
              <w:rPr>
                <w:rFonts w:hint="eastAsia"/>
              </w:rPr>
              <w:t>电话</w:t>
            </w:r>
          </w:p>
        </w:tc>
        <w:tc>
          <w:tcPr>
            <w:tcW w:w="12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r>
              <w:rPr>
                <w:rFonts w:hint="eastAsia"/>
              </w:rPr>
              <w:t>技术负责人</w:t>
            </w:r>
          </w:p>
        </w:tc>
        <w:tc>
          <w:tcPr>
            <w:tcW w:w="1205" w:type="dxa"/>
            <w:vAlign w:val="center"/>
          </w:tcPr>
          <w:p>
            <w:r>
              <w:rPr>
                <w:rFonts w:hint="eastAsia"/>
              </w:rPr>
              <w:t>姓名</w:t>
            </w:r>
          </w:p>
        </w:tc>
        <w:tc>
          <w:tcPr>
            <w:tcW w:w="1205" w:type="dxa"/>
            <w:vAlign w:val="center"/>
          </w:tcPr>
          <w:p/>
        </w:tc>
        <w:tc>
          <w:tcPr>
            <w:tcW w:w="1689" w:type="dxa"/>
            <w:gridSpan w:val="2"/>
            <w:vAlign w:val="center"/>
          </w:tcPr>
          <w:p>
            <w:r>
              <w:rPr>
                <w:rFonts w:hint="eastAsia"/>
              </w:rPr>
              <w:t>技术职称</w:t>
            </w:r>
          </w:p>
        </w:tc>
        <w:tc>
          <w:tcPr>
            <w:tcW w:w="1069" w:type="dxa"/>
            <w:gridSpan w:val="2"/>
            <w:vAlign w:val="center"/>
          </w:tcPr>
          <w:p/>
        </w:tc>
        <w:tc>
          <w:tcPr>
            <w:tcW w:w="1061" w:type="dxa"/>
            <w:gridSpan w:val="2"/>
            <w:vAlign w:val="center"/>
          </w:tcPr>
          <w:p>
            <w:r>
              <w:rPr>
                <w:rFonts w:hint="eastAsia"/>
              </w:rPr>
              <w:t>电话</w:t>
            </w:r>
          </w:p>
        </w:tc>
        <w:tc>
          <w:tcPr>
            <w:tcW w:w="12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r>
              <w:rPr>
                <w:rFonts w:hint="eastAsia"/>
              </w:rPr>
              <w:t>成立时间</w:t>
            </w:r>
          </w:p>
        </w:tc>
        <w:tc>
          <w:tcPr>
            <w:tcW w:w="2410" w:type="dxa"/>
            <w:gridSpan w:val="2"/>
            <w:vAlign w:val="center"/>
          </w:tcPr>
          <w:p/>
        </w:tc>
        <w:tc>
          <w:tcPr>
            <w:tcW w:w="5025" w:type="dxa"/>
            <w:gridSpan w:val="7"/>
            <w:vAlign w:val="center"/>
          </w:tcPr>
          <w:p>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r>
              <w:rPr>
                <w:rFonts w:hint="eastAsia"/>
              </w:rPr>
              <w:t>企业资质等级</w:t>
            </w:r>
          </w:p>
        </w:tc>
        <w:tc>
          <w:tcPr>
            <w:tcW w:w="2410" w:type="dxa"/>
            <w:gridSpan w:val="2"/>
            <w:vAlign w:val="center"/>
          </w:tcPr>
          <w:p/>
        </w:tc>
        <w:tc>
          <w:tcPr>
            <w:tcW w:w="1205" w:type="dxa"/>
            <w:vMerge w:val="restart"/>
            <w:vAlign w:val="center"/>
          </w:tcPr>
          <w:p>
            <w:r>
              <w:rPr>
                <w:rFonts w:hint="eastAsia"/>
              </w:rPr>
              <w:t>其中</w:t>
            </w:r>
          </w:p>
        </w:tc>
        <w:tc>
          <w:tcPr>
            <w:tcW w:w="2614" w:type="dxa"/>
            <w:gridSpan w:val="5"/>
            <w:vAlign w:val="center"/>
          </w:tcPr>
          <w:p>
            <w:r>
              <w:rPr>
                <w:rFonts w:hint="eastAsia"/>
              </w:rPr>
              <w:t>项目经理</w:t>
            </w:r>
          </w:p>
        </w:tc>
        <w:tc>
          <w:tcPr>
            <w:tcW w:w="12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r>
              <w:rPr>
                <w:rFonts w:hint="eastAsia"/>
              </w:rPr>
              <w:t>营业执照号</w:t>
            </w:r>
          </w:p>
        </w:tc>
        <w:tc>
          <w:tcPr>
            <w:tcW w:w="2410" w:type="dxa"/>
            <w:gridSpan w:val="2"/>
            <w:vAlign w:val="center"/>
          </w:tcPr>
          <w:p/>
        </w:tc>
        <w:tc>
          <w:tcPr>
            <w:tcW w:w="1205" w:type="dxa"/>
            <w:vMerge w:val="continue"/>
            <w:vAlign w:val="center"/>
          </w:tcPr>
          <w:p/>
        </w:tc>
        <w:tc>
          <w:tcPr>
            <w:tcW w:w="2614" w:type="dxa"/>
            <w:gridSpan w:val="5"/>
            <w:vAlign w:val="center"/>
          </w:tcPr>
          <w:p>
            <w:r>
              <w:rPr>
                <w:rFonts w:hint="eastAsia"/>
              </w:rPr>
              <w:t>高级职称人员</w:t>
            </w:r>
          </w:p>
        </w:tc>
        <w:tc>
          <w:tcPr>
            <w:tcW w:w="12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r>
              <w:rPr>
                <w:rFonts w:hint="eastAsia"/>
              </w:rPr>
              <w:t>注册资金</w:t>
            </w:r>
          </w:p>
        </w:tc>
        <w:tc>
          <w:tcPr>
            <w:tcW w:w="2410" w:type="dxa"/>
            <w:gridSpan w:val="2"/>
            <w:vAlign w:val="center"/>
          </w:tcPr>
          <w:p/>
        </w:tc>
        <w:tc>
          <w:tcPr>
            <w:tcW w:w="1205" w:type="dxa"/>
            <w:vMerge w:val="continue"/>
            <w:vAlign w:val="center"/>
          </w:tcPr>
          <w:p/>
        </w:tc>
        <w:tc>
          <w:tcPr>
            <w:tcW w:w="2614" w:type="dxa"/>
            <w:gridSpan w:val="5"/>
            <w:vAlign w:val="center"/>
          </w:tcPr>
          <w:p>
            <w:r>
              <w:rPr>
                <w:rFonts w:hint="eastAsia"/>
              </w:rPr>
              <w:t>中级职称人员</w:t>
            </w:r>
          </w:p>
        </w:tc>
        <w:tc>
          <w:tcPr>
            <w:tcW w:w="12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r>
              <w:rPr>
                <w:rFonts w:hint="eastAsia"/>
              </w:rPr>
              <w:t>开户银行</w:t>
            </w:r>
          </w:p>
        </w:tc>
        <w:tc>
          <w:tcPr>
            <w:tcW w:w="2410" w:type="dxa"/>
            <w:gridSpan w:val="2"/>
            <w:vAlign w:val="center"/>
          </w:tcPr>
          <w:p/>
        </w:tc>
        <w:tc>
          <w:tcPr>
            <w:tcW w:w="1205" w:type="dxa"/>
            <w:vMerge w:val="continue"/>
            <w:vAlign w:val="center"/>
          </w:tcPr>
          <w:p/>
        </w:tc>
        <w:tc>
          <w:tcPr>
            <w:tcW w:w="2614" w:type="dxa"/>
            <w:gridSpan w:val="5"/>
            <w:vAlign w:val="center"/>
          </w:tcPr>
          <w:p>
            <w:r>
              <w:rPr>
                <w:rFonts w:hint="eastAsia"/>
              </w:rPr>
              <w:t>初级职称人员</w:t>
            </w:r>
          </w:p>
        </w:tc>
        <w:tc>
          <w:tcPr>
            <w:tcW w:w="12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r>
              <w:rPr>
                <w:rFonts w:hint="eastAsia"/>
              </w:rPr>
              <w:t>账号</w:t>
            </w:r>
          </w:p>
        </w:tc>
        <w:tc>
          <w:tcPr>
            <w:tcW w:w="2410" w:type="dxa"/>
            <w:gridSpan w:val="2"/>
            <w:vAlign w:val="center"/>
          </w:tcPr>
          <w:p/>
        </w:tc>
        <w:tc>
          <w:tcPr>
            <w:tcW w:w="1205" w:type="dxa"/>
            <w:vMerge w:val="continue"/>
            <w:vAlign w:val="center"/>
          </w:tcPr>
          <w:p/>
        </w:tc>
        <w:tc>
          <w:tcPr>
            <w:tcW w:w="2614" w:type="dxa"/>
            <w:gridSpan w:val="5"/>
            <w:vAlign w:val="center"/>
          </w:tcPr>
          <w:p>
            <w:r>
              <w:rPr>
                <w:rFonts w:hint="eastAsia"/>
              </w:rPr>
              <w:t>技工</w:t>
            </w:r>
          </w:p>
        </w:tc>
        <w:tc>
          <w:tcPr>
            <w:tcW w:w="12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jc w:val="center"/>
        </w:trPr>
        <w:tc>
          <w:tcPr>
            <w:tcW w:w="1709" w:type="dxa"/>
            <w:vAlign w:val="center"/>
          </w:tcPr>
          <w:p>
            <w:r>
              <w:rPr>
                <w:rFonts w:hint="eastAsia"/>
              </w:rPr>
              <w:t>经营范围</w:t>
            </w:r>
          </w:p>
        </w:tc>
        <w:tc>
          <w:tcPr>
            <w:tcW w:w="7435" w:type="dxa"/>
            <w:gridSpan w:val="9"/>
            <w:vAlign w:val="center"/>
          </w:tcPr>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r>
              <w:rPr>
                <w:rFonts w:hint="eastAsia"/>
              </w:rPr>
              <w:t>备注</w:t>
            </w:r>
          </w:p>
        </w:tc>
        <w:tc>
          <w:tcPr>
            <w:tcW w:w="7435" w:type="dxa"/>
            <w:gridSpan w:val="9"/>
            <w:vAlign w:val="center"/>
          </w:tcPr>
          <w:p/>
          <w:p/>
        </w:tc>
      </w:tr>
    </w:tbl>
    <w:p>
      <w:r>
        <w:rPr>
          <w:rFonts w:hint="eastAsia"/>
        </w:rPr>
        <w:t>备注：本表后应附企业法人营业执照、企业资质证书副本、安全生产许可证等材料的复印件。</w:t>
      </w:r>
    </w:p>
    <w:p>
      <w:pPr>
        <w:jc w:val="center"/>
      </w:pPr>
      <w:r>
        <w:br w:type="page"/>
      </w:r>
      <w:bookmarkStart w:id="1203" w:name="_Toc7733"/>
      <w:bookmarkStart w:id="1204" w:name="_Toc30414"/>
      <w:r>
        <w:rPr>
          <w:rFonts w:hint="eastAsia"/>
          <w:b/>
          <w:bCs/>
        </w:rPr>
        <w:t>六、资格证明文件</w:t>
      </w:r>
      <w:bookmarkEnd w:id="1203"/>
      <w:bookmarkEnd w:id="1204"/>
    </w:p>
    <w:p>
      <w:r>
        <w:rPr>
          <w:rFonts w:hint="eastAsia"/>
        </w:rPr>
        <w:t>（附复印件）</w:t>
      </w:r>
    </w:p>
    <w:p/>
    <w:p/>
    <w:p/>
    <w:p/>
    <w:p/>
    <w:p/>
    <w:p>
      <w:pPr>
        <w:jc w:val="center"/>
        <w:rPr>
          <w:b/>
          <w:bCs/>
        </w:rPr>
      </w:pPr>
      <w:bookmarkStart w:id="1205" w:name="_Toc12343"/>
      <w:bookmarkStart w:id="1206" w:name="_Toc1205"/>
      <w:r>
        <w:rPr>
          <w:rFonts w:hint="eastAsia"/>
          <w:b/>
          <w:bCs/>
          <w:lang w:val="en-US" w:eastAsia="zh-CN"/>
        </w:rPr>
        <w:t>七、</w:t>
      </w:r>
      <w:r>
        <w:rPr>
          <w:rFonts w:hint="eastAsia"/>
          <w:b/>
          <w:bCs/>
        </w:rPr>
        <w:t>近年财务状况</w:t>
      </w:r>
      <w:bookmarkEnd w:id="1205"/>
      <w:bookmarkEnd w:id="1206"/>
    </w:p>
    <w:p/>
    <w:p/>
    <w:p/>
    <w:p>
      <w:r>
        <w:br w:type="page"/>
      </w:r>
    </w:p>
    <w:p/>
    <w:p>
      <w:pPr>
        <w:jc w:val="center"/>
        <w:rPr>
          <w:b/>
          <w:bCs/>
        </w:rPr>
      </w:pPr>
      <w:bookmarkStart w:id="1207" w:name="_Toc9690"/>
      <w:bookmarkStart w:id="1208" w:name="_Toc10509"/>
      <w:r>
        <w:rPr>
          <w:rFonts w:hint="eastAsia"/>
          <w:b/>
          <w:bCs/>
          <w:lang w:val="en-US" w:eastAsia="zh-CN"/>
        </w:rPr>
        <w:t>八、</w:t>
      </w:r>
      <w:r>
        <w:rPr>
          <w:rFonts w:hint="eastAsia"/>
          <w:b/>
          <w:bCs/>
        </w:rPr>
        <w:t>近年发生的诉讼及仲裁情况</w:t>
      </w:r>
      <w:bookmarkEnd w:id="1207"/>
      <w:bookmarkEnd w:id="1208"/>
    </w:p>
    <w:p/>
    <w:tbl>
      <w:tblPr>
        <w:tblStyle w:val="42"/>
        <w:tblpPr w:leftFromText="180" w:rightFromText="180" w:vertAnchor="text" w:horzAnchor="page" w:tblpX="1137" w:tblpY="346"/>
        <w:tblOverlap w:val="never"/>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r>
              <w:rPr>
                <w:rFonts w:hint="eastAsia"/>
              </w:rPr>
              <w:t>类别</w:t>
            </w:r>
          </w:p>
        </w:tc>
        <w:tc>
          <w:tcPr>
            <w:tcW w:w="1971" w:type="dxa"/>
          </w:tcPr>
          <w:p>
            <w:r>
              <w:rPr>
                <w:rFonts w:hint="eastAsia"/>
              </w:rPr>
              <w:t>序号</w:t>
            </w:r>
          </w:p>
        </w:tc>
        <w:tc>
          <w:tcPr>
            <w:tcW w:w="1971" w:type="dxa"/>
          </w:tcPr>
          <w:p>
            <w:r>
              <w:rPr>
                <w:rFonts w:hint="eastAsia"/>
              </w:rPr>
              <w:t>发生时间</w:t>
            </w:r>
          </w:p>
        </w:tc>
        <w:tc>
          <w:tcPr>
            <w:tcW w:w="1971" w:type="dxa"/>
          </w:tcPr>
          <w:p>
            <w:r>
              <w:rPr>
                <w:rFonts w:hint="eastAsia"/>
              </w:rPr>
              <w:t>情况简介</w:t>
            </w:r>
          </w:p>
        </w:tc>
        <w:tc>
          <w:tcPr>
            <w:tcW w:w="1899" w:type="dxa"/>
          </w:tcPr>
          <w:p>
            <w:r>
              <w:rPr>
                <w:rFonts w:hint="eastAsia"/>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970" w:type="dxa"/>
            <w:vMerge w:val="restart"/>
            <w:vAlign w:val="center"/>
          </w:tcPr>
          <w:p>
            <w:r>
              <w:rPr>
                <w:rFonts w:hint="eastAsia"/>
              </w:rPr>
              <w:t>诉讼</w:t>
            </w:r>
          </w:p>
          <w:p>
            <w:r>
              <w:rPr>
                <w:rFonts w:hint="eastAsia"/>
              </w:rPr>
              <w:t>情况</w:t>
            </w:r>
          </w:p>
        </w:tc>
        <w:tc>
          <w:tcPr>
            <w:tcW w:w="1971" w:type="dxa"/>
          </w:tcPr>
          <w:p/>
        </w:tc>
        <w:tc>
          <w:tcPr>
            <w:tcW w:w="1971" w:type="dxa"/>
          </w:tcPr>
          <w:p/>
        </w:tc>
        <w:tc>
          <w:tcPr>
            <w:tcW w:w="1971" w:type="dxa"/>
          </w:tcPr>
          <w:p/>
        </w:tc>
        <w:tc>
          <w:tcPr>
            <w:tcW w:w="18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center"/>
          </w:tcPr>
          <w:p/>
        </w:tc>
        <w:tc>
          <w:tcPr>
            <w:tcW w:w="1971" w:type="dxa"/>
          </w:tcPr>
          <w:p/>
        </w:tc>
        <w:tc>
          <w:tcPr>
            <w:tcW w:w="1971" w:type="dxa"/>
          </w:tcPr>
          <w:p/>
        </w:tc>
        <w:tc>
          <w:tcPr>
            <w:tcW w:w="1971" w:type="dxa"/>
          </w:tcPr>
          <w:p/>
        </w:tc>
        <w:tc>
          <w:tcPr>
            <w:tcW w:w="18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restart"/>
            <w:vAlign w:val="center"/>
          </w:tcPr>
          <w:p>
            <w:r>
              <w:rPr>
                <w:rFonts w:hint="eastAsia"/>
              </w:rPr>
              <w:t>仲裁</w:t>
            </w:r>
          </w:p>
          <w:p>
            <w:r>
              <w:rPr>
                <w:rFonts w:hint="eastAsia"/>
              </w:rPr>
              <w:t>情况</w:t>
            </w:r>
          </w:p>
        </w:tc>
        <w:tc>
          <w:tcPr>
            <w:tcW w:w="1971" w:type="dxa"/>
          </w:tcPr>
          <w:p/>
        </w:tc>
        <w:tc>
          <w:tcPr>
            <w:tcW w:w="1971" w:type="dxa"/>
          </w:tcPr>
          <w:p/>
        </w:tc>
        <w:tc>
          <w:tcPr>
            <w:tcW w:w="1971" w:type="dxa"/>
          </w:tcPr>
          <w:p/>
        </w:tc>
        <w:tc>
          <w:tcPr>
            <w:tcW w:w="18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tcPr>
          <w:p/>
        </w:tc>
        <w:tc>
          <w:tcPr>
            <w:tcW w:w="1971" w:type="dxa"/>
          </w:tcPr>
          <w:p/>
        </w:tc>
        <w:tc>
          <w:tcPr>
            <w:tcW w:w="1971" w:type="dxa"/>
          </w:tcPr>
          <w:p/>
        </w:tc>
        <w:tc>
          <w:tcPr>
            <w:tcW w:w="1971" w:type="dxa"/>
          </w:tcPr>
          <w:p/>
        </w:tc>
        <w:tc>
          <w:tcPr>
            <w:tcW w:w="1899" w:type="dxa"/>
          </w:tcPr>
          <w:p/>
        </w:tc>
      </w:tr>
    </w:tbl>
    <w:p/>
    <w:p/>
    <w:p/>
    <w:p>
      <w:r>
        <w:br w:type="page"/>
      </w:r>
    </w:p>
    <w:p/>
    <w:p>
      <w:pPr>
        <w:jc w:val="center"/>
        <w:rPr>
          <w:b/>
          <w:bCs/>
        </w:rPr>
      </w:pPr>
      <w:bookmarkStart w:id="1209" w:name="_Toc8939"/>
      <w:bookmarkStart w:id="1210" w:name="_Toc5961"/>
      <w:r>
        <w:rPr>
          <w:rFonts w:hint="eastAsia"/>
          <w:b/>
          <w:bCs/>
        </w:rPr>
        <w:t>九、近年完成的类似项目情况表</w:t>
      </w:r>
      <w:bookmarkEnd w:id="1209"/>
      <w:bookmarkEnd w:id="1210"/>
    </w:p>
    <w:tbl>
      <w:tblPr>
        <w:tblStyle w:val="42"/>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项目名称</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项目所在地</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发包人名称</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发包人地址</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发包人电话</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合同价格</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r>
              <w:rPr>
                <w:rFonts w:hint="eastAsia"/>
              </w:rPr>
              <w:t>开工日期</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竣工日期</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承担的工作</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工程质量</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项目经理</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技术负责人</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r>
              <w:rPr>
                <w:rFonts w:hint="eastAsia"/>
              </w:rPr>
              <w:t>总监理工程师及电话</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2416" w:type="dxa"/>
            <w:vAlign w:val="center"/>
          </w:tcPr>
          <w:p>
            <w:r>
              <w:rPr>
                <w:rFonts w:hint="eastAsia"/>
              </w:rPr>
              <w:t>项目描述</w:t>
            </w:r>
          </w:p>
        </w:tc>
        <w:tc>
          <w:tcPr>
            <w:tcW w:w="67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r>
              <w:rPr>
                <w:rFonts w:hint="eastAsia"/>
              </w:rPr>
              <w:t>备注</w:t>
            </w:r>
          </w:p>
        </w:tc>
        <w:tc>
          <w:tcPr>
            <w:tcW w:w="6721" w:type="dxa"/>
            <w:vAlign w:val="center"/>
          </w:tcPr>
          <w:p/>
          <w:p/>
        </w:tc>
      </w:tr>
    </w:tbl>
    <w:p/>
    <w:p>
      <w:pPr>
        <w:jc w:val="center"/>
        <w:rPr>
          <w:b/>
          <w:bCs/>
        </w:rPr>
      </w:pPr>
      <w:bookmarkStart w:id="1211" w:name="_Toc10897"/>
      <w:bookmarkStart w:id="1212" w:name="_Toc12004"/>
      <w:r>
        <w:rPr>
          <w:rFonts w:hint="eastAsia"/>
          <w:b/>
          <w:bCs/>
        </w:rPr>
        <w:t>十、正在施工的和新承接的项目情况</w:t>
      </w:r>
      <w:bookmarkEnd w:id="1211"/>
      <w:bookmarkEnd w:id="1212"/>
    </w:p>
    <w:p/>
    <w:tbl>
      <w:tblPr>
        <w:tblStyle w:val="4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项目名称</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项目所在地</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发包人名称</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发包人地址</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发包人电话</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签约合同价</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r>
              <w:rPr>
                <w:rFonts w:hint="eastAsia"/>
              </w:rPr>
              <w:t>开工日期</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计划竣工日期</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承担的工作</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工程质量</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项目经理</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技术负责人</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r>
              <w:rPr>
                <w:rFonts w:hint="eastAsia"/>
              </w:rPr>
              <w:t>总监理工程师及电话</w:t>
            </w:r>
          </w:p>
        </w:tc>
        <w:tc>
          <w:tcPr>
            <w:tcW w:w="672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r>
              <w:rPr>
                <w:rFonts w:hint="eastAsia"/>
              </w:rPr>
              <w:t>项目描述</w:t>
            </w:r>
          </w:p>
        </w:tc>
        <w:tc>
          <w:tcPr>
            <w:tcW w:w="6727" w:type="dxa"/>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r>
              <w:rPr>
                <w:rFonts w:hint="eastAsia"/>
              </w:rPr>
              <w:t>备注</w:t>
            </w:r>
          </w:p>
        </w:tc>
        <w:tc>
          <w:tcPr>
            <w:tcW w:w="6727" w:type="dxa"/>
            <w:vAlign w:val="center"/>
          </w:tcPr>
          <w:p/>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right"/>
        <w:rPr>
          <w:rFonts w:hint="eastAsia" w:eastAsia="宋体"/>
          <w:b/>
          <w:bCs/>
          <w:sz w:val="48"/>
          <w:szCs w:val="28"/>
          <w:lang w:val="en-US" w:eastAsia="zh-CN"/>
        </w:rPr>
      </w:pPr>
      <w:r>
        <w:rPr>
          <w:rFonts w:hint="eastAsia"/>
          <w:b/>
          <w:bCs/>
          <w:sz w:val="48"/>
          <w:szCs w:val="28"/>
          <w:lang w:val="en-US" w:eastAsia="zh-CN"/>
        </w:rPr>
        <w:t>以最终签订合同为准。</w:t>
      </w:r>
    </w:p>
    <w:p>
      <w:r>
        <w:br w:type="page"/>
      </w:r>
    </w:p>
    <w:p/>
    <w:p>
      <w:pPr>
        <w:rPr>
          <w:rFonts w:hint="eastAsia"/>
          <w:b/>
          <w:bCs/>
          <w:sz w:val="40"/>
          <w:szCs w:val="22"/>
        </w:rPr>
      </w:pPr>
      <w:bookmarkStart w:id="1213" w:name="_Toc24119"/>
      <w:bookmarkStart w:id="1214" w:name="_Toc21351"/>
      <w:r>
        <w:rPr>
          <w:rFonts w:hint="eastAsia"/>
          <w:b/>
          <w:bCs/>
          <w:sz w:val="40"/>
          <w:szCs w:val="22"/>
        </w:rPr>
        <w:t>正（副）本</w:t>
      </w:r>
      <w:bookmarkEnd w:id="1213"/>
      <w:bookmarkEnd w:id="1214"/>
    </w:p>
    <w:p>
      <w:pPr>
        <w:rPr>
          <w:rFonts w:hint="eastAsia"/>
          <w:b/>
          <w:bCs/>
          <w:sz w:val="40"/>
          <w:szCs w:val="22"/>
        </w:rPr>
      </w:pPr>
      <w:r>
        <w:rPr>
          <w:rFonts w:hint="eastAsia"/>
          <w:b/>
          <w:bCs/>
          <w:sz w:val="40"/>
          <w:szCs w:val="22"/>
        </w:rPr>
        <w:t>　</w:t>
      </w:r>
    </w:p>
    <w:p>
      <w:pPr>
        <w:jc w:val="center"/>
        <w:rPr>
          <w:rFonts w:hint="eastAsia"/>
          <w:b/>
          <w:bCs/>
          <w:sz w:val="72"/>
          <w:szCs w:val="40"/>
        </w:rPr>
      </w:pPr>
      <w:r>
        <w:rPr>
          <w:rFonts w:hint="eastAsia"/>
          <w:b/>
          <w:bCs/>
          <w:sz w:val="72"/>
          <w:szCs w:val="40"/>
        </w:rPr>
        <w:t>（工程名称）施工</w:t>
      </w:r>
    </w:p>
    <w:p>
      <w:pPr>
        <w:rPr>
          <w:rFonts w:hint="eastAsia"/>
          <w:b/>
          <w:bCs/>
          <w:sz w:val="40"/>
          <w:szCs w:val="22"/>
        </w:rPr>
      </w:pPr>
      <w:bookmarkStart w:id="1215" w:name="_Toc9336"/>
    </w:p>
    <w:p>
      <w:pPr>
        <w:ind w:left="0" w:leftChars="0" w:firstLine="3072" w:firstLineChars="765"/>
        <w:rPr>
          <w:rFonts w:hint="eastAsia"/>
          <w:b/>
          <w:bCs/>
          <w:sz w:val="40"/>
          <w:szCs w:val="22"/>
        </w:rPr>
      </w:pPr>
      <w:bookmarkStart w:id="1216" w:name="_Toc22217"/>
      <w:r>
        <w:rPr>
          <w:rFonts w:hint="eastAsia"/>
          <w:b/>
          <w:bCs/>
          <w:sz w:val="40"/>
          <w:szCs w:val="22"/>
        </w:rPr>
        <w:t>投 标 文 件</w:t>
      </w:r>
      <w:bookmarkEnd w:id="1215"/>
      <w:bookmarkEnd w:id="1216"/>
    </w:p>
    <w:p>
      <w:pPr>
        <w:ind w:left="0" w:leftChars="0" w:firstLine="3072" w:firstLineChars="765"/>
        <w:rPr>
          <w:rFonts w:hint="eastAsia"/>
          <w:b/>
          <w:bCs/>
          <w:sz w:val="40"/>
          <w:szCs w:val="22"/>
        </w:rPr>
      </w:pPr>
      <w:bookmarkStart w:id="1217" w:name="_Toc28937"/>
      <w:bookmarkStart w:id="1218" w:name="_Toc23382"/>
      <w:r>
        <w:rPr>
          <w:rFonts w:hint="eastAsia"/>
          <w:b/>
          <w:bCs/>
          <w:sz w:val="40"/>
          <w:szCs w:val="22"/>
        </w:rPr>
        <w:t>（技术标）</w:t>
      </w:r>
      <w:bookmarkEnd w:id="1217"/>
      <w:bookmarkEnd w:id="1218"/>
    </w:p>
    <w:p>
      <w:pPr>
        <w:ind w:left="0" w:leftChars="0" w:firstLine="3072" w:firstLineChars="765"/>
        <w:rPr>
          <w:rFonts w:hint="eastAsia"/>
          <w:b/>
          <w:bCs/>
          <w:sz w:val="40"/>
          <w:szCs w:val="22"/>
        </w:rPr>
      </w:pPr>
      <w:r>
        <w:rPr>
          <w:rFonts w:hint="eastAsia"/>
          <w:b/>
          <w:bCs/>
          <w:sz w:val="40"/>
          <w:szCs w:val="22"/>
        </w:rPr>
        <w:t xml:space="preserve">             </w:t>
      </w:r>
    </w:p>
    <w:p>
      <w:pPr>
        <w:ind w:left="0" w:leftChars="0" w:firstLine="2731" w:firstLineChars="680"/>
        <w:rPr>
          <w:rFonts w:hint="eastAsia"/>
          <w:b/>
          <w:bCs/>
          <w:sz w:val="40"/>
          <w:szCs w:val="22"/>
        </w:rPr>
      </w:pPr>
      <w:bookmarkStart w:id="1219" w:name="_Toc15684"/>
      <w:bookmarkStart w:id="1220" w:name="_Toc9352"/>
      <w:r>
        <w:rPr>
          <w:rFonts w:hint="eastAsia"/>
          <w:b/>
          <w:bCs/>
          <w:sz w:val="40"/>
          <w:szCs w:val="22"/>
        </w:rPr>
        <w:t>项目编号：</w:t>
      </w:r>
      <w:bookmarkEnd w:id="1219"/>
      <w:bookmarkEnd w:id="1220"/>
    </w:p>
    <w:p>
      <w:pPr>
        <w:rPr>
          <w:rFonts w:hint="eastAsia"/>
          <w:b/>
          <w:bCs/>
          <w:sz w:val="40"/>
          <w:szCs w:val="22"/>
        </w:rPr>
      </w:pPr>
    </w:p>
    <w:p>
      <w:pPr>
        <w:rPr>
          <w:rFonts w:hint="eastAsia"/>
          <w:b/>
          <w:bCs/>
          <w:sz w:val="40"/>
          <w:szCs w:val="22"/>
        </w:rPr>
      </w:pPr>
    </w:p>
    <w:p>
      <w:pPr>
        <w:rPr>
          <w:rFonts w:hint="eastAsia"/>
          <w:b/>
          <w:bCs/>
          <w:sz w:val="40"/>
          <w:szCs w:val="22"/>
        </w:rPr>
      </w:pPr>
    </w:p>
    <w:p>
      <w:pPr>
        <w:rPr>
          <w:rFonts w:hint="eastAsia"/>
          <w:b/>
          <w:bCs/>
          <w:sz w:val="40"/>
          <w:szCs w:val="22"/>
        </w:rPr>
      </w:pPr>
    </w:p>
    <w:p>
      <w:pPr>
        <w:ind w:left="0" w:leftChars="0" w:firstLine="1020" w:firstLineChars="254"/>
        <w:rPr>
          <w:rFonts w:hint="eastAsia"/>
          <w:b/>
          <w:bCs/>
          <w:sz w:val="40"/>
          <w:szCs w:val="22"/>
        </w:rPr>
      </w:pPr>
      <w:bookmarkStart w:id="1221" w:name="_Toc13735"/>
      <w:r>
        <w:rPr>
          <w:rFonts w:hint="eastAsia"/>
          <w:b/>
          <w:bCs/>
          <w:sz w:val="40"/>
          <w:szCs w:val="22"/>
        </w:rPr>
        <w:t>投标人:(盖单位章)</w:t>
      </w:r>
      <w:bookmarkEnd w:id="1221"/>
    </w:p>
    <w:p>
      <w:pPr>
        <w:ind w:left="0" w:leftChars="0" w:firstLine="1020" w:firstLineChars="254"/>
        <w:rPr>
          <w:rFonts w:hint="eastAsia"/>
          <w:b/>
          <w:bCs/>
          <w:sz w:val="40"/>
          <w:szCs w:val="22"/>
        </w:rPr>
      </w:pPr>
    </w:p>
    <w:p>
      <w:pPr>
        <w:ind w:left="0" w:leftChars="0" w:firstLine="1020" w:firstLineChars="254"/>
        <w:rPr>
          <w:rFonts w:hint="eastAsia"/>
          <w:b/>
          <w:bCs/>
          <w:sz w:val="40"/>
          <w:szCs w:val="22"/>
        </w:rPr>
      </w:pPr>
      <w:bookmarkStart w:id="1222" w:name="_Toc27431"/>
      <w:r>
        <w:rPr>
          <w:rFonts w:hint="eastAsia"/>
          <w:b/>
          <w:bCs/>
          <w:sz w:val="40"/>
          <w:szCs w:val="22"/>
        </w:rPr>
        <w:t>法定代表人或其委托代理人:(签字)</w:t>
      </w:r>
      <w:bookmarkEnd w:id="1222"/>
    </w:p>
    <w:p>
      <w:pPr>
        <w:ind w:left="0" w:leftChars="0" w:firstLine="1020" w:firstLineChars="254"/>
        <w:rPr>
          <w:rFonts w:hint="eastAsia"/>
          <w:b/>
          <w:bCs/>
          <w:sz w:val="40"/>
          <w:szCs w:val="22"/>
        </w:rPr>
      </w:pPr>
    </w:p>
    <w:p>
      <w:pPr>
        <w:ind w:left="0" w:leftChars="0" w:firstLine="4220" w:firstLineChars="1051"/>
        <w:rPr>
          <w:rFonts w:hint="eastAsia"/>
          <w:b/>
          <w:bCs/>
          <w:sz w:val="40"/>
          <w:szCs w:val="22"/>
        </w:rPr>
      </w:pPr>
      <w:bookmarkStart w:id="1223" w:name="_Toc17177"/>
      <w:r>
        <w:rPr>
          <w:rFonts w:hint="eastAsia"/>
          <w:b/>
          <w:bCs/>
          <w:sz w:val="40"/>
          <w:szCs w:val="22"/>
        </w:rPr>
        <w:t>年</w:t>
      </w:r>
      <w:r>
        <w:rPr>
          <w:rFonts w:hint="eastAsia"/>
          <w:b/>
          <w:bCs/>
          <w:sz w:val="40"/>
          <w:szCs w:val="22"/>
          <w:lang w:val="en-US" w:eastAsia="zh-CN"/>
        </w:rPr>
        <w:t xml:space="preserve">    </w:t>
      </w:r>
      <w:r>
        <w:rPr>
          <w:rFonts w:hint="eastAsia"/>
          <w:b/>
          <w:bCs/>
          <w:sz w:val="40"/>
          <w:szCs w:val="22"/>
        </w:rPr>
        <w:t>月</w:t>
      </w:r>
      <w:r>
        <w:rPr>
          <w:rFonts w:hint="eastAsia"/>
          <w:b/>
          <w:bCs/>
          <w:sz w:val="40"/>
          <w:szCs w:val="22"/>
          <w:lang w:val="en-US" w:eastAsia="zh-CN"/>
        </w:rPr>
        <w:t xml:space="preserve">    </w:t>
      </w:r>
      <w:r>
        <w:rPr>
          <w:rFonts w:hint="eastAsia"/>
          <w:b/>
          <w:bCs/>
          <w:sz w:val="40"/>
          <w:szCs w:val="22"/>
        </w:rPr>
        <w:t>日</w:t>
      </w:r>
      <w:bookmarkEnd w:id="1223"/>
    </w:p>
    <w:p>
      <w:pPr>
        <w:rPr>
          <w:rFonts w:hint="eastAsia"/>
          <w:b/>
          <w:bCs/>
          <w:sz w:val="40"/>
          <w:szCs w:val="22"/>
        </w:rPr>
      </w:pPr>
      <w:r>
        <w:rPr>
          <w:rFonts w:hint="eastAsia"/>
          <w:b/>
          <w:bCs/>
          <w:sz w:val="40"/>
          <w:szCs w:val="22"/>
        </w:rPr>
        <w:br w:type="page"/>
      </w:r>
    </w:p>
    <w:p/>
    <w:p>
      <w:bookmarkStart w:id="1224" w:name="_Toc6368"/>
      <w:r>
        <w:rPr>
          <w:rFonts w:hint="eastAsia"/>
        </w:rPr>
        <w:t>目  录</w:t>
      </w:r>
      <w:bookmarkEnd w:id="1224"/>
    </w:p>
    <w:p/>
    <w:p>
      <w:pPr>
        <w:rPr>
          <w:rFonts w:hint="eastAsia"/>
        </w:rPr>
      </w:pPr>
      <w:r>
        <w:rPr>
          <w:rFonts w:hint="eastAsia"/>
          <w:lang w:eastAsia="zh-CN"/>
        </w:rPr>
        <w:t>（</w:t>
      </w:r>
      <w:r>
        <w:rPr>
          <w:rFonts w:hint="eastAsia"/>
          <w:lang w:val="en-US" w:eastAsia="zh-CN"/>
        </w:rPr>
        <w:t>1</w:t>
      </w:r>
      <w:r>
        <w:rPr>
          <w:rFonts w:hint="eastAsia"/>
          <w:lang w:eastAsia="zh-CN"/>
        </w:rPr>
        <w:t>）</w:t>
      </w:r>
      <w:r>
        <w:rPr>
          <w:rFonts w:hint="eastAsia"/>
          <w:lang w:val="en-US" w:eastAsia="zh-CN"/>
        </w:rPr>
        <w:t>内容完整性和编制水平</w:t>
      </w:r>
    </w:p>
    <w:p>
      <w:pPr>
        <w:rPr>
          <w:rFonts w:hint="eastAsia"/>
        </w:rPr>
      </w:pPr>
      <w:r>
        <w:rPr>
          <w:rFonts w:hint="eastAsia" w:hAnsi="宋体"/>
        </w:rPr>
        <w:t>（</w:t>
      </w:r>
      <w:r>
        <w:rPr>
          <w:rFonts w:hint="eastAsia"/>
          <w:lang w:val="en-US" w:eastAsia="zh-CN"/>
        </w:rPr>
        <w:t>2</w:t>
      </w:r>
      <w:r>
        <w:rPr>
          <w:rFonts w:hint="eastAsia"/>
        </w:rPr>
        <w:t>）施工方案和技术措施；</w:t>
      </w:r>
    </w:p>
    <w:p>
      <w:pPr>
        <w:rPr>
          <w:rFonts w:hint="eastAsia"/>
        </w:rPr>
      </w:pPr>
      <w:r>
        <w:rPr>
          <w:rFonts w:hint="eastAsia" w:hAnsi="宋体"/>
        </w:rPr>
        <w:t>（</w:t>
      </w:r>
      <w:r>
        <w:rPr>
          <w:rFonts w:hint="eastAsia"/>
          <w:lang w:val="en-US" w:eastAsia="zh-CN"/>
        </w:rPr>
        <w:t>3</w:t>
      </w:r>
      <w:r>
        <w:rPr>
          <w:rFonts w:hint="eastAsia"/>
        </w:rPr>
        <w:t>）质量管理体系与措施；</w:t>
      </w:r>
    </w:p>
    <w:p>
      <w:pPr>
        <w:rPr>
          <w:rFonts w:hint="eastAsia"/>
        </w:rPr>
      </w:pPr>
      <w:r>
        <w:rPr>
          <w:rFonts w:hint="eastAsia" w:hAnsi="宋体"/>
        </w:rPr>
        <w:t>（</w:t>
      </w:r>
      <w:r>
        <w:rPr>
          <w:rFonts w:hint="eastAsia"/>
          <w:lang w:val="en-US" w:eastAsia="zh-CN"/>
        </w:rPr>
        <w:t>4</w:t>
      </w:r>
      <w:r>
        <w:rPr>
          <w:rFonts w:hint="eastAsia"/>
        </w:rPr>
        <w:t>）安全管理体系与措施；</w:t>
      </w:r>
    </w:p>
    <w:p>
      <w:pPr>
        <w:rPr>
          <w:rFonts w:hint="eastAsia"/>
        </w:rPr>
      </w:pPr>
      <w:r>
        <w:rPr>
          <w:rFonts w:hint="eastAsia" w:hAnsi="宋体"/>
        </w:rPr>
        <w:t>（</w:t>
      </w:r>
      <w:r>
        <w:rPr>
          <w:rFonts w:hint="eastAsia"/>
          <w:lang w:val="en-US" w:eastAsia="zh-CN"/>
        </w:rPr>
        <w:t>5</w:t>
      </w:r>
      <w:r>
        <w:rPr>
          <w:rFonts w:hint="eastAsia"/>
        </w:rPr>
        <w:t>）环境保护管理体系与措施；</w:t>
      </w:r>
    </w:p>
    <w:p>
      <w:pPr>
        <w:rPr>
          <w:rFonts w:hint="eastAsia"/>
        </w:rPr>
      </w:pPr>
      <w:r>
        <w:rPr>
          <w:rFonts w:hint="eastAsia" w:hAnsi="宋体"/>
        </w:rPr>
        <w:t>（</w:t>
      </w:r>
      <w:r>
        <w:rPr>
          <w:rFonts w:hint="eastAsia"/>
          <w:lang w:val="en-US" w:eastAsia="zh-CN"/>
        </w:rPr>
        <w:t>6</w:t>
      </w:r>
      <w:r>
        <w:rPr>
          <w:rFonts w:hint="eastAsia"/>
        </w:rPr>
        <w:t>）工程进度计划与措施；</w:t>
      </w:r>
    </w:p>
    <w:p>
      <w:pPr>
        <w:rPr>
          <w:rFonts w:hint="eastAsia"/>
        </w:rPr>
      </w:pPr>
      <w:r>
        <w:rPr>
          <w:rFonts w:hint="eastAsia" w:hAnsi="宋体"/>
        </w:rPr>
        <w:t>（</w:t>
      </w:r>
      <w:r>
        <w:rPr>
          <w:rFonts w:hint="eastAsia"/>
          <w:lang w:val="en-US" w:eastAsia="zh-CN"/>
        </w:rPr>
        <w:t>7</w:t>
      </w:r>
      <w:r>
        <w:rPr>
          <w:rFonts w:hint="eastAsia"/>
        </w:rPr>
        <w:t>）拟投入资源配备计划；</w:t>
      </w:r>
    </w:p>
    <w:p>
      <w:pPr>
        <w:rPr>
          <w:rFonts w:hint="eastAsia"/>
        </w:rPr>
      </w:pPr>
      <w:r>
        <w:rPr>
          <w:rFonts w:hint="eastAsia" w:hAnsi="宋体"/>
        </w:rPr>
        <w:t>（</w:t>
      </w:r>
      <w:r>
        <w:rPr>
          <w:rFonts w:hint="eastAsia"/>
          <w:lang w:val="en-US" w:eastAsia="zh-CN"/>
        </w:rPr>
        <w:t>8</w:t>
      </w:r>
      <w:r>
        <w:rPr>
          <w:rFonts w:hint="eastAsia"/>
        </w:rPr>
        <w:t>）施工进度表或施工网络图；</w:t>
      </w:r>
    </w:p>
    <w:p>
      <w:pPr>
        <w:rPr>
          <w:rFonts w:hint="eastAsia"/>
        </w:rPr>
      </w:pPr>
      <w:r>
        <w:rPr>
          <w:rFonts w:hint="eastAsia" w:hAnsi="宋体"/>
        </w:rPr>
        <w:t>（</w:t>
      </w:r>
      <w:r>
        <w:rPr>
          <w:rFonts w:hint="eastAsia"/>
          <w:lang w:val="en-US" w:eastAsia="zh-CN"/>
        </w:rPr>
        <w:t>9</w:t>
      </w:r>
      <w:r>
        <w:rPr>
          <w:rFonts w:hint="eastAsia"/>
        </w:rPr>
        <w:t>）施工总平面布置图；</w:t>
      </w:r>
    </w:p>
    <w:p>
      <w:pPr>
        <w:rPr>
          <w:rFonts w:hint="eastAsia"/>
        </w:rPr>
      </w:pPr>
      <w:r>
        <w:rPr>
          <w:rFonts w:hint="eastAsia" w:hAnsi="宋体"/>
        </w:rPr>
        <w:t>（</w:t>
      </w:r>
      <w:r>
        <w:rPr>
          <w:rFonts w:hint="eastAsia"/>
          <w:lang w:val="en-US" w:eastAsia="zh-CN"/>
        </w:rPr>
        <w:t>10</w:t>
      </w:r>
      <w:r>
        <w:rPr>
          <w:rFonts w:hint="eastAsia"/>
        </w:rPr>
        <w:t>）在节能减排、绿色施工（含扬尘治理）、工艺创新方面针对本工程有具体措施或企业自有创新技术；</w:t>
      </w:r>
    </w:p>
    <w:p>
      <w:pPr>
        <w:rPr>
          <w:rFonts w:hint="eastAsia"/>
        </w:rPr>
      </w:pPr>
      <w:r>
        <w:rPr>
          <w:rFonts w:hint="eastAsia" w:hAnsi="宋体"/>
        </w:rPr>
        <w:t>（</w:t>
      </w:r>
      <w:r>
        <w:rPr>
          <w:rFonts w:hint="eastAsia"/>
        </w:rPr>
        <w:t>1</w:t>
      </w:r>
      <w:r>
        <w:rPr>
          <w:rFonts w:hint="eastAsia"/>
          <w:lang w:val="en-US" w:eastAsia="zh-CN"/>
        </w:rPr>
        <w:t>1</w:t>
      </w:r>
      <w:r>
        <w:rPr>
          <w:rFonts w:hint="eastAsia"/>
        </w:rPr>
        <w:t>）新工艺、新技术、新设备、新材料的采用程度，其在确保质量、降低成本、缩短工期、减轻劳动强度、提高工效等方面的作用；</w:t>
      </w:r>
    </w:p>
    <w:p>
      <w:pPr>
        <w:rPr>
          <w:rFonts w:hint="eastAsia"/>
        </w:rPr>
      </w:pPr>
      <w:r>
        <w:rPr>
          <w:rFonts w:hint="eastAsia" w:hAnsi="宋体"/>
        </w:rPr>
        <w:t>（</w:t>
      </w:r>
      <w:r>
        <w:rPr>
          <w:rFonts w:hint="eastAsia"/>
        </w:rPr>
        <w:t>1</w:t>
      </w:r>
      <w:r>
        <w:rPr>
          <w:rFonts w:hint="eastAsia"/>
          <w:lang w:val="en-US" w:eastAsia="zh-CN"/>
        </w:rPr>
        <w:t>2</w:t>
      </w:r>
      <w:r>
        <w:rPr>
          <w:rFonts w:hint="eastAsia"/>
        </w:rPr>
        <w:t>）企业具备信息化管理平台，能够使工程管理者对现场实施监控和数据处理。</w:t>
      </w:r>
    </w:p>
    <w:p>
      <w:pPr>
        <w:rPr>
          <w:rFonts w:hint="eastAsia"/>
        </w:rPr>
      </w:pPr>
      <w:r>
        <w:rPr>
          <w:rFonts w:hint="eastAsia"/>
        </w:rPr>
        <w:t xml:space="preserve"> </w:t>
      </w:r>
    </w:p>
    <w:p>
      <w:bookmarkStart w:id="1225" w:name="_GoBack"/>
      <w:bookmarkEnd w:id="1225"/>
    </w:p>
    <w:sectPr>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8000012" w:usb3="00000000" w:csb0="4002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2058" o:spid="_x0000_s205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2059" o:spid="_x0000_s205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2060" o:spid="_x0000_s206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194</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rFonts w:ascii="华文新魏" w:eastAsia="华文新魏"/>
        <w:b/>
        <w:i/>
      </w:rPr>
    </w:pPr>
    <w:r>
      <w:rPr>
        <w:rFonts w:hint="eastAsia" w:ascii="华文新魏" w:eastAsia="华文新魏"/>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93B69"/>
    <w:rsid w:val="00004F64"/>
    <w:rsid w:val="00023DC5"/>
    <w:rsid w:val="00043988"/>
    <w:rsid w:val="00044015"/>
    <w:rsid w:val="00071E67"/>
    <w:rsid w:val="000B5235"/>
    <w:rsid w:val="000E7E21"/>
    <w:rsid w:val="001224FF"/>
    <w:rsid w:val="0012373C"/>
    <w:rsid w:val="00146DAC"/>
    <w:rsid w:val="001504E5"/>
    <w:rsid w:val="00151AA1"/>
    <w:rsid w:val="00164CB1"/>
    <w:rsid w:val="001734DB"/>
    <w:rsid w:val="00173634"/>
    <w:rsid w:val="001B739A"/>
    <w:rsid w:val="001C7729"/>
    <w:rsid w:val="001F78D8"/>
    <w:rsid w:val="0022490E"/>
    <w:rsid w:val="002858E3"/>
    <w:rsid w:val="002B0465"/>
    <w:rsid w:val="002C1ECD"/>
    <w:rsid w:val="00301BFD"/>
    <w:rsid w:val="003625AF"/>
    <w:rsid w:val="00387DD9"/>
    <w:rsid w:val="0039477B"/>
    <w:rsid w:val="00397469"/>
    <w:rsid w:val="003E12A4"/>
    <w:rsid w:val="004A5694"/>
    <w:rsid w:val="004B1B55"/>
    <w:rsid w:val="004B604A"/>
    <w:rsid w:val="005073D1"/>
    <w:rsid w:val="00537709"/>
    <w:rsid w:val="005537CF"/>
    <w:rsid w:val="005613B4"/>
    <w:rsid w:val="00572E63"/>
    <w:rsid w:val="005A4822"/>
    <w:rsid w:val="005B5A81"/>
    <w:rsid w:val="005D5027"/>
    <w:rsid w:val="00601980"/>
    <w:rsid w:val="00652C26"/>
    <w:rsid w:val="006B42D7"/>
    <w:rsid w:val="006F17F0"/>
    <w:rsid w:val="00702DD6"/>
    <w:rsid w:val="00710D67"/>
    <w:rsid w:val="0071132A"/>
    <w:rsid w:val="00730633"/>
    <w:rsid w:val="00783187"/>
    <w:rsid w:val="007B5EB7"/>
    <w:rsid w:val="007D1ACF"/>
    <w:rsid w:val="007D6B02"/>
    <w:rsid w:val="00811E1D"/>
    <w:rsid w:val="008D55BA"/>
    <w:rsid w:val="00945133"/>
    <w:rsid w:val="00952B9A"/>
    <w:rsid w:val="009C41D7"/>
    <w:rsid w:val="009F3898"/>
    <w:rsid w:val="00A83A20"/>
    <w:rsid w:val="00A86E39"/>
    <w:rsid w:val="00B72049"/>
    <w:rsid w:val="00B93B69"/>
    <w:rsid w:val="00BF0155"/>
    <w:rsid w:val="00C0221C"/>
    <w:rsid w:val="00C16239"/>
    <w:rsid w:val="00C27423"/>
    <w:rsid w:val="00C6514B"/>
    <w:rsid w:val="00C7060F"/>
    <w:rsid w:val="00CE7422"/>
    <w:rsid w:val="00D15813"/>
    <w:rsid w:val="00D15E9C"/>
    <w:rsid w:val="00D96076"/>
    <w:rsid w:val="00DA1221"/>
    <w:rsid w:val="00E00D30"/>
    <w:rsid w:val="00E0544D"/>
    <w:rsid w:val="00E34913"/>
    <w:rsid w:val="00E52106"/>
    <w:rsid w:val="00E93A9B"/>
    <w:rsid w:val="00EC173C"/>
    <w:rsid w:val="00EF2A4A"/>
    <w:rsid w:val="00F02F63"/>
    <w:rsid w:val="00F562BE"/>
    <w:rsid w:val="00F62904"/>
    <w:rsid w:val="00F874E6"/>
    <w:rsid w:val="00F94E32"/>
    <w:rsid w:val="00FA0DB5"/>
    <w:rsid w:val="01762E24"/>
    <w:rsid w:val="01AC54BB"/>
    <w:rsid w:val="02515CF1"/>
    <w:rsid w:val="03357F55"/>
    <w:rsid w:val="062E70CF"/>
    <w:rsid w:val="0696489D"/>
    <w:rsid w:val="0800295E"/>
    <w:rsid w:val="090829F3"/>
    <w:rsid w:val="0942755A"/>
    <w:rsid w:val="095C6F87"/>
    <w:rsid w:val="09D46115"/>
    <w:rsid w:val="0A2437E4"/>
    <w:rsid w:val="0AB15996"/>
    <w:rsid w:val="0B2B7792"/>
    <w:rsid w:val="0E5C35B1"/>
    <w:rsid w:val="0EB55A63"/>
    <w:rsid w:val="0F113A53"/>
    <w:rsid w:val="103A1806"/>
    <w:rsid w:val="105B7E5E"/>
    <w:rsid w:val="109A6B19"/>
    <w:rsid w:val="119934F4"/>
    <w:rsid w:val="13481F36"/>
    <w:rsid w:val="13874900"/>
    <w:rsid w:val="13F31BF4"/>
    <w:rsid w:val="17CA3CB6"/>
    <w:rsid w:val="1A443EEA"/>
    <w:rsid w:val="1A8266E1"/>
    <w:rsid w:val="1D671A8B"/>
    <w:rsid w:val="1D812870"/>
    <w:rsid w:val="1F141712"/>
    <w:rsid w:val="1F2B2D5B"/>
    <w:rsid w:val="207E0DDA"/>
    <w:rsid w:val="20F221E4"/>
    <w:rsid w:val="233C0702"/>
    <w:rsid w:val="234753EE"/>
    <w:rsid w:val="238C0B03"/>
    <w:rsid w:val="243142AC"/>
    <w:rsid w:val="27861ABA"/>
    <w:rsid w:val="28A16603"/>
    <w:rsid w:val="29F82918"/>
    <w:rsid w:val="2BF86138"/>
    <w:rsid w:val="2E412151"/>
    <w:rsid w:val="2E6A617B"/>
    <w:rsid w:val="2F1F7ACF"/>
    <w:rsid w:val="2F2130C3"/>
    <w:rsid w:val="2FAB7FA8"/>
    <w:rsid w:val="32694CAA"/>
    <w:rsid w:val="328517A9"/>
    <w:rsid w:val="32A1340C"/>
    <w:rsid w:val="35D359DE"/>
    <w:rsid w:val="37032915"/>
    <w:rsid w:val="3AF6679A"/>
    <w:rsid w:val="3C9A6C3D"/>
    <w:rsid w:val="3D041CFF"/>
    <w:rsid w:val="3EB26125"/>
    <w:rsid w:val="3F275C12"/>
    <w:rsid w:val="3FEB7FE6"/>
    <w:rsid w:val="41E032DE"/>
    <w:rsid w:val="45A422C9"/>
    <w:rsid w:val="485A393E"/>
    <w:rsid w:val="48B3445E"/>
    <w:rsid w:val="4A9845EE"/>
    <w:rsid w:val="4B3C550C"/>
    <w:rsid w:val="4B7238F3"/>
    <w:rsid w:val="4BF728F0"/>
    <w:rsid w:val="4C4F1016"/>
    <w:rsid w:val="4F1150F5"/>
    <w:rsid w:val="50937FB6"/>
    <w:rsid w:val="51B16B66"/>
    <w:rsid w:val="528411E7"/>
    <w:rsid w:val="530024B9"/>
    <w:rsid w:val="551D59B9"/>
    <w:rsid w:val="571D4502"/>
    <w:rsid w:val="57AA6D8F"/>
    <w:rsid w:val="595F426E"/>
    <w:rsid w:val="5AD610BB"/>
    <w:rsid w:val="5AED37AF"/>
    <w:rsid w:val="5B420A87"/>
    <w:rsid w:val="5B8D74A1"/>
    <w:rsid w:val="602D1C68"/>
    <w:rsid w:val="60E91E50"/>
    <w:rsid w:val="61805B4C"/>
    <w:rsid w:val="634B0500"/>
    <w:rsid w:val="63FC520E"/>
    <w:rsid w:val="63FD698B"/>
    <w:rsid w:val="64157278"/>
    <w:rsid w:val="658C3A41"/>
    <w:rsid w:val="66F070F4"/>
    <w:rsid w:val="6A702496"/>
    <w:rsid w:val="6ADB22D4"/>
    <w:rsid w:val="6D62640B"/>
    <w:rsid w:val="6E9B59E7"/>
    <w:rsid w:val="6EE35876"/>
    <w:rsid w:val="71AC3FAF"/>
    <w:rsid w:val="71FA52B9"/>
    <w:rsid w:val="72E338B3"/>
    <w:rsid w:val="73296FC9"/>
    <w:rsid w:val="77E83CC7"/>
    <w:rsid w:val="77F26180"/>
    <w:rsid w:val="7A1B3470"/>
    <w:rsid w:val="7A3F49DB"/>
    <w:rsid w:val="7ABA431B"/>
    <w:rsid w:val="7AD67E42"/>
    <w:rsid w:val="7B72180A"/>
    <w:rsid w:val="7C1B2494"/>
    <w:rsid w:val="7E7B5E61"/>
    <w:rsid w:val="7EB22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50"/>
    <w:qFormat/>
    <w:uiPriority w:val="0"/>
    <w:pPr>
      <w:keepNext/>
      <w:keepLines/>
      <w:spacing w:line="360" w:lineRule="auto"/>
      <w:outlineLvl w:val="0"/>
    </w:pPr>
    <w:rPr>
      <w:rFonts w:ascii="Times New Roman"/>
      <w:b/>
      <w:bCs/>
      <w:kern w:val="44"/>
      <w:sz w:val="32"/>
      <w:szCs w:val="44"/>
    </w:rPr>
  </w:style>
  <w:style w:type="paragraph" w:styleId="4">
    <w:name w:val="heading 2"/>
    <w:basedOn w:val="1"/>
    <w:next w:val="1"/>
    <w:link w:val="54"/>
    <w:qFormat/>
    <w:uiPriority w:val="0"/>
    <w:pPr>
      <w:keepNext/>
      <w:keepLines/>
      <w:spacing w:before="260" w:after="260" w:line="413" w:lineRule="auto"/>
      <w:outlineLvl w:val="1"/>
    </w:pPr>
    <w:rPr>
      <w:rFonts w:ascii="Cambria" w:hAnsi="Cambria"/>
      <w:b/>
      <w:bCs/>
      <w:kern w:val="2"/>
      <w:sz w:val="32"/>
      <w:szCs w:val="32"/>
    </w:rPr>
  </w:style>
  <w:style w:type="paragraph" w:styleId="5">
    <w:name w:val="heading 3"/>
    <w:basedOn w:val="1"/>
    <w:next w:val="1"/>
    <w:link w:val="49"/>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0"/>
    <w:pPr>
      <w:keepNext/>
      <w:keepLines/>
      <w:spacing w:line="360" w:lineRule="auto"/>
      <w:outlineLvl w:val="3"/>
    </w:pPr>
    <w:rPr>
      <w:rFonts w:ascii="Arial" w:hAnsi="Arial"/>
      <w:b/>
      <w:bCs/>
      <w:kern w:val="2"/>
      <w:sz w:val="21"/>
      <w:szCs w:val="28"/>
    </w:rPr>
  </w:style>
  <w:style w:type="paragraph" w:styleId="7">
    <w:name w:val="heading 5"/>
    <w:basedOn w:val="1"/>
    <w:next w:val="1"/>
    <w:link w:val="52"/>
    <w:qFormat/>
    <w:uiPriority w:val="0"/>
    <w:pPr>
      <w:keepNext/>
      <w:keepLines/>
      <w:spacing w:before="280" w:after="290" w:line="372" w:lineRule="auto"/>
      <w:outlineLvl w:val="4"/>
    </w:pPr>
    <w:rPr>
      <w:rFonts w:ascii="Times New Roman"/>
      <w:b/>
      <w:bCs/>
      <w:kern w:val="2"/>
      <w:sz w:val="28"/>
      <w:szCs w:val="28"/>
    </w:rPr>
  </w:style>
  <w:style w:type="paragraph" w:styleId="8">
    <w:name w:val="heading 6"/>
    <w:basedOn w:val="1"/>
    <w:next w:val="1"/>
    <w:link w:val="55"/>
    <w:qFormat/>
    <w:uiPriority w:val="0"/>
    <w:pPr>
      <w:keepNext/>
      <w:keepLines/>
      <w:spacing w:before="240" w:after="64" w:line="317" w:lineRule="auto"/>
      <w:outlineLvl w:val="5"/>
    </w:pPr>
    <w:rPr>
      <w:rFonts w:ascii="Cambria" w:hAnsi="Cambria"/>
      <w:b/>
      <w:bCs/>
      <w:kern w:val="2"/>
      <w:sz w:val="24"/>
      <w:szCs w:val="24"/>
    </w:rPr>
  </w:style>
  <w:style w:type="paragraph" w:styleId="9">
    <w:name w:val="heading 7"/>
    <w:basedOn w:val="1"/>
    <w:next w:val="1"/>
    <w:link w:val="56"/>
    <w:qFormat/>
    <w:uiPriority w:val="0"/>
    <w:pPr>
      <w:keepNext/>
      <w:keepLines/>
      <w:spacing w:before="240" w:after="64" w:line="317" w:lineRule="auto"/>
      <w:outlineLvl w:val="6"/>
    </w:pPr>
    <w:rPr>
      <w:rFonts w:ascii="Calibri" w:hAnsi="Calibri"/>
      <w:b/>
      <w:bCs/>
      <w:kern w:val="2"/>
      <w:sz w:val="24"/>
      <w:szCs w:val="24"/>
    </w:rPr>
  </w:style>
  <w:style w:type="paragraph" w:styleId="10">
    <w:name w:val="heading 8"/>
    <w:basedOn w:val="1"/>
    <w:next w:val="1"/>
    <w:link w:val="57"/>
    <w:qFormat/>
    <w:uiPriority w:val="0"/>
    <w:pPr>
      <w:keepNext/>
      <w:keepLines/>
      <w:spacing w:before="240" w:after="64" w:line="317" w:lineRule="auto"/>
      <w:outlineLvl w:val="7"/>
    </w:pPr>
    <w:rPr>
      <w:rFonts w:ascii="Cambria" w:hAnsi="Cambria"/>
      <w:kern w:val="2"/>
      <w:sz w:val="24"/>
      <w:szCs w:val="24"/>
    </w:rPr>
  </w:style>
  <w:style w:type="paragraph" w:styleId="11">
    <w:name w:val="heading 9"/>
    <w:basedOn w:val="1"/>
    <w:next w:val="1"/>
    <w:link w:val="58"/>
    <w:qFormat/>
    <w:uiPriority w:val="0"/>
    <w:pPr>
      <w:keepNext/>
      <w:keepLines/>
      <w:spacing w:before="240" w:after="64" w:line="317" w:lineRule="auto"/>
      <w:outlineLvl w:val="8"/>
    </w:pPr>
    <w:rPr>
      <w:rFonts w:ascii="Cambria" w:hAnsi="Cambria"/>
      <w:kern w:val="2"/>
      <w:sz w:val="21"/>
      <w:szCs w:val="21"/>
    </w:rPr>
  </w:style>
  <w:style w:type="character" w:default="1" w:styleId="36">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annotation subject"/>
    <w:basedOn w:val="13"/>
    <w:next w:val="13"/>
    <w:link w:val="89"/>
    <w:qFormat/>
    <w:uiPriority w:val="0"/>
    <w:rPr>
      <w:rFonts w:eastAsiaTheme="minorEastAsia" w:cstheme="minorBidi"/>
      <w:b/>
      <w:bCs/>
      <w:kern w:val="2"/>
      <w:sz w:val="28"/>
      <w:szCs w:val="22"/>
    </w:rPr>
  </w:style>
  <w:style w:type="paragraph" w:styleId="13">
    <w:name w:val="annotation text"/>
    <w:basedOn w:val="1"/>
    <w:link w:val="88"/>
    <w:unhideWhenUsed/>
    <w:qFormat/>
    <w:uiPriority w:val="0"/>
    <w:pPr>
      <w:jc w:val="left"/>
    </w:pPr>
  </w:style>
  <w:style w:type="paragraph" w:styleId="14">
    <w:name w:val="toc 7"/>
    <w:basedOn w:val="1"/>
    <w:next w:val="1"/>
    <w:qFormat/>
    <w:uiPriority w:val="0"/>
    <w:pPr>
      <w:ind w:left="2520" w:leftChars="1200"/>
    </w:pPr>
    <w:rPr>
      <w:rFonts w:ascii="Calibri" w:hAnsi="Calibri"/>
      <w:kern w:val="2"/>
      <w:sz w:val="21"/>
      <w:szCs w:val="22"/>
    </w:rPr>
  </w:style>
  <w:style w:type="paragraph" w:styleId="15">
    <w:name w:val="Normal Indent"/>
    <w:basedOn w:val="1"/>
    <w:qFormat/>
    <w:uiPriority w:val="0"/>
    <w:pPr>
      <w:adjustRightInd w:val="0"/>
      <w:spacing w:line="360" w:lineRule="atLeast"/>
      <w:ind w:firstLine="482"/>
      <w:textAlignment w:val="baseline"/>
    </w:pPr>
    <w:rPr>
      <w:rFonts w:ascii="Times New Roman"/>
      <w:sz w:val="24"/>
    </w:rPr>
  </w:style>
  <w:style w:type="paragraph" w:styleId="16">
    <w:name w:val="caption"/>
    <w:basedOn w:val="1"/>
    <w:next w:val="1"/>
    <w:qFormat/>
    <w:uiPriority w:val="0"/>
    <w:rPr>
      <w:rFonts w:ascii="Cambria" w:hAnsi="Cambria" w:eastAsia="黑体"/>
      <w:kern w:val="2"/>
      <w:sz w:val="20"/>
    </w:rPr>
  </w:style>
  <w:style w:type="paragraph" w:styleId="17">
    <w:name w:val="Document Map"/>
    <w:basedOn w:val="1"/>
    <w:link w:val="47"/>
    <w:unhideWhenUsed/>
    <w:qFormat/>
    <w:uiPriority w:val="0"/>
    <w:rPr>
      <w:sz w:val="18"/>
      <w:szCs w:val="18"/>
    </w:rPr>
  </w:style>
  <w:style w:type="paragraph" w:styleId="18">
    <w:name w:val="Body Text"/>
    <w:basedOn w:val="1"/>
    <w:link w:val="53"/>
    <w:unhideWhenUsed/>
    <w:qFormat/>
    <w:uiPriority w:val="0"/>
    <w:pPr>
      <w:spacing w:after="120"/>
    </w:pPr>
    <w:rPr>
      <w:rFonts w:ascii="Times New Roman"/>
      <w:kern w:val="2"/>
      <w:sz w:val="21"/>
      <w:szCs w:val="22"/>
    </w:rPr>
  </w:style>
  <w:style w:type="paragraph" w:styleId="19">
    <w:name w:val="index 4"/>
    <w:basedOn w:val="1"/>
    <w:next w:val="1"/>
    <w:qFormat/>
    <w:uiPriority w:val="0"/>
    <w:pPr>
      <w:ind w:left="600" w:leftChars="600"/>
    </w:pPr>
    <w:rPr>
      <w:rFonts w:ascii="Times New Roman"/>
      <w:kern w:val="2"/>
      <w:sz w:val="21"/>
      <w:szCs w:val="24"/>
    </w:rPr>
  </w:style>
  <w:style w:type="paragraph" w:styleId="20">
    <w:name w:val="toc 5"/>
    <w:basedOn w:val="1"/>
    <w:next w:val="1"/>
    <w:qFormat/>
    <w:uiPriority w:val="0"/>
    <w:pPr>
      <w:tabs>
        <w:tab w:val="right" w:leader="dot" w:pos="8296"/>
      </w:tabs>
      <w:ind w:left="1050" w:leftChars="500"/>
    </w:pPr>
    <w:rPr>
      <w:rFonts w:ascii="Calibri" w:hAnsi="Calibri"/>
      <w:kern w:val="2"/>
      <w:sz w:val="21"/>
      <w:szCs w:val="22"/>
    </w:rPr>
  </w:style>
  <w:style w:type="paragraph" w:styleId="21">
    <w:name w:val="toc 3"/>
    <w:basedOn w:val="1"/>
    <w:next w:val="1"/>
    <w:qFormat/>
    <w:uiPriority w:val="0"/>
    <w:pPr>
      <w:ind w:left="840" w:leftChars="400"/>
    </w:pPr>
    <w:rPr>
      <w:rFonts w:ascii="Calibri" w:hAnsi="Calibri"/>
      <w:kern w:val="2"/>
      <w:sz w:val="21"/>
      <w:szCs w:val="22"/>
    </w:rPr>
  </w:style>
  <w:style w:type="paragraph" w:styleId="22">
    <w:name w:val="toc 8"/>
    <w:basedOn w:val="1"/>
    <w:next w:val="1"/>
    <w:qFormat/>
    <w:uiPriority w:val="0"/>
    <w:pPr>
      <w:ind w:left="2940" w:leftChars="1400"/>
    </w:pPr>
    <w:rPr>
      <w:rFonts w:ascii="Calibri" w:hAnsi="Calibri"/>
      <w:kern w:val="2"/>
      <w:sz w:val="21"/>
      <w:szCs w:val="22"/>
    </w:rPr>
  </w:style>
  <w:style w:type="paragraph" w:styleId="23">
    <w:name w:val="Date"/>
    <w:basedOn w:val="1"/>
    <w:next w:val="1"/>
    <w:link w:val="90"/>
    <w:qFormat/>
    <w:uiPriority w:val="0"/>
    <w:pPr>
      <w:ind w:left="100" w:leftChars="2500"/>
    </w:pPr>
    <w:rPr>
      <w:rFonts w:eastAsiaTheme="minorEastAsia" w:cstheme="minorBidi"/>
      <w:kern w:val="2"/>
      <w:sz w:val="28"/>
      <w:szCs w:val="22"/>
    </w:rPr>
  </w:style>
  <w:style w:type="paragraph" w:styleId="24">
    <w:name w:val="Balloon Text"/>
    <w:basedOn w:val="1"/>
    <w:link w:val="87"/>
    <w:qFormat/>
    <w:uiPriority w:val="0"/>
    <w:rPr>
      <w:rFonts w:eastAsiaTheme="minorEastAsia" w:cstheme="minorBidi"/>
      <w:kern w:val="2"/>
      <w:sz w:val="18"/>
      <w:szCs w:val="18"/>
    </w:rPr>
  </w:style>
  <w:style w:type="paragraph" w:styleId="25">
    <w:name w:val="footer"/>
    <w:basedOn w:val="1"/>
    <w:link w:val="44"/>
    <w:unhideWhenUsed/>
    <w:qFormat/>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26">
    <w:name w:val="header"/>
    <w:basedOn w:val="1"/>
    <w:link w:val="4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27">
    <w:name w:val="toc 1"/>
    <w:basedOn w:val="1"/>
    <w:next w:val="1"/>
    <w:qFormat/>
    <w:uiPriority w:val="0"/>
    <w:pPr>
      <w:tabs>
        <w:tab w:val="right" w:leader="dot" w:pos="8296"/>
      </w:tabs>
    </w:pPr>
    <w:rPr>
      <w:rFonts w:eastAsia="楷体_GB2312" w:cs="TimesNewRomanPSMT"/>
      <w:b/>
      <w:sz w:val="28"/>
    </w:rPr>
  </w:style>
  <w:style w:type="paragraph" w:styleId="28">
    <w:name w:val="toc 4"/>
    <w:basedOn w:val="1"/>
    <w:next w:val="1"/>
    <w:qFormat/>
    <w:uiPriority w:val="0"/>
    <w:pPr>
      <w:tabs>
        <w:tab w:val="left" w:pos="1890"/>
        <w:tab w:val="right" w:leader="dot" w:pos="8296"/>
      </w:tabs>
      <w:ind w:left="630" w:leftChars="300"/>
    </w:pPr>
    <w:rPr>
      <w:rFonts w:ascii="Calibri" w:hAnsi="Calibri"/>
      <w:kern w:val="2"/>
      <w:sz w:val="21"/>
      <w:szCs w:val="22"/>
    </w:rPr>
  </w:style>
  <w:style w:type="paragraph" w:styleId="29">
    <w:name w:val="Subtitle"/>
    <w:basedOn w:val="1"/>
    <w:next w:val="1"/>
    <w:link w:val="93"/>
    <w:qFormat/>
    <w:uiPriority w:val="0"/>
    <w:pPr>
      <w:spacing w:before="240" w:after="60" w:line="312" w:lineRule="auto"/>
      <w:jc w:val="center"/>
      <w:outlineLvl w:val="1"/>
    </w:pPr>
    <w:rPr>
      <w:rFonts w:ascii="Cambria" w:hAnsi="Cambria" w:eastAsiaTheme="minorEastAsia"/>
      <w:b/>
      <w:bCs/>
      <w:kern w:val="28"/>
      <w:sz w:val="32"/>
      <w:szCs w:val="32"/>
    </w:rPr>
  </w:style>
  <w:style w:type="paragraph" w:styleId="30">
    <w:name w:val="toc 6"/>
    <w:basedOn w:val="1"/>
    <w:next w:val="1"/>
    <w:qFormat/>
    <w:uiPriority w:val="0"/>
    <w:pPr>
      <w:ind w:left="2100" w:leftChars="1000"/>
    </w:pPr>
    <w:rPr>
      <w:rFonts w:ascii="Calibri" w:hAnsi="Calibri"/>
      <w:kern w:val="2"/>
      <w:sz w:val="21"/>
      <w:szCs w:val="22"/>
    </w:rPr>
  </w:style>
  <w:style w:type="paragraph" w:styleId="31">
    <w:name w:val="Body Text Indent 3"/>
    <w:basedOn w:val="1"/>
    <w:unhideWhenUsed/>
    <w:qFormat/>
    <w:uiPriority w:val="99"/>
    <w:pPr>
      <w:spacing w:after="120" w:afterLines="0"/>
      <w:ind w:left="420" w:leftChars="200"/>
    </w:pPr>
    <w:rPr>
      <w:sz w:val="16"/>
      <w:szCs w:val="16"/>
    </w:rPr>
  </w:style>
  <w:style w:type="paragraph" w:styleId="32">
    <w:name w:val="toc 2"/>
    <w:basedOn w:val="1"/>
    <w:next w:val="1"/>
    <w:qFormat/>
    <w:uiPriority w:val="0"/>
    <w:pPr>
      <w:ind w:left="420" w:leftChars="200"/>
    </w:pPr>
    <w:rPr>
      <w:b/>
      <w:kern w:val="2"/>
      <w:sz w:val="28"/>
    </w:rPr>
  </w:style>
  <w:style w:type="paragraph" w:styleId="33">
    <w:name w:val="toc 9"/>
    <w:basedOn w:val="1"/>
    <w:next w:val="1"/>
    <w:qFormat/>
    <w:uiPriority w:val="0"/>
    <w:pPr>
      <w:ind w:left="3360" w:leftChars="1600"/>
    </w:pPr>
    <w:rPr>
      <w:rFonts w:ascii="Calibri" w:hAnsi="Calibri"/>
      <w:kern w:val="2"/>
      <w:sz w:val="21"/>
      <w:szCs w:val="22"/>
    </w:rPr>
  </w:style>
  <w:style w:type="paragraph" w:styleId="34">
    <w:name w:val="Normal (Web)"/>
    <w:basedOn w:val="1"/>
    <w:qFormat/>
    <w:uiPriority w:val="99"/>
    <w:pPr>
      <w:widowControl/>
      <w:spacing w:before="100" w:beforeAutospacing="1" w:after="100" w:afterAutospacing="1"/>
      <w:jc w:val="left"/>
    </w:pPr>
    <w:rPr>
      <w:rFonts w:hAnsi="宋体" w:cs="宋体"/>
      <w:sz w:val="24"/>
    </w:rPr>
  </w:style>
  <w:style w:type="paragraph" w:styleId="35">
    <w:name w:val="Title"/>
    <w:basedOn w:val="1"/>
    <w:next w:val="1"/>
    <w:link w:val="91"/>
    <w:qFormat/>
    <w:uiPriority w:val="0"/>
    <w:pPr>
      <w:spacing w:before="240" w:after="60"/>
      <w:jc w:val="center"/>
      <w:outlineLvl w:val="0"/>
    </w:pPr>
    <w:rPr>
      <w:rFonts w:ascii="Cambria" w:hAnsi="Cambria" w:eastAsiaTheme="minorEastAsia"/>
      <w:b/>
      <w:bCs/>
      <w:kern w:val="2"/>
      <w:sz w:val="32"/>
      <w:szCs w:val="32"/>
    </w:rPr>
  </w:style>
  <w:style w:type="character" w:styleId="37">
    <w:name w:val="Strong"/>
    <w:qFormat/>
    <w:uiPriority w:val="0"/>
    <w:rPr>
      <w:b/>
      <w:bCs/>
    </w:rPr>
  </w:style>
  <w:style w:type="character" w:styleId="38">
    <w:name w:val="page number"/>
    <w:qFormat/>
    <w:uiPriority w:val="0"/>
    <w:rPr>
      <w:rFonts w:cs="Times New Roman"/>
    </w:rPr>
  </w:style>
  <w:style w:type="character" w:styleId="39">
    <w:name w:val="Emphasis"/>
    <w:qFormat/>
    <w:uiPriority w:val="0"/>
    <w:rPr>
      <w:i/>
      <w:iCs/>
    </w:rPr>
  </w:style>
  <w:style w:type="character" w:styleId="40">
    <w:name w:val="Hyperlink"/>
    <w:qFormat/>
    <w:uiPriority w:val="0"/>
    <w:rPr>
      <w:rFonts w:cs="Times New Roman"/>
      <w:color w:val="0000FF"/>
      <w:u w:val="single"/>
    </w:rPr>
  </w:style>
  <w:style w:type="character" w:styleId="41">
    <w:name w:val="annotation reference"/>
    <w:qFormat/>
    <w:uiPriority w:val="0"/>
    <w:rPr>
      <w:rFonts w:cs="Times New Roman"/>
      <w:sz w:val="21"/>
      <w:szCs w:val="21"/>
    </w:rPr>
  </w:style>
  <w:style w:type="character" w:customStyle="1" w:styleId="43">
    <w:name w:val="页眉 Char"/>
    <w:basedOn w:val="36"/>
    <w:link w:val="26"/>
    <w:qFormat/>
    <w:uiPriority w:val="0"/>
    <w:rPr>
      <w:sz w:val="18"/>
      <w:szCs w:val="18"/>
    </w:rPr>
  </w:style>
  <w:style w:type="character" w:customStyle="1" w:styleId="44">
    <w:name w:val="页脚 Char"/>
    <w:basedOn w:val="36"/>
    <w:link w:val="25"/>
    <w:qFormat/>
    <w:uiPriority w:val="0"/>
    <w:rPr>
      <w:sz w:val="18"/>
      <w:szCs w:val="18"/>
    </w:rPr>
  </w:style>
  <w:style w:type="paragraph" w:customStyle="1" w:styleId="4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6">
    <w:name w:val="List Paragraph"/>
    <w:basedOn w:val="1"/>
    <w:qFormat/>
    <w:uiPriority w:val="0"/>
    <w:pPr>
      <w:ind w:firstLine="420" w:firstLineChars="200"/>
    </w:pPr>
  </w:style>
  <w:style w:type="character" w:customStyle="1" w:styleId="47">
    <w:name w:val="文档结构图 Char"/>
    <w:basedOn w:val="36"/>
    <w:link w:val="17"/>
    <w:qFormat/>
    <w:uiPriority w:val="0"/>
    <w:rPr>
      <w:rFonts w:ascii="宋体" w:hAnsi="Times New Roman" w:eastAsia="宋体" w:cs="Times New Roman"/>
      <w:kern w:val="0"/>
      <w:sz w:val="18"/>
      <w:szCs w:val="18"/>
    </w:rPr>
  </w:style>
  <w:style w:type="paragraph" w:customStyle="1" w:styleId="48">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character" w:customStyle="1" w:styleId="49">
    <w:name w:val="标题 3 Char"/>
    <w:basedOn w:val="36"/>
    <w:link w:val="5"/>
    <w:qFormat/>
    <w:uiPriority w:val="0"/>
    <w:rPr>
      <w:rFonts w:ascii="宋体" w:hAnsi="Times New Roman" w:eastAsia="宋体" w:cs="Times New Roman"/>
      <w:b/>
      <w:bCs/>
      <w:kern w:val="0"/>
      <w:sz w:val="32"/>
      <w:szCs w:val="32"/>
    </w:rPr>
  </w:style>
  <w:style w:type="character" w:customStyle="1" w:styleId="50">
    <w:name w:val="标题 1 Char"/>
    <w:basedOn w:val="36"/>
    <w:link w:val="3"/>
    <w:qFormat/>
    <w:uiPriority w:val="0"/>
    <w:rPr>
      <w:rFonts w:ascii="Times New Roman" w:hAnsi="Times New Roman" w:eastAsia="宋体" w:cs="Times New Roman"/>
      <w:b/>
      <w:bCs/>
      <w:kern w:val="44"/>
      <w:sz w:val="32"/>
      <w:szCs w:val="44"/>
    </w:rPr>
  </w:style>
  <w:style w:type="character" w:customStyle="1" w:styleId="51">
    <w:name w:val="标题 4 Char"/>
    <w:basedOn w:val="36"/>
    <w:link w:val="6"/>
    <w:qFormat/>
    <w:uiPriority w:val="0"/>
    <w:rPr>
      <w:rFonts w:ascii="Arial" w:hAnsi="Arial" w:eastAsia="宋体" w:cs="Times New Roman"/>
      <w:b/>
      <w:bCs/>
      <w:szCs w:val="28"/>
    </w:rPr>
  </w:style>
  <w:style w:type="character" w:customStyle="1" w:styleId="52">
    <w:name w:val="标题 5 Char"/>
    <w:basedOn w:val="36"/>
    <w:link w:val="7"/>
    <w:qFormat/>
    <w:uiPriority w:val="0"/>
    <w:rPr>
      <w:rFonts w:ascii="Times New Roman" w:hAnsi="Times New Roman" w:eastAsia="宋体" w:cs="Times New Roman"/>
      <w:b/>
      <w:bCs/>
      <w:sz w:val="28"/>
      <w:szCs w:val="28"/>
    </w:rPr>
  </w:style>
  <w:style w:type="character" w:customStyle="1" w:styleId="53">
    <w:name w:val="正文文本 Char"/>
    <w:basedOn w:val="36"/>
    <w:link w:val="18"/>
    <w:qFormat/>
    <w:uiPriority w:val="0"/>
    <w:rPr>
      <w:rFonts w:ascii="Times New Roman" w:hAnsi="Times New Roman" w:eastAsia="宋体" w:cs="Times New Roman"/>
    </w:rPr>
  </w:style>
  <w:style w:type="character" w:customStyle="1" w:styleId="54">
    <w:name w:val="标题 2 Char"/>
    <w:basedOn w:val="36"/>
    <w:link w:val="4"/>
    <w:qFormat/>
    <w:uiPriority w:val="0"/>
    <w:rPr>
      <w:rFonts w:ascii="Cambria" w:hAnsi="Cambria" w:eastAsia="宋体" w:cs="Times New Roman"/>
      <w:b/>
      <w:bCs/>
      <w:sz w:val="32"/>
      <w:szCs w:val="32"/>
    </w:rPr>
  </w:style>
  <w:style w:type="character" w:customStyle="1" w:styleId="55">
    <w:name w:val="标题 6 Char"/>
    <w:basedOn w:val="36"/>
    <w:link w:val="8"/>
    <w:qFormat/>
    <w:uiPriority w:val="0"/>
    <w:rPr>
      <w:rFonts w:ascii="Cambria" w:hAnsi="Cambria" w:eastAsia="宋体" w:cs="Times New Roman"/>
      <w:b/>
      <w:bCs/>
      <w:sz w:val="24"/>
      <w:szCs w:val="24"/>
    </w:rPr>
  </w:style>
  <w:style w:type="character" w:customStyle="1" w:styleId="56">
    <w:name w:val="标题 7 Char"/>
    <w:basedOn w:val="36"/>
    <w:link w:val="9"/>
    <w:qFormat/>
    <w:uiPriority w:val="0"/>
    <w:rPr>
      <w:rFonts w:ascii="Calibri" w:hAnsi="Calibri" w:eastAsia="宋体" w:cs="Times New Roman"/>
      <w:b/>
      <w:bCs/>
      <w:sz w:val="24"/>
      <w:szCs w:val="24"/>
    </w:rPr>
  </w:style>
  <w:style w:type="character" w:customStyle="1" w:styleId="57">
    <w:name w:val="标题 8 Char"/>
    <w:basedOn w:val="36"/>
    <w:link w:val="10"/>
    <w:qFormat/>
    <w:uiPriority w:val="0"/>
    <w:rPr>
      <w:rFonts w:ascii="Cambria" w:hAnsi="Cambria" w:eastAsia="宋体" w:cs="Times New Roman"/>
      <w:sz w:val="24"/>
      <w:szCs w:val="24"/>
    </w:rPr>
  </w:style>
  <w:style w:type="character" w:customStyle="1" w:styleId="58">
    <w:name w:val="标题 9 Char"/>
    <w:basedOn w:val="36"/>
    <w:link w:val="11"/>
    <w:qFormat/>
    <w:uiPriority w:val="0"/>
    <w:rPr>
      <w:rFonts w:ascii="Cambria" w:hAnsi="Cambria" w:eastAsia="宋体" w:cs="Times New Roman"/>
      <w:szCs w:val="21"/>
    </w:rPr>
  </w:style>
  <w:style w:type="character" w:customStyle="1" w:styleId="59">
    <w:name w:val="正文文本 Char1"/>
    <w:qFormat/>
    <w:uiPriority w:val="0"/>
    <w:rPr>
      <w:kern w:val="2"/>
      <w:sz w:val="21"/>
      <w:szCs w:val="22"/>
    </w:rPr>
  </w:style>
  <w:style w:type="character" w:customStyle="1" w:styleId="60">
    <w:name w:val="明显引用 Char"/>
    <w:qFormat/>
    <w:uiPriority w:val="0"/>
    <w:rPr>
      <w:b/>
      <w:bCs/>
      <w:i/>
      <w:iCs/>
      <w:color w:val="4F81BD"/>
    </w:rPr>
  </w:style>
  <w:style w:type="paragraph" w:styleId="61">
    <w:name w:val="Intense Quote"/>
    <w:basedOn w:val="1"/>
    <w:next w:val="1"/>
    <w:link w:val="94"/>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kern w:val="2"/>
      <w:sz w:val="21"/>
      <w:szCs w:val="22"/>
    </w:rPr>
  </w:style>
  <w:style w:type="character" w:customStyle="1" w:styleId="62">
    <w:name w:val="不明显强调1"/>
    <w:qFormat/>
    <w:uiPriority w:val="0"/>
    <w:rPr>
      <w:i/>
      <w:iCs/>
      <w:color w:val="808080"/>
    </w:rPr>
  </w:style>
  <w:style w:type="character" w:customStyle="1" w:styleId="63">
    <w:name w:val="标题4 Char Char"/>
    <w:link w:val="64"/>
    <w:qFormat/>
    <w:uiPriority w:val="0"/>
    <w:rPr>
      <w:rFonts w:ascii="Arial" w:hAnsi="Arial"/>
      <w:b/>
      <w:bCs/>
      <w:sz w:val="24"/>
      <w:szCs w:val="32"/>
    </w:rPr>
  </w:style>
  <w:style w:type="paragraph" w:customStyle="1" w:styleId="64">
    <w:name w:val="标题4"/>
    <w:basedOn w:val="4"/>
    <w:next w:val="19"/>
    <w:link w:val="63"/>
    <w:qFormat/>
    <w:uiPriority w:val="0"/>
    <w:rPr>
      <w:rFonts w:ascii="Arial" w:hAnsi="Arial" w:eastAsiaTheme="minorEastAsia" w:cstheme="minorBidi"/>
      <w:sz w:val="24"/>
    </w:rPr>
  </w:style>
  <w:style w:type="character" w:customStyle="1" w:styleId="65">
    <w:name w:val="标题5 Char Char"/>
    <w:link w:val="66"/>
    <w:qFormat/>
    <w:uiPriority w:val="0"/>
    <w:rPr>
      <w:rFonts w:ascii="Arial" w:hAnsi="Arial"/>
      <w:b/>
      <w:bCs/>
      <w:sz w:val="24"/>
      <w:szCs w:val="32"/>
    </w:rPr>
  </w:style>
  <w:style w:type="paragraph" w:customStyle="1" w:styleId="66">
    <w:name w:val="标题5"/>
    <w:basedOn w:val="5"/>
    <w:link w:val="65"/>
    <w:qFormat/>
    <w:uiPriority w:val="0"/>
    <w:pPr>
      <w:spacing w:line="413" w:lineRule="auto"/>
    </w:pPr>
    <w:rPr>
      <w:rFonts w:ascii="Arial" w:hAnsi="Arial" w:eastAsiaTheme="minorEastAsia" w:cstheme="minorBidi"/>
      <w:kern w:val="2"/>
      <w:sz w:val="24"/>
    </w:rPr>
  </w:style>
  <w:style w:type="character" w:customStyle="1" w:styleId="67">
    <w:name w:val="日期 Char"/>
    <w:link w:val="23"/>
    <w:qFormat/>
    <w:uiPriority w:val="0"/>
    <w:rPr>
      <w:rFonts w:ascii="宋体" w:hAnsi="Times New Roman"/>
      <w:sz w:val="28"/>
    </w:rPr>
  </w:style>
  <w:style w:type="character" w:customStyle="1" w:styleId="68">
    <w:name w:val="明显参考1"/>
    <w:qFormat/>
    <w:uiPriority w:val="0"/>
    <w:rPr>
      <w:b/>
      <w:bCs/>
      <w:smallCaps/>
      <w:color w:val="C0504D"/>
      <w:spacing w:val="5"/>
      <w:u w:val="single"/>
    </w:rPr>
  </w:style>
  <w:style w:type="character" w:customStyle="1" w:styleId="69">
    <w:name w:val="书籍标题1"/>
    <w:qFormat/>
    <w:uiPriority w:val="0"/>
    <w:rPr>
      <w:b/>
      <w:bCs/>
      <w:smallCaps/>
      <w:spacing w:val="5"/>
    </w:rPr>
  </w:style>
  <w:style w:type="character" w:customStyle="1" w:styleId="70">
    <w:name w:val="批注框文本 Char1"/>
    <w:qFormat/>
    <w:uiPriority w:val="0"/>
    <w:rPr>
      <w:kern w:val="2"/>
      <w:sz w:val="18"/>
      <w:szCs w:val="18"/>
    </w:rPr>
  </w:style>
  <w:style w:type="character" w:customStyle="1" w:styleId="71">
    <w:name w:val="引用 Char"/>
    <w:qFormat/>
    <w:uiPriority w:val="0"/>
    <w:rPr>
      <w:i/>
      <w:iCs/>
      <w:color w:val="000000"/>
    </w:rPr>
  </w:style>
  <w:style w:type="paragraph" w:styleId="72">
    <w:name w:val="Quote"/>
    <w:basedOn w:val="1"/>
    <w:next w:val="1"/>
    <w:link w:val="97"/>
    <w:qFormat/>
    <w:uiPriority w:val="0"/>
    <w:rPr>
      <w:rFonts w:asciiTheme="minorHAnsi" w:hAnsiTheme="minorHAnsi" w:eastAsiaTheme="minorEastAsia" w:cstheme="minorBidi"/>
      <w:i/>
      <w:iCs/>
      <w:color w:val="000000"/>
      <w:kern w:val="2"/>
      <w:sz w:val="21"/>
      <w:szCs w:val="22"/>
    </w:rPr>
  </w:style>
  <w:style w:type="character" w:customStyle="1" w:styleId="73">
    <w:name w:val="批注主题 Char1"/>
    <w:qFormat/>
    <w:uiPriority w:val="0"/>
    <w:rPr>
      <w:b/>
      <w:bCs/>
      <w:kern w:val="2"/>
      <w:sz w:val="21"/>
      <w:szCs w:val="22"/>
    </w:rPr>
  </w:style>
  <w:style w:type="character" w:customStyle="1" w:styleId="74">
    <w:name w:val="批注框文本 Char"/>
    <w:link w:val="24"/>
    <w:qFormat/>
    <w:uiPriority w:val="0"/>
    <w:rPr>
      <w:rFonts w:ascii="宋体" w:hAnsi="Times New Roman"/>
      <w:sz w:val="18"/>
      <w:szCs w:val="18"/>
    </w:rPr>
  </w:style>
  <w:style w:type="character" w:customStyle="1" w:styleId="75">
    <w:name w:val="批注主题 Char"/>
    <w:link w:val="12"/>
    <w:qFormat/>
    <w:uiPriority w:val="0"/>
    <w:rPr>
      <w:rFonts w:ascii="宋体" w:hAnsi="Times New Roman"/>
      <w:b/>
      <w:bCs/>
      <w:sz w:val="28"/>
    </w:rPr>
  </w:style>
  <w:style w:type="character" w:customStyle="1" w:styleId="76">
    <w:name w:val="日期 Char1"/>
    <w:qFormat/>
    <w:uiPriority w:val="0"/>
    <w:rPr>
      <w:kern w:val="2"/>
      <w:sz w:val="21"/>
      <w:szCs w:val="22"/>
    </w:rPr>
  </w:style>
  <w:style w:type="character" w:customStyle="1" w:styleId="77">
    <w:name w:val="明显强调1"/>
    <w:qFormat/>
    <w:uiPriority w:val="0"/>
    <w:rPr>
      <w:b/>
      <w:bCs/>
      <w:i/>
      <w:iCs/>
      <w:color w:val="4F81BD"/>
    </w:rPr>
  </w:style>
  <w:style w:type="character" w:customStyle="1" w:styleId="78">
    <w:name w:val="textcontents"/>
    <w:qFormat/>
    <w:uiPriority w:val="0"/>
    <w:rPr>
      <w:rFonts w:cs="Times New Roman"/>
    </w:rPr>
  </w:style>
  <w:style w:type="character" w:customStyle="1" w:styleId="79">
    <w:name w:val="不明显参考1"/>
    <w:qFormat/>
    <w:uiPriority w:val="0"/>
    <w:rPr>
      <w:smallCaps/>
      <w:color w:val="C0504D"/>
      <w:u w:val="single"/>
    </w:rPr>
  </w:style>
  <w:style w:type="character" w:customStyle="1" w:styleId="80">
    <w:name w:val="批注文字 Char Char"/>
    <w:qFormat/>
    <w:uiPriority w:val="0"/>
    <w:rPr>
      <w:rFonts w:ascii="宋体" w:hAnsi="Times New Roman" w:eastAsia="宋体" w:cs="Times New Roman"/>
      <w:sz w:val="28"/>
      <w:szCs w:val="20"/>
    </w:rPr>
  </w:style>
  <w:style w:type="character" w:customStyle="1" w:styleId="81">
    <w:name w:val="标题 Char"/>
    <w:link w:val="35"/>
    <w:qFormat/>
    <w:uiPriority w:val="0"/>
    <w:rPr>
      <w:rFonts w:ascii="Cambria" w:hAnsi="Cambria" w:cs="Times New Roman"/>
      <w:b/>
      <w:bCs/>
      <w:sz w:val="32"/>
      <w:szCs w:val="32"/>
    </w:rPr>
  </w:style>
  <w:style w:type="character" w:customStyle="1" w:styleId="82">
    <w:name w:val="批注文字 Char"/>
    <w:qFormat/>
    <w:uiPriority w:val="0"/>
    <w:rPr>
      <w:kern w:val="2"/>
      <w:sz w:val="21"/>
      <w:szCs w:val="22"/>
    </w:rPr>
  </w:style>
  <w:style w:type="character" w:customStyle="1" w:styleId="83">
    <w:name w:val="副标题 Char"/>
    <w:link w:val="29"/>
    <w:qFormat/>
    <w:uiPriority w:val="0"/>
    <w:rPr>
      <w:rFonts w:ascii="Cambria" w:hAnsi="Cambria" w:cs="Times New Roman"/>
      <w:b/>
      <w:bCs/>
      <w:kern w:val="28"/>
      <w:sz w:val="32"/>
      <w:szCs w:val="32"/>
    </w:rPr>
  </w:style>
  <w:style w:type="character" w:customStyle="1" w:styleId="84">
    <w:name w:val="文档结构图 Char1"/>
    <w:qFormat/>
    <w:uiPriority w:val="0"/>
    <w:rPr>
      <w:rFonts w:ascii="宋体"/>
      <w:kern w:val="2"/>
      <w:sz w:val="18"/>
      <w:szCs w:val="18"/>
    </w:rPr>
  </w:style>
  <w:style w:type="paragraph" w:customStyle="1" w:styleId="85">
    <w:name w:val="修订1"/>
    <w:qFormat/>
    <w:uiPriority w:val="0"/>
    <w:rPr>
      <w:rFonts w:ascii="Times New Roman" w:hAnsi="Times New Roman" w:eastAsia="宋体" w:cs="Times New Roman"/>
      <w:kern w:val="2"/>
      <w:sz w:val="21"/>
      <w:szCs w:val="24"/>
      <w:lang w:val="en-US" w:eastAsia="zh-CN" w:bidi="ar-SA"/>
    </w:rPr>
  </w:style>
  <w:style w:type="paragraph" w:customStyle="1" w:styleId="86">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kern w:val="0"/>
      <w:sz w:val="28"/>
      <w:szCs w:val="20"/>
    </w:rPr>
  </w:style>
  <w:style w:type="character" w:customStyle="1" w:styleId="87">
    <w:name w:val="批注框文本 Char2"/>
    <w:basedOn w:val="36"/>
    <w:link w:val="24"/>
    <w:semiHidden/>
    <w:qFormat/>
    <w:uiPriority w:val="99"/>
    <w:rPr>
      <w:rFonts w:ascii="宋体" w:hAnsi="Times New Roman" w:eastAsia="宋体" w:cs="Times New Roman"/>
      <w:kern w:val="0"/>
      <w:sz w:val="18"/>
      <w:szCs w:val="18"/>
    </w:rPr>
  </w:style>
  <w:style w:type="character" w:customStyle="1" w:styleId="88">
    <w:name w:val="批注文字 Char1"/>
    <w:basedOn w:val="36"/>
    <w:link w:val="13"/>
    <w:semiHidden/>
    <w:qFormat/>
    <w:uiPriority w:val="99"/>
    <w:rPr>
      <w:rFonts w:ascii="宋体" w:hAnsi="Times New Roman" w:eastAsia="宋体" w:cs="Times New Roman"/>
      <w:kern w:val="0"/>
      <w:sz w:val="34"/>
      <w:szCs w:val="20"/>
    </w:rPr>
  </w:style>
  <w:style w:type="character" w:customStyle="1" w:styleId="89">
    <w:name w:val="批注主题 Char2"/>
    <w:basedOn w:val="88"/>
    <w:link w:val="12"/>
    <w:semiHidden/>
    <w:qFormat/>
    <w:uiPriority w:val="99"/>
    <w:rPr>
      <w:b/>
      <w:bCs/>
    </w:rPr>
  </w:style>
  <w:style w:type="character" w:customStyle="1" w:styleId="90">
    <w:name w:val="日期 Char2"/>
    <w:basedOn w:val="36"/>
    <w:link w:val="23"/>
    <w:semiHidden/>
    <w:qFormat/>
    <w:uiPriority w:val="99"/>
    <w:rPr>
      <w:rFonts w:ascii="宋体" w:hAnsi="Times New Roman" w:eastAsia="宋体" w:cs="Times New Roman"/>
      <w:kern w:val="0"/>
      <w:sz w:val="34"/>
      <w:szCs w:val="20"/>
    </w:rPr>
  </w:style>
  <w:style w:type="character" w:customStyle="1" w:styleId="91">
    <w:name w:val="标题 Char1"/>
    <w:basedOn w:val="36"/>
    <w:link w:val="35"/>
    <w:qFormat/>
    <w:uiPriority w:val="10"/>
    <w:rPr>
      <w:rFonts w:eastAsia="宋体" w:asciiTheme="majorHAnsi" w:hAnsiTheme="majorHAnsi" w:cstheme="majorBidi"/>
      <w:b/>
      <w:bCs/>
      <w:kern w:val="0"/>
      <w:sz w:val="32"/>
      <w:szCs w:val="32"/>
    </w:rPr>
  </w:style>
  <w:style w:type="paragraph" w:customStyle="1" w:styleId="92">
    <w:name w:val="TOC 标题1"/>
    <w:basedOn w:val="3"/>
    <w:next w:val="1"/>
    <w:qFormat/>
    <w:uiPriority w:val="0"/>
    <w:pPr>
      <w:spacing w:before="340" w:after="330" w:line="576" w:lineRule="auto"/>
      <w:outlineLvl w:val="9"/>
    </w:pPr>
    <w:rPr>
      <w:rFonts w:ascii="Calibri" w:hAnsi="Calibri"/>
      <w:sz w:val="44"/>
    </w:rPr>
  </w:style>
  <w:style w:type="character" w:customStyle="1" w:styleId="93">
    <w:name w:val="副标题 Char1"/>
    <w:basedOn w:val="36"/>
    <w:link w:val="29"/>
    <w:qFormat/>
    <w:uiPriority w:val="11"/>
    <w:rPr>
      <w:rFonts w:eastAsia="宋体" w:asciiTheme="majorHAnsi" w:hAnsiTheme="majorHAnsi" w:cstheme="majorBidi"/>
      <w:b/>
      <w:bCs/>
      <w:kern w:val="28"/>
      <w:sz w:val="32"/>
      <w:szCs w:val="32"/>
    </w:rPr>
  </w:style>
  <w:style w:type="character" w:customStyle="1" w:styleId="94">
    <w:name w:val="明显引用 Char1"/>
    <w:basedOn w:val="36"/>
    <w:link w:val="61"/>
    <w:qFormat/>
    <w:uiPriority w:val="30"/>
    <w:rPr>
      <w:rFonts w:ascii="宋体" w:hAnsi="Times New Roman" w:eastAsia="宋体" w:cs="Times New Roman"/>
      <w:b/>
      <w:bCs/>
      <w:i/>
      <w:iCs/>
      <w:color w:val="4F81BD" w:themeColor="accent1"/>
      <w:kern w:val="0"/>
      <w:sz w:val="34"/>
      <w:szCs w:val="20"/>
    </w:rPr>
  </w:style>
  <w:style w:type="paragraph" w:customStyle="1" w:styleId="95">
    <w:name w:val="空半行"/>
    <w:basedOn w:val="1"/>
    <w:qFormat/>
    <w:uiPriority w:val="0"/>
    <w:pPr>
      <w:adjustRightInd w:val="0"/>
      <w:spacing w:line="120" w:lineRule="exact"/>
      <w:textAlignment w:val="baseline"/>
    </w:pPr>
    <w:rPr>
      <w:rFonts w:ascii="Times New Roman" w:eastAsia="仿宋_GB2312"/>
      <w:color w:val="FFFFFF"/>
      <w:sz w:val="30"/>
    </w:rPr>
  </w:style>
  <w:style w:type="paragraph" w:styleId="96">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97">
    <w:name w:val="引用 Char1"/>
    <w:basedOn w:val="36"/>
    <w:link w:val="72"/>
    <w:qFormat/>
    <w:uiPriority w:val="29"/>
    <w:rPr>
      <w:rFonts w:ascii="宋体" w:hAnsi="Times New Roman" w:eastAsia="宋体" w:cs="Times New Roman"/>
      <w:i/>
      <w:iCs/>
      <w:color w:val="000000" w:themeColor="text1"/>
      <w:kern w:val="0"/>
      <w:sz w:val="34"/>
      <w:szCs w:val="20"/>
    </w:rPr>
  </w:style>
  <w:style w:type="paragraph" w:customStyle="1" w:styleId="98">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99">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6.png"/><Relationship Id="rId21" Type="http://schemas.openxmlformats.org/officeDocument/2006/relationships/image" Target="media/image5.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162b266-c14e-4bef-83d7-84263ab7b2b1}"/>
        <w:style w:val=""/>
        <w:category>
          <w:name w:val="常规"/>
          <w:gallery w:val="placeholder"/>
        </w:category>
        <w:types>
          <w:type w:val="bbPlcHdr"/>
        </w:types>
        <w:behaviors>
          <w:behavior w:val="content"/>
        </w:behaviors>
        <w:description w:val=""/>
        <w:guid w:val="{f162b266-c14e-4bef-83d7-84263ab7b2b1}"/>
      </w:docPartPr>
      <w:docPartBody>
        <w:p>
          <w:r>
            <w:rPr>
              <w:color w:val="808080"/>
            </w:rPr>
            <w:t>单击此处输入文字。</w:t>
          </w:r>
        </w:p>
      </w:docPartBody>
    </w:docPart>
    <w:docPart>
      <w:docPartPr>
        <w:name w:val="{671cb806-7409-4d5c-bbc5-9920d54b2ab8}"/>
        <w:style w:val=""/>
        <w:category>
          <w:name w:val="常规"/>
          <w:gallery w:val="placeholder"/>
        </w:category>
        <w:types>
          <w:type w:val="bbPlcHdr"/>
        </w:types>
        <w:behaviors>
          <w:behavior w:val="content"/>
        </w:behaviors>
        <w:description w:val=""/>
        <w:guid w:val="{671cb806-7409-4d5c-bbc5-9920d54b2ab8}"/>
      </w:docPartPr>
      <w:docPartBody>
        <w:p>
          <w:r>
            <w:rPr>
              <w:color w:val="808080"/>
            </w:rPr>
            <w:t>单击此处输入文字。</w:t>
          </w:r>
        </w:p>
      </w:docPartBody>
    </w:docPart>
    <w:docPart>
      <w:docPartPr>
        <w:name w:val="{bbd80fd6-a7c8-45fa-b35b-9308bc976517}"/>
        <w:style w:val=""/>
        <w:category>
          <w:name w:val="常规"/>
          <w:gallery w:val="placeholder"/>
        </w:category>
        <w:types>
          <w:type w:val="bbPlcHdr"/>
        </w:types>
        <w:behaviors>
          <w:behavior w:val="content"/>
        </w:behaviors>
        <w:description w:val=""/>
        <w:guid w:val="{bbd80fd6-a7c8-45fa-b35b-9308bc976517}"/>
      </w:docPartPr>
      <w:docPartBody>
        <w:p>
          <w:r>
            <w:rPr>
              <w:color w:val="808080"/>
            </w:rPr>
            <w:t>单击此处输入文字。</w:t>
          </w:r>
        </w:p>
      </w:docPartBody>
    </w:docPart>
    <w:docPart>
      <w:docPartPr>
        <w:name w:val="{03b973ca-5e23-4dd3-805e-bd7da48f63b0}"/>
        <w:style w:val=""/>
        <w:category>
          <w:name w:val="常规"/>
          <w:gallery w:val="placeholder"/>
        </w:category>
        <w:types>
          <w:type w:val="bbPlcHdr"/>
        </w:types>
        <w:behaviors>
          <w:behavior w:val="content"/>
        </w:behaviors>
        <w:description w:val=""/>
        <w:guid w:val="{03b973ca-5e23-4dd3-805e-bd7da48f63b0}"/>
      </w:docPartPr>
      <w:docPartBody>
        <w:p>
          <w:r>
            <w:rPr>
              <w:color w:val="808080"/>
            </w:rPr>
            <w:t>单击此处输入文字。</w:t>
          </w:r>
        </w:p>
      </w:docPartBody>
    </w:docPart>
    <w:docPart>
      <w:docPartPr>
        <w:name w:val="{c08037ae-bf04-461f-b4a8-85eee07f49a2}"/>
        <w:style w:val=""/>
        <w:category>
          <w:name w:val="常规"/>
          <w:gallery w:val="placeholder"/>
        </w:category>
        <w:types>
          <w:type w:val="bbPlcHdr"/>
        </w:types>
        <w:behaviors>
          <w:behavior w:val="content"/>
        </w:behaviors>
        <w:description w:val=""/>
        <w:guid w:val="{c08037ae-bf04-461f-b4a8-85eee07f49a2}"/>
      </w:docPartPr>
      <w:docPartBody>
        <w:p>
          <w:r>
            <w:rPr>
              <w:color w:val="808080"/>
            </w:rPr>
            <w:t>单击此处输入文字。</w:t>
          </w:r>
        </w:p>
      </w:docPartBody>
    </w:docPart>
    <w:docPart>
      <w:docPartPr>
        <w:name w:val="{b088b5a4-32e7-4606-a0f6-24fa1cd9e140}"/>
        <w:style w:val=""/>
        <w:category>
          <w:name w:val="常规"/>
          <w:gallery w:val="placeholder"/>
        </w:category>
        <w:types>
          <w:type w:val="bbPlcHdr"/>
        </w:types>
        <w:behaviors>
          <w:behavior w:val="content"/>
        </w:behaviors>
        <w:description w:val=""/>
        <w:guid w:val="{b088b5a4-32e7-4606-a0f6-24fa1cd9e140}"/>
      </w:docPartPr>
      <w:docPartBody>
        <w:p>
          <w:r>
            <w:rPr>
              <w:color w:val="808080"/>
            </w:rPr>
            <w:t>单击此处输入文字。</w:t>
          </w:r>
        </w:p>
      </w:docPartBody>
    </w:docPart>
    <w:docPart>
      <w:docPartPr>
        <w:name w:val="{633a2ac4-34d7-4fe5-b579-819821d14349}"/>
        <w:style w:val=""/>
        <w:category>
          <w:name w:val="常规"/>
          <w:gallery w:val="placeholder"/>
        </w:category>
        <w:types>
          <w:type w:val="bbPlcHdr"/>
        </w:types>
        <w:behaviors>
          <w:behavior w:val="content"/>
        </w:behaviors>
        <w:description w:val=""/>
        <w:guid w:val="{633a2ac4-34d7-4fe5-b579-819821d14349}"/>
      </w:docPartPr>
      <w:docPartBody>
        <w:p>
          <w:r>
            <w:rPr>
              <w:color w:val="808080"/>
            </w:rPr>
            <w:t>单击此处输入文字。</w:t>
          </w:r>
        </w:p>
      </w:docPartBody>
    </w:docPart>
    <w:docPart>
      <w:docPartPr>
        <w:name w:val="{1a23412a-dc33-410d-940b-c5a9a980ebc4}"/>
        <w:style w:val=""/>
        <w:category>
          <w:name w:val="常规"/>
          <w:gallery w:val="placeholder"/>
        </w:category>
        <w:types>
          <w:type w:val="bbPlcHdr"/>
        </w:types>
        <w:behaviors>
          <w:behavior w:val="content"/>
        </w:behaviors>
        <w:description w:val=""/>
        <w:guid w:val="{1a23412a-dc33-410d-940b-c5a9a980ebc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8" textRotate="1"/>
    <customShpInfo spid="_x0000_s2059" textRotate="1"/>
    <customShpInfo spid="_x0000_s2060"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539D97-7C55-46D0-9683-AE9FBCC08766}">
  <ds:schemaRefs/>
</ds:datastoreItem>
</file>

<file path=docProps/app.xml><?xml version="1.0" encoding="utf-8"?>
<Properties xmlns="http://schemas.openxmlformats.org/officeDocument/2006/extended-properties" xmlns:vt="http://schemas.openxmlformats.org/officeDocument/2006/docPropsVTypes">
  <Template>Normal.dotm</Template>
  <Pages>67</Pages>
  <Words>5215</Words>
  <Characters>29728</Characters>
  <Lines>247</Lines>
  <Paragraphs>69</Paragraphs>
  <ScaleCrop>false</ScaleCrop>
  <LinksUpToDate>false</LinksUpToDate>
  <CharactersWithSpaces>34874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2017-11-27T01:49:00Z</dcterms:created>
  <dc:creator>Administrator</dc:creator>
  <cp:lastModifiedBy>jii</cp:lastModifiedBy>
  <dcterms:modified xsi:type="dcterms:W3CDTF">2017-12-08T01:49:59Z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