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outlineLvl w:val="0"/>
        <w:rPr>
          <w:rFonts w:hint="eastAsia" w:ascii="宋体" w:cs="宋体"/>
          <w:b/>
          <w:sz w:val="24"/>
          <w:lang w:val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许昌市财政国库支付中心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  <w:t>“办公设备”项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目货物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采购需求</w:t>
      </w:r>
    </w:p>
    <w:p>
      <w:pPr>
        <w:numPr>
          <w:numId w:val="0"/>
        </w:numPr>
        <w:spacing w:line="360" w:lineRule="auto"/>
        <w:contextualSpacing/>
        <w:outlineLvl w:val="0"/>
        <w:rPr>
          <w:rFonts w:hint="eastAsia" w:ascii="宋体" w:cs="宋体"/>
          <w:b/>
          <w:sz w:val="24"/>
          <w:lang w:val="zh-CN"/>
        </w:rPr>
      </w:pPr>
    </w:p>
    <w:p>
      <w:pPr>
        <w:numPr>
          <w:numId w:val="0"/>
        </w:numPr>
        <w:spacing w:line="360" w:lineRule="auto"/>
        <w:contextualSpacing/>
        <w:outlineLvl w:val="0"/>
        <w:rPr>
          <w:rFonts w:hint="eastAsia" w:ascii="宋体" w:cs="宋体"/>
          <w:b/>
          <w:sz w:val="24"/>
          <w:lang w:val="zh-CN"/>
        </w:rPr>
      </w:pPr>
      <w:bookmarkStart w:id="0" w:name="_GoBack"/>
      <w:bookmarkEnd w:id="0"/>
    </w:p>
    <w:p>
      <w:pPr>
        <w:numPr>
          <w:numId w:val="0"/>
        </w:numPr>
        <w:spacing w:line="360" w:lineRule="auto"/>
        <w:contextualSpacing/>
        <w:outlineLvl w:val="0"/>
        <w:rPr>
          <w:rFonts w:hint="eastAsia" w:ascii="宋体" w:cs="宋体"/>
          <w:b/>
          <w:sz w:val="24"/>
          <w:lang w:val="zh-CN"/>
        </w:rPr>
      </w:pPr>
      <w:r>
        <w:rPr>
          <w:rFonts w:hint="eastAsia" w:ascii="宋体" w:cs="宋体"/>
          <w:b/>
          <w:sz w:val="24"/>
          <w:lang w:val="zh-CN"/>
        </w:rPr>
        <w:t>一、投标条件：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（一）符合《中华人民共和国政府采购法》第二十二条的规定。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（二）本次招标不接受联合体投标。</w:t>
      </w:r>
    </w:p>
    <w:p>
      <w:pPr>
        <w:numPr>
          <w:numId w:val="0"/>
        </w:numPr>
        <w:spacing w:line="360" w:lineRule="auto"/>
        <w:contextualSpacing/>
        <w:outlineLvl w:val="0"/>
        <w:rPr>
          <w:rFonts w:hint="eastAsia" w:ascii="宋体" w:cs="宋体"/>
          <w:b/>
          <w:sz w:val="24"/>
          <w:lang w:val="zh-CN"/>
        </w:rPr>
      </w:pPr>
    </w:p>
    <w:p>
      <w:pPr>
        <w:spacing w:line="360" w:lineRule="auto"/>
        <w:ind w:firstLine="482" w:firstLineChars="200"/>
        <w:contextualSpacing/>
        <w:outlineLvl w:val="0"/>
        <w:rPr>
          <w:rFonts w:ascii="宋体" w:cs="宋体"/>
          <w:b/>
          <w:sz w:val="24"/>
          <w:lang w:val="zh-CN"/>
        </w:rPr>
      </w:pPr>
      <w:r>
        <w:rPr>
          <w:rFonts w:hint="eastAsia" w:ascii="宋体" w:cs="宋体"/>
          <w:b/>
          <w:sz w:val="24"/>
          <w:lang w:val="zh-CN"/>
        </w:rPr>
        <w:t>二、货物需求</w:t>
      </w:r>
    </w:p>
    <w:tbl>
      <w:tblPr>
        <w:tblStyle w:val="6"/>
        <w:tblW w:w="10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68"/>
        <w:gridCol w:w="5400"/>
        <w:gridCol w:w="756"/>
        <w:gridCol w:w="888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货物</w:t>
            </w:r>
            <w:r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主要技术参数</w:t>
            </w:r>
          </w:p>
        </w:tc>
        <w:tc>
          <w:tcPr>
            <w:tcW w:w="7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商用台式一体机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处理器：</w:t>
            </w:r>
            <w:r>
              <w:rPr>
                <w:rFonts w:hint="eastAsia" w:ascii="宋体" w:hAnsi="宋体" w:cs="宋体"/>
                <w:kern w:val="0"/>
                <w:sz w:val="24"/>
              </w:rPr>
              <w:t>Intel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双核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四线程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处理器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，主频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≥3.5 GHz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，缓存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≥3 MB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14纳米制程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内存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≥4G DDR4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≥2个内存插槽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硬盘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≥1T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主板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≥INTEL Q270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显示屏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≥21.5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英寸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IPS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宽屏，分辨率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 1,920 x 1,080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前置摄像头分辨率≥1280x720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支架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：可升降及旋转底座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显卡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：核芯显卡、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支持双屏显示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音频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集成声卡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双扬声器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双麦克风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扩展插槽：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M.2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个用于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WLAN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的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M.2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插槽和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个用于存储的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M.2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插槽）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端口和接口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个麦克风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耳机；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个多合一读卡器；USB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≥6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个（USB3.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0≥4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）；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RJ-45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；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个串口；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PS/2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；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个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DP或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HDMI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通信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：内置Intel 802.11 AC无线网卡+内置蓝牙+千兆网卡</w:t>
            </w:r>
          </w:p>
          <w:p>
            <w:pPr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ascii="宋体" w:hAnsi="宋体" w:cs="宋体"/>
                <w:color w:val="000000"/>
                <w:sz w:val="24"/>
                <w:lang w:val="en-GB"/>
              </w:rPr>
              <w:t>电源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lang w:val="en-GB"/>
              </w:rPr>
              <w:t>≥160 W</w:t>
            </w:r>
            <w:r>
              <w:rPr>
                <w:rFonts w:hint="eastAsia" w:ascii="宋体" w:hAnsi="宋体" w:cs="宋体"/>
                <w:color w:val="000000"/>
                <w:sz w:val="24"/>
                <w:lang w:val="en-GB"/>
              </w:rPr>
              <w:t>高效电源。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笔记本电脑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处理器：Intel酷睿i5处理器6代或以上，主频≥2.9GHz，缓存≥4M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内存：≥4GB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硬盘：≥1TB SATA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显卡：≥2GB独立显卡，支持双显卡切换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液晶屏：≥15.6英寸LED防眩光超薄型液晶显示屏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光驱：支持热插拔DVD刻录光驱或第二块电池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摄像头：720P高清摄像头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电池：≥41Wh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网卡：内置</w:t>
            </w:r>
            <w:r>
              <w:rPr>
                <w:rFonts w:hint="eastAsia" w:ascii="宋体" w:hAnsi="宋体" w:cs="宋体"/>
                <w:kern w:val="0"/>
                <w:sz w:val="24"/>
              </w:rPr>
              <w:t>千兆网卡及802.11 AC无线网卡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安全设备：标配指纹识别器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标准接口：≥4*USB接口（至少2个USB 3.0）、1个VGA，1个HDMI，1个RJ45，1个Combo audio，1个四合一读卡器。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激光打印机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幅面黑白激光打印机，标配内存：≥128M，首页打印时间：＜10秒，打印速度不低于30页/分钟（A4），打印分辨率：600×600dpi，可选自动双面打印组件，标配支持有线网络打印，月打印负荷50000页，标配进纸盒容量：250页，标配出纸盒容量：250页，耗材：一体化硒鼓，正常硒鼓寿命不低于10000页，随机硒鼓寿命不低于8000页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激光打印机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A4幅面黑白激光打印机，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标配内存：≥</w:t>
            </w:r>
            <w:r>
              <w:rPr>
                <w:rFonts w:hint="eastAsia" w:ascii="宋体" w:hAnsi="宋体" w:cs="宋体"/>
                <w:kern w:val="0"/>
                <w:sz w:val="24"/>
              </w:rPr>
              <w:t>512M，预热时间：＜16秒，定影方式：按需定影，打印速度不低于27页/分钟，打印分辨率：600×600dpi，标配支持自动双面打印、支持有线及无线网络打印，月打印负荷10000页，标配进纸盒容量：250页，标配出纸盒容量：100页，耗材：一体化硒鼓，正常硒鼓寿命不低于2200页，随机硒鼓寿命不低于1500页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激光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传真机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A4幅面黑白激光传真机，标配电话手柄，5行全中文液晶屏，标配内存：≥64M，</w:t>
            </w:r>
            <w:r>
              <w:rPr>
                <w:rFonts w:hint="eastAsia" w:ascii="宋体" w:hAnsi="宋体" w:cs="宋体"/>
                <w:kern w:val="0"/>
                <w:sz w:val="24"/>
              </w:rPr>
              <w:t>预热时间：＜15秒，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具有传真、复印、打印功能，定影方式：按需定影，调制解调器速度：33.6kbps，复印速度不低于12页/分钟，打印速度不低于18页/分钟，打印分辨率：600×600dpi，自动输稿器容量不少于30页，标配进纸盒容量不少于150页，耗材：一体化硒鼓，正常硒鼓寿命不低于2000页，随机硒鼓寿命不低于800页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碎纸机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碎纸能力：5张/次，碎纸速度：3米/分钟，碎纸效果：2×6mm，碎纸宽度：225mm。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投影机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显示系统：3LCD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面板尺寸：</w:t>
            </w:r>
            <w:r>
              <w:rPr>
                <w:rFonts w:ascii="宋体" w:hAnsi="宋体" w:cs="宋体"/>
                <w:kern w:val="0"/>
                <w:sz w:val="24"/>
              </w:rPr>
              <w:t>0.67英寸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分辨率：1920×1200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亮度：≥5200流明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对比度：≥10000:1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灯泡功率：300W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光源寿命：标准模式4000h，节能模式：6000小时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变焦比：1.7X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投射比：1.4-2.3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镜头调节类型：手动变焦/聚集/位移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镜头位移：垂直0-50%，水平±4.4%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扫描频率：水平31.5k-106kHz，垂直56-120MHz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输入端口：HDBaseT（RJ45插孔）×1，15针微型D-sub端子×1，HDMI（兼容HDCP）×2（HDMI1支持MHL输入），3.5毫米立体声端口×1，RCA×2（L/R），USB-A（用于选购的USB无线适配器），LAN(RJ45端子)×1，9针D-sub端子×1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输出端口：15针微型D-sub端子×1，HDMI（兼容HDCP）×1,3.5毫米立体声端口×1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电源：AC100V-120V,AC220V-240V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重量：不低于7KG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点：新一代无极配向膜液晶板设计，色温“自定义”调节，Accentualizer（图像分明处理器），WUXGA高清，HDCR引擎，图像优化，视频降噪功能，DICOM模式，画中画和双画面功能，及时堆叠功能，镜头位移，边缘融合，易维护边角校正功能。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21000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360" w:lineRule="auto"/>
        <w:ind w:firstLine="482" w:firstLineChars="200"/>
        <w:contextualSpacing/>
        <w:outlineLvl w:val="0"/>
        <w:rPr>
          <w:rFonts w:ascii="宋体" w:cs="宋体"/>
          <w:b/>
          <w:sz w:val="24"/>
          <w:lang w:val="zh-CN"/>
        </w:rPr>
      </w:pPr>
    </w:p>
    <w:p>
      <w:pPr>
        <w:spacing w:line="360" w:lineRule="auto"/>
        <w:ind w:firstLine="482" w:firstLineChars="200"/>
        <w:contextualSpacing/>
        <w:outlineLvl w:val="0"/>
        <w:rPr>
          <w:rFonts w:ascii="宋体" w:cs="宋体"/>
          <w:b/>
          <w:sz w:val="24"/>
          <w:lang w:val="zh-CN"/>
        </w:rPr>
      </w:pPr>
    </w:p>
    <w:p>
      <w:pPr>
        <w:spacing w:line="360" w:lineRule="auto"/>
        <w:ind w:firstLine="482" w:firstLineChars="200"/>
        <w:contextualSpacing/>
        <w:outlineLvl w:val="0"/>
        <w:rPr>
          <w:rFonts w:ascii="宋体" w:cs="宋体"/>
          <w:b/>
          <w:sz w:val="24"/>
          <w:lang w:val="zh-CN"/>
        </w:rPr>
      </w:pPr>
      <w:r>
        <w:rPr>
          <w:rFonts w:hint="eastAsia" w:ascii="宋体" w:cs="宋体"/>
          <w:b/>
          <w:sz w:val="24"/>
          <w:lang w:val="zh-CN"/>
        </w:rPr>
        <w:t>三、其它要求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1、投标人须明确投标产品的厂家、产地、品牌、型号、详细参数，</w:t>
      </w:r>
      <w:r>
        <w:rPr>
          <w:rFonts w:hint="eastAsia" w:ascii="宋体" w:cs="宋体"/>
          <w:b/>
          <w:sz w:val="24"/>
          <w:lang w:val="zh-CN"/>
        </w:rPr>
        <w:t>否则为无效投标。</w:t>
      </w:r>
    </w:p>
    <w:p>
      <w:pPr>
        <w:wordWrap w:val="0"/>
        <w:topLinePunct/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b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2、本招标文件所列需求为最低要求，投标产品不得低于最低要求，</w:t>
      </w:r>
      <w:r>
        <w:rPr>
          <w:rFonts w:hint="eastAsia" w:ascii="宋体" w:cs="宋体"/>
          <w:b/>
          <w:sz w:val="24"/>
          <w:lang w:val="zh-CN"/>
        </w:rPr>
        <w:t>否则为无效投标。</w:t>
      </w:r>
    </w:p>
    <w:p>
      <w:pPr>
        <w:wordWrap w:val="0"/>
        <w:topLinePunct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3、本项目的核心产品：序号1</w:t>
      </w:r>
      <w:r>
        <w:rPr>
          <w:rFonts w:hint="eastAsia" w:ascii="宋体" w:hAnsi="宋体" w:cs="宋体"/>
          <w:color w:val="000000"/>
          <w:sz w:val="24"/>
        </w:rPr>
        <w:t>商用台式一体机</w:t>
      </w:r>
      <w:r>
        <w:rPr>
          <w:rFonts w:hint="eastAsia" w:ascii="宋体" w:cs="宋体"/>
          <w:sz w:val="24"/>
          <w:lang w:val="zh-CN"/>
        </w:rPr>
        <w:t>、序号3</w:t>
      </w:r>
      <w:r>
        <w:rPr>
          <w:rFonts w:hint="eastAsia" w:ascii="宋体" w:hAnsi="宋体" w:cs="宋体"/>
          <w:color w:val="000000"/>
          <w:sz w:val="24"/>
        </w:rPr>
        <w:t>激光打印机</w:t>
      </w:r>
      <w:r>
        <w:rPr>
          <w:rFonts w:hint="eastAsia" w:ascii="宋体" w:cs="宋体"/>
          <w:sz w:val="24"/>
          <w:lang w:val="zh-CN"/>
        </w:rPr>
        <w:t>。</w:t>
      </w:r>
    </w:p>
    <w:p>
      <w:pPr>
        <w:wordWrap w:val="0"/>
        <w:topLinePunct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4、产品序号1、2、3、4、7</w:t>
      </w:r>
      <w:r>
        <w:rPr>
          <w:rFonts w:hint="eastAsia" w:ascii="宋体" w:cs="宋体"/>
          <w:sz w:val="24"/>
          <w:lang w:val="en-US" w:eastAsia="zh-CN"/>
        </w:rPr>
        <w:t>需提供生产厂家技术参数证明文件，加盖投标供应商公章。</w:t>
      </w:r>
    </w:p>
    <w:p>
      <w:pPr>
        <w:wordWrap w:val="0"/>
        <w:topLinePunct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default" w:ascii="宋体" w:cs="宋体"/>
          <w:sz w:val="24"/>
          <w:lang w:val="en-US"/>
        </w:rPr>
        <w:t>5</w:t>
      </w:r>
      <w:r>
        <w:rPr>
          <w:rFonts w:hint="eastAsia" w:ascii="宋体" w:cs="宋体"/>
          <w:sz w:val="24"/>
          <w:lang w:val="en-US" w:eastAsia="zh-CN"/>
        </w:rPr>
        <w:t>、供货期：7天。</w:t>
      </w:r>
    </w:p>
    <w:p>
      <w:pPr>
        <w:wordWrap w:val="0"/>
        <w:topLinePunct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6、付款方式：验收合格后，全额付款。</w:t>
      </w:r>
    </w:p>
    <w:p>
      <w:pPr>
        <w:rPr>
          <w:rFonts w:ascii="宋体" w:hAnsi="宋体"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9F3"/>
    <w:rsid w:val="0004193D"/>
    <w:rsid w:val="00054894"/>
    <w:rsid w:val="000652A3"/>
    <w:rsid w:val="00094990"/>
    <w:rsid w:val="001019D9"/>
    <w:rsid w:val="001225A9"/>
    <w:rsid w:val="00153A48"/>
    <w:rsid w:val="001743AC"/>
    <w:rsid w:val="00196D80"/>
    <w:rsid w:val="001D13D2"/>
    <w:rsid w:val="001D2145"/>
    <w:rsid w:val="001F2083"/>
    <w:rsid w:val="002510A1"/>
    <w:rsid w:val="002C1692"/>
    <w:rsid w:val="002C31F7"/>
    <w:rsid w:val="003458C6"/>
    <w:rsid w:val="00351D53"/>
    <w:rsid w:val="00376D48"/>
    <w:rsid w:val="003E19F3"/>
    <w:rsid w:val="00436B98"/>
    <w:rsid w:val="004574D9"/>
    <w:rsid w:val="00464127"/>
    <w:rsid w:val="00482C58"/>
    <w:rsid w:val="004F5AA1"/>
    <w:rsid w:val="005C75C5"/>
    <w:rsid w:val="006101ED"/>
    <w:rsid w:val="006323CA"/>
    <w:rsid w:val="00694B5E"/>
    <w:rsid w:val="006B2DF8"/>
    <w:rsid w:val="006C1F69"/>
    <w:rsid w:val="007575DD"/>
    <w:rsid w:val="00811F05"/>
    <w:rsid w:val="0082130A"/>
    <w:rsid w:val="00836596"/>
    <w:rsid w:val="00866966"/>
    <w:rsid w:val="00884C3F"/>
    <w:rsid w:val="008D277C"/>
    <w:rsid w:val="0095738B"/>
    <w:rsid w:val="009B040B"/>
    <w:rsid w:val="009B3F7C"/>
    <w:rsid w:val="00AA0427"/>
    <w:rsid w:val="00AC2862"/>
    <w:rsid w:val="00AD3C59"/>
    <w:rsid w:val="00B07AF0"/>
    <w:rsid w:val="00B948BE"/>
    <w:rsid w:val="00BD3690"/>
    <w:rsid w:val="00BE18D0"/>
    <w:rsid w:val="00C2070B"/>
    <w:rsid w:val="00C2241D"/>
    <w:rsid w:val="00CD5572"/>
    <w:rsid w:val="00D13F63"/>
    <w:rsid w:val="00D66481"/>
    <w:rsid w:val="00D71A4D"/>
    <w:rsid w:val="00D7561D"/>
    <w:rsid w:val="00D92A26"/>
    <w:rsid w:val="00DC50DD"/>
    <w:rsid w:val="00E51FE2"/>
    <w:rsid w:val="00EA1471"/>
    <w:rsid w:val="00EA76B0"/>
    <w:rsid w:val="00EC2147"/>
    <w:rsid w:val="00F004F3"/>
    <w:rsid w:val="00F773B9"/>
    <w:rsid w:val="02AD730A"/>
    <w:rsid w:val="1D4C21DC"/>
    <w:rsid w:val="1DCE7E2B"/>
    <w:rsid w:val="1FDA7C7C"/>
    <w:rsid w:val="2C2F7A15"/>
    <w:rsid w:val="33886C45"/>
    <w:rsid w:val="44F009B5"/>
    <w:rsid w:val="5095467E"/>
    <w:rsid w:val="57B618F3"/>
    <w:rsid w:val="6E3B2336"/>
    <w:rsid w:val="775D1EE7"/>
    <w:rsid w:val="7A1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299</Words>
  <Characters>1709</Characters>
  <Lines>14</Lines>
  <Paragraphs>4</Paragraphs>
  <ScaleCrop>false</ScaleCrop>
  <LinksUpToDate>false</LinksUpToDate>
  <CharactersWithSpaces>2004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2017-11-06T03:06:00Z</dcterms:created>
  <dc:creator>Administrator</dc:creator>
  <cp:lastModifiedBy>许昌市公共资源交易中心:杨丹丹</cp:lastModifiedBy>
  <cp:lastPrinted>2017-11-07T01:09:00Z</cp:lastPrinted>
  <dcterms:modified xsi:type="dcterms:W3CDTF">2017-11-07T09:29:02Z</dcterms:modified>
  <dc:title>许昌市图书馆安防监控系统升级改造项目需求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