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全国新增千亿斤粮食生产能力规划鄢陵县2017年田间工程建设项目</w:t>
      </w:r>
      <w:r>
        <w:rPr>
          <w:rFonts w:hint="eastAsia" w:hAnsi="宋体"/>
          <w:b/>
          <w:sz w:val="36"/>
          <w:szCs w:val="36"/>
          <w:lang w:eastAsia="zh-CN"/>
        </w:rPr>
        <w:t>变更公告</w:t>
      </w:r>
    </w:p>
    <w:p>
      <w:pPr>
        <w:ind w:firstLine="680" w:firstLineChars="200"/>
        <w:rPr>
          <w:rFonts w:hint="eastAsia" w:eastAsiaTheme="minorEastAsia"/>
          <w:lang w:val="en-US" w:eastAsia="zh-CN"/>
        </w:rPr>
      </w:pPr>
    </w:p>
    <w:p>
      <w:pPr>
        <w:ind w:firstLine="680" w:firstLine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变更内容：</w:t>
      </w:r>
    </w:p>
    <w:p>
      <w:pPr>
        <w:ind w:firstLine="680" w:firstLine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原：公告和招标文件投标人资格要求：第19标：投标人须具备独立法人资格，具备</w:t>
      </w:r>
      <w:bookmarkStart w:id="0" w:name="_GoBack"/>
      <w:bookmarkEnd w:id="0"/>
      <w:r>
        <w:rPr>
          <w:rFonts w:hint="eastAsia" w:eastAsiaTheme="minorEastAsia"/>
          <w:lang w:val="en-US" w:eastAsia="zh-CN"/>
        </w:rPr>
        <w:t>水利工程施工监理乙级及上资质，拟任总监理工程师应具有相应工程专业注册监理工程师资格。</w:t>
      </w:r>
    </w:p>
    <w:p>
      <w:pPr>
        <w:ind w:firstLine="680" w:firstLine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现：变更为：第19标：投标人须具备独立法人资格，具备市政公用工程或水利工程施工监理乙级及上资质，拟任总监理工程师应具有相应工程专业注册监理工程师资格。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鄢陵县发展和改革委员会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F5DB9"/>
    <w:rsid w:val="755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/>
      <w:sz w:val="3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2017-11-28T06:40:00Z</dcterms:created>
  <dc:creator>Administrator</dc:creator>
  <cp:lastModifiedBy>Administrator</cp:lastModifiedBy>
  <cp:lastPrinted>2017-11-28T06:50:14Z</cp:lastPrinted>
  <dcterms:modified xsi:type="dcterms:W3CDTF">2017-11-28T06:50:57Z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