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i w:val="0"/>
          <w:caps w:val="0"/>
          <w:color w:val="000000"/>
          <w:spacing w:val="0"/>
          <w:sz w:val="36"/>
          <w:szCs w:val="36"/>
          <w:u w:val="none"/>
          <w:shd w:val="clear" w:fill="FFFFFF"/>
          <w:lang w:eastAsia="zh-CN"/>
        </w:rPr>
      </w:pPr>
      <w:r>
        <w:rPr>
          <w:rFonts w:hint="eastAsia" w:ascii="宋体" w:hAnsi="宋体" w:eastAsia="宋体" w:cs="宋体"/>
          <w:b/>
          <w:i w:val="0"/>
          <w:caps w:val="0"/>
          <w:color w:val="000000"/>
          <w:spacing w:val="0"/>
          <w:sz w:val="36"/>
          <w:szCs w:val="36"/>
          <w:u w:val="none"/>
          <w:shd w:val="clear" w:fill="FFFFFF"/>
        </w:rPr>
        <w:t>许昌市</w:t>
      </w:r>
      <w:r>
        <w:rPr>
          <w:rFonts w:hint="eastAsia" w:ascii="宋体" w:hAnsi="宋体" w:eastAsia="宋体" w:cs="宋体"/>
          <w:b/>
          <w:i w:val="0"/>
          <w:caps w:val="0"/>
          <w:color w:val="000000"/>
          <w:spacing w:val="0"/>
          <w:sz w:val="36"/>
          <w:szCs w:val="36"/>
          <w:u w:val="none"/>
          <w:shd w:val="clear" w:fill="FFFFFF"/>
          <w:lang w:eastAsia="zh-CN"/>
        </w:rPr>
        <w:t>文化广电新闻出版局</w:t>
      </w:r>
      <w:r>
        <w:rPr>
          <w:rFonts w:hint="eastAsia" w:ascii="宋体" w:hAnsi="宋体" w:eastAsia="宋体" w:cs="宋体"/>
          <w:b/>
          <w:i w:val="0"/>
          <w:caps w:val="0"/>
          <w:color w:val="000000"/>
          <w:spacing w:val="0"/>
          <w:sz w:val="36"/>
          <w:szCs w:val="36"/>
          <w:u w:val="none"/>
          <w:shd w:val="clear" w:fill="FFFFFF"/>
        </w:rPr>
        <w:t>“</w:t>
      </w:r>
      <w:r>
        <w:rPr>
          <w:rFonts w:hint="eastAsia" w:ascii="宋体" w:hAnsi="宋体" w:eastAsia="宋体" w:cs="宋体"/>
          <w:b/>
          <w:i w:val="0"/>
          <w:caps w:val="0"/>
          <w:color w:val="000000"/>
          <w:spacing w:val="0"/>
          <w:sz w:val="36"/>
          <w:szCs w:val="36"/>
          <w:u w:val="none"/>
          <w:shd w:val="clear" w:fill="FFFFFF"/>
          <w:lang w:val="zh-CN" w:eastAsia="zh-CN"/>
        </w:rPr>
        <w:t>灵井‘许昌人’考古遗址公园规划编制</w:t>
      </w:r>
      <w:r>
        <w:rPr>
          <w:rFonts w:hint="eastAsia" w:ascii="宋体" w:hAnsi="宋体" w:eastAsia="宋体" w:cs="宋体"/>
          <w:b/>
          <w:i w:val="0"/>
          <w:caps w:val="0"/>
          <w:color w:val="000000"/>
          <w:spacing w:val="0"/>
          <w:sz w:val="36"/>
          <w:szCs w:val="36"/>
          <w:u w:val="none"/>
          <w:shd w:val="clear" w:fill="FFFFFF"/>
        </w:rPr>
        <w:t>”</w:t>
      </w:r>
      <w:r>
        <w:rPr>
          <w:rFonts w:hint="eastAsia" w:ascii="宋体" w:hAnsi="宋体" w:eastAsia="宋体" w:cs="宋体"/>
          <w:b/>
          <w:i w:val="0"/>
          <w:caps w:val="0"/>
          <w:color w:val="000000"/>
          <w:spacing w:val="0"/>
          <w:sz w:val="36"/>
          <w:szCs w:val="36"/>
          <w:u w:val="none"/>
          <w:shd w:val="clear" w:fill="FFFFFF"/>
          <w:lang w:val="en-US" w:eastAsia="zh-CN"/>
        </w:rPr>
        <w:t>采购项目采购需求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5"/>
        <w:jc w:val="both"/>
        <w:textAlignment w:val="auto"/>
        <w:rPr>
          <w:rFonts w:hint="default" w:ascii="Times New Roman" w:hAnsi="Times New Roman" w:eastAsia="仿宋_GB2312" w:cs="Times New Roman"/>
          <w:b w:val="0"/>
          <w:i w:val="0"/>
          <w:color w:val="000000"/>
          <w:kern w:val="0"/>
          <w:sz w:val="32"/>
          <w:szCs w:val="32"/>
          <w:u w:val="none"/>
          <w:shd w:val="clear" w:fill="FFFFFF"/>
          <w:lang w:val="en-US" w:eastAsia="zh-CN" w:bidi="ar"/>
        </w:rPr>
      </w:pPr>
      <w:r>
        <w:rPr>
          <w:rFonts w:hint="default" w:ascii="Times New Roman" w:hAnsi="Times New Roman" w:eastAsia="仿宋_GB2312" w:cs="Times New Roman"/>
          <w:b w:val="0"/>
          <w:i w:val="0"/>
          <w:color w:val="000000"/>
          <w:kern w:val="0"/>
          <w:sz w:val="32"/>
          <w:szCs w:val="32"/>
          <w:u w:val="none"/>
          <w:shd w:val="clear" w:fill="FFFFFF"/>
          <w:lang w:val="en-US" w:eastAsia="zh-CN" w:bidi="ar"/>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5"/>
        <w:jc w:val="both"/>
        <w:textAlignment w:val="auto"/>
        <w:rPr>
          <w:color w:val="auto"/>
        </w:rPr>
      </w:pPr>
      <w:r>
        <w:rPr>
          <w:rFonts w:hint="eastAsia" w:ascii="黑体" w:hAnsi="宋体" w:eastAsia="黑体" w:cs="黑体"/>
          <w:color w:val="auto"/>
          <w:kern w:val="2"/>
          <w:sz w:val="24"/>
          <w:szCs w:val="24"/>
          <w:u w:val="none"/>
          <w:shd w:val="clear" w:fill="FFFFFF"/>
          <w:lang w:val="zh-CN"/>
        </w:rPr>
        <w:t>一、项目概况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color w:val="auto"/>
        </w:rPr>
      </w:pPr>
      <w:r>
        <w:rPr>
          <w:rFonts w:ascii="微软雅黑" w:hAnsi="微软雅黑" w:eastAsia="微软雅黑" w:cs="微软雅黑"/>
          <w:color w:val="auto"/>
          <w:sz w:val="32"/>
          <w:szCs w:val="32"/>
          <w:u w:val="none"/>
          <w:shd w:val="clear" w:fill="FFFFFF"/>
          <w:lang w:val="en-US"/>
        </w:rPr>
        <w:t xml:space="preserve">     </w:t>
      </w:r>
      <w:r>
        <w:rPr>
          <w:rFonts w:ascii="楷体" w:hAnsi="楷体" w:eastAsia="楷体" w:cs="楷体"/>
          <w:color w:val="auto"/>
          <w:sz w:val="28"/>
          <w:szCs w:val="28"/>
          <w:u w:val="none"/>
          <w:shd w:val="clear" w:fill="FFFFFF"/>
          <w:lang w:val="zh-CN"/>
        </w:rPr>
        <w:t>（一）项目名称：</w:t>
      </w:r>
      <w:r>
        <w:rPr>
          <w:rFonts w:hint="eastAsia" w:ascii="楷体" w:hAnsi="楷体" w:eastAsia="楷体" w:cs="宋体"/>
          <w:b w:val="0"/>
          <w:i w:val="0"/>
          <w:color w:val="auto"/>
          <w:kern w:val="0"/>
          <w:sz w:val="28"/>
          <w:szCs w:val="28"/>
          <w:u w:val="none"/>
          <w:shd w:val="clear" w:fill="FFFFFF"/>
          <w:lang w:val="zh-CN" w:eastAsia="zh-CN" w:bidi="ar"/>
        </w:rPr>
        <w:t>灵井“许昌人”考古遗址公</w:t>
      </w:r>
      <w:bookmarkStart w:id="0" w:name="_GoBack"/>
      <w:bookmarkEnd w:id="0"/>
      <w:r>
        <w:rPr>
          <w:rFonts w:hint="eastAsia" w:ascii="楷体" w:hAnsi="楷体" w:eastAsia="楷体" w:cs="宋体"/>
          <w:b w:val="0"/>
          <w:i w:val="0"/>
          <w:color w:val="auto"/>
          <w:kern w:val="0"/>
          <w:sz w:val="28"/>
          <w:szCs w:val="28"/>
          <w:u w:val="none"/>
          <w:shd w:val="clear" w:fill="FFFFFF"/>
          <w:lang w:val="zh-CN" w:eastAsia="zh-CN" w:bidi="ar"/>
        </w:rPr>
        <w:t>园规划编制项目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rPr>
          <w:b w:val="0"/>
          <w:i w:val="0"/>
          <w:color w:val="auto"/>
        </w:rPr>
      </w:pPr>
      <w:r>
        <w:rPr>
          <w:rFonts w:hint="eastAsia" w:ascii="楷体" w:hAnsi="楷体" w:eastAsia="楷体" w:cs="宋体"/>
          <w:b w:val="0"/>
          <w:i w:val="0"/>
          <w:color w:val="auto"/>
          <w:kern w:val="0"/>
          <w:sz w:val="28"/>
          <w:szCs w:val="28"/>
          <w:u w:val="none"/>
          <w:shd w:val="clear" w:fill="FFFFFF"/>
          <w:lang w:val="zh-CN" w:eastAsia="zh-CN" w:bidi="ar"/>
        </w:rPr>
        <w:t>（</w:t>
      </w:r>
      <w:r>
        <w:rPr>
          <w:rFonts w:hint="eastAsia" w:ascii="楷体" w:hAnsi="楷体" w:eastAsia="楷体" w:cs="宋体"/>
          <w:b w:val="0"/>
          <w:i w:val="0"/>
          <w:color w:val="auto"/>
          <w:kern w:val="0"/>
          <w:sz w:val="28"/>
          <w:szCs w:val="28"/>
          <w:u w:val="none"/>
          <w:shd w:val="clear" w:fill="FFFFFF"/>
          <w:lang w:val="en-US" w:eastAsia="zh-CN" w:bidi="ar"/>
        </w:rPr>
        <w:t>二</w:t>
      </w:r>
      <w:r>
        <w:rPr>
          <w:rFonts w:hint="eastAsia" w:ascii="楷体" w:hAnsi="楷体" w:eastAsia="楷体" w:cs="宋体"/>
          <w:b w:val="0"/>
          <w:i w:val="0"/>
          <w:color w:val="auto"/>
          <w:kern w:val="0"/>
          <w:sz w:val="28"/>
          <w:szCs w:val="28"/>
          <w:u w:val="none"/>
          <w:shd w:val="clear" w:fill="FFFFFF"/>
          <w:lang w:val="zh-CN" w:eastAsia="zh-CN" w:bidi="ar"/>
        </w:rPr>
        <w:t>）项目需求：灵井“许昌人”考古遗址公园规划编制项目（规划面积约</w:t>
      </w:r>
      <w:r>
        <w:rPr>
          <w:rFonts w:hint="eastAsia" w:ascii="楷体" w:hAnsi="楷体" w:eastAsia="楷体" w:cs="宋体"/>
          <w:b w:val="0"/>
          <w:i w:val="0"/>
          <w:color w:val="auto"/>
          <w:kern w:val="0"/>
          <w:sz w:val="28"/>
          <w:szCs w:val="28"/>
          <w:u w:val="none"/>
          <w:shd w:val="clear" w:fill="FFFFFF"/>
          <w:lang w:val="en-US" w:eastAsia="zh-CN" w:bidi="ar"/>
        </w:rPr>
        <w:t>220公顷</w:t>
      </w:r>
      <w:r>
        <w:rPr>
          <w:rFonts w:hint="eastAsia" w:ascii="楷体" w:hAnsi="楷体" w:eastAsia="楷体" w:cs="宋体"/>
          <w:b w:val="0"/>
          <w:i w:val="0"/>
          <w:color w:val="auto"/>
          <w:kern w:val="0"/>
          <w:sz w:val="28"/>
          <w:szCs w:val="28"/>
          <w:u w:val="none"/>
          <w:shd w:val="clear" w:fill="FFFFFF"/>
          <w:lang w:val="zh-CN" w:eastAsia="zh-CN" w:bidi="ar"/>
        </w:rPr>
        <w:t xml:space="preserve">）、遗址规划区及周围建设控制地带区域地形图测绘项目。 </w:t>
      </w:r>
      <w:r>
        <w:rPr>
          <w:rFonts w:hint="eastAsia" w:ascii="楷体" w:hAnsi="楷体" w:eastAsia="楷体" w:cs="宋体"/>
          <w:b w:val="0"/>
          <w:i w:val="0"/>
          <w:color w:val="auto"/>
          <w:kern w:val="0"/>
          <w:sz w:val="28"/>
          <w:szCs w:val="28"/>
          <w:u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rPr>
          <w:b w:val="0"/>
          <w:i w:val="0"/>
          <w:color w:val="auto"/>
        </w:rPr>
      </w:pPr>
      <w:r>
        <w:rPr>
          <w:rFonts w:hint="eastAsia" w:ascii="楷体" w:hAnsi="楷体" w:eastAsia="楷体" w:cs="宋体"/>
          <w:b w:val="0"/>
          <w:i w:val="0"/>
          <w:color w:val="auto"/>
          <w:kern w:val="0"/>
          <w:sz w:val="28"/>
          <w:szCs w:val="28"/>
          <w:u w:val="none"/>
          <w:shd w:val="clear" w:fill="FFFFFF"/>
          <w:lang w:val="zh-CN" w:eastAsia="zh-CN" w:bidi="ar"/>
        </w:rPr>
        <w:t>（</w:t>
      </w:r>
      <w:r>
        <w:rPr>
          <w:rFonts w:hint="eastAsia" w:ascii="楷体" w:hAnsi="楷体" w:eastAsia="楷体" w:cs="宋体"/>
          <w:b w:val="0"/>
          <w:i w:val="0"/>
          <w:color w:val="auto"/>
          <w:kern w:val="0"/>
          <w:sz w:val="28"/>
          <w:szCs w:val="28"/>
          <w:u w:val="none"/>
          <w:shd w:val="clear" w:fill="FFFFFF"/>
          <w:lang w:val="en-US" w:eastAsia="zh-CN" w:bidi="ar"/>
        </w:rPr>
        <w:t>三</w:t>
      </w:r>
      <w:r>
        <w:rPr>
          <w:rFonts w:hint="eastAsia" w:ascii="楷体" w:hAnsi="楷体" w:eastAsia="楷体" w:cs="宋体"/>
          <w:b w:val="0"/>
          <w:i w:val="0"/>
          <w:color w:val="auto"/>
          <w:kern w:val="0"/>
          <w:sz w:val="28"/>
          <w:szCs w:val="28"/>
          <w:u w:val="none"/>
          <w:shd w:val="clear" w:fill="FFFFFF"/>
          <w:lang w:val="zh-CN" w:eastAsia="zh-CN" w:bidi="ar"/>
        </w:rPr>
        <w:t>）采购预算：</w:t>
      </w:r>
      <w:r>
        <w:rPr>
          <w:rFonts w:hint="eastAsia" w:ascii="楷体" w:hAnsi="楷体" w:eastAsia="楷体" w:cs="宋体"/>
          <w:b w:val="0"/>
          <w:i w:val="0"/>
          <w:color w:val="auto"/>
          <w:kern w:val="0"/>
          <w:sz w:val="28"/>
          <w:szCs w:val="28"/>
          <w:u w:val="none"/>
          <w:shd w:val="clear" w:fill="FFFFFF"/>
          <w:lang w:val="en-US" w:eastAsia="zh-CN" w:bidi="ar"/>
        </w:rPr>
        <w:t>1801718.00元</w:t>
      </w:r>
      <w:r>
        <w:rPr>
          <w:rFonts w:hint="eastAsia" w:ascii="楷体" w:hAnsi="楷体" w:eastAsia="楷体" w:cs="宋体"/>
          <w:b w:val="0"/>
          <w:i w:val="0"/>
          <w:color w:val="auto"/>
          <w:kern w:val="0"/>
          <w:sz w:val="28"/>
          <w:szCs w:val="28"/>
          <w:u w:val="none"/>
          <w:shd w:val="clear" w:fill="FFFFFF"/>
          <w:lang w:val="zh-CN"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rPr>
          <w:b w:val="0"/>
          <w:i w:val="0"/>
          <w:color w:val="auto"/>
        </w:rPr>
      </w:pPr>
      <w:r>
        <w:rPr>
          <w:rFonts w:hint="eastAsia" w:ascii="楷体" w:hAnsi="楷体" w:eastAsia="楷体" w:cs="宋体"/>
          <w:b w:val="0"/>
          <w:i w:val="0"/>
          <w:color w:val="auto"/>
          <w:kern w:val="0"/>
          <w:sz w:val="28"/>
          <w:szCs w:val="28"/>
          <w:u w:val="none"/>
          <w:shd w:val="clear" w:fill="FFFFFF"/>
          <w:lang w:val="zh-CN" w:eastAsia="zh-CN" w:bidi="ar"/>
        </w:rPr>
        <w:t>（</w:t>
      </w:r>
      <w:r>
        <w:rPr>
          <w:rFonts w:hint="eastAsia" w:ascii="楷体" w:hAnsi="楷体" w:eastAsia="楷体" w:cs="宋体"/>
          <w:b w:val="0"/>
          <w:i w:val="0"/>
          <w:color w:val="auto"/>
          <w:kern w:val="0"/>
          <w:sz w:val="28"/>
          <w:szCs w:val="28"/>
          <w:u w:val="none"/>
          <w:shd w:val="clear" w:fill="FFFFFF"/>
          <w:lang w:val="en-US" w:eastAsia="zh-CN" w:bidi="ar"/>
        </w:rPr>
        <w:t>四</w:t>
      </w:r>
      <w:r>
        <w:rPr>
          <w:rFonts w:hint="eastAsia" w:ascii="楷体" w:hAnsi="楷体" w:eastAsia="楷体" w:cs="宋体"/>
          <w:b w:val="0"/>
          <w:i w:val="0"/>
          <w:color w:val="auto"/>
          <w:kern w:val="0"/>
          <w:sz w:val="28"/>
          <w:szCs w:val="28"/>
          <w:u w:val="none"/>
          <w:shd w:val="clear" w:fill="FFFFFF"/>
          <w:lang w:val="zh-CN" w:eastAsia="zh-CN" w:bidi="ar"/>
        </w:rPr>
        <w:t>）招标方式：公开招标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5" w:leftChars="0" w:right="0" w:rightChars="0" w:firstLine="638" w:firstLineChars="266"/>
        <w:jc w:val="both"/>
        <w:textAlignment w:val="auto"/>
        <w:rPr>
          <w:rFonts w:hint="eastAsia" w:ascii="宋体" w:hAnsi="宋体" w:eastAsia="宋体" w:cs="宋体"/>
          <w:b/>
          <w:i w:val="0"/>
          <w:color w:val="auto"/>
          <w:sz w:val="24"/>
          <w:szCs w:val="24"/>
          <w:u w:val="none"/>
          <w:shd w:val="clear" w:fill="FFFFFF"/>
        </w:rPr>
      </w:pPr>
      <w:r>
        <w:rPr>
          <w:rFonts w:hint="eastAsia" w:ascii="黑体" w:hAnsi="宋体" w:eastAsia="黑体" w:cs="黑体"/>
          <w:b w:val="0"/>
          <w:i w:val="0"/>
          <w:color w:val="auto"/>
          <w:kern w:val="0"/>
          <w:sz w:val="24"/>
          <w:szCs w:val="24"/>
          <w:u w:val="none"/>
          <w:shd w:val="clear" w:fill="FFFFFF"/>
          <w:lang w:val="zh-CN" w:eastAsia="zh-CN" w:bidi="ar"/>
        </w:rPr>
        <w:t>二、</w:t>
      </w:r>
      <w:r>
        <w:rPr>
          <w:rFonts w:hint="eastAsia" w:ascii="黑体" w:hAnsi="宋体" w:eastAsia="黑体" w:cs="宋体"/>
          <w:b w:val="0"/>
          <w:i w:val="0"/>
          <w:color w:val="auto"/>
          <w:kern w:val="0"/>
          <w:sz w:val="24"/>
          <w:szCs w:val="24"/>
          <w:u w:val="none"/>
          <w:shd w:val="clear" w:fill="FFFFFF"/>
          <w:lang w:val="zh-CN" w:eastAsia="zh-CN" w:bidi="ar"/>
        </w:rPr>
        <w:t>供应商资格要求</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5"/>
        <w:jc w:val="both"/>
        <w:textAlignment w:val="auto"/>
        <w:rPr>
          <w:rFonts w:hint="eastAsia" w:ascii="宋体" w:hAnsi="宋体" w:eastAsia="宋体" w:cs="宋体"/>
          <w:b/>
          <w:i w:val="0"/>
          <w:color w:val="auto"/>
          <w:sz w:val="24"/>
          <w:szCs w:val="24"/>
          <w:u w:val="none"/>
          <w:shd w:val="clear" w:fill="FFFFFF"/>
          <w:lang w:eastAsia="zh-CN"/>
        </w:rPr>
      </w:pPr>
      <w:r>
        <w:rPr>
          <w:rFonts w:hint="eastAsia" w:ascii="宋体" w:hAnsi="宋体" w:eastAsia="宋体" w:cs="宋体"/>
          <w:b/>
          <w:i w:val="0"/>
          <w:color w:val="auto"/>
          <w:sz w:val="24"/>
          <w:szCs w:val="24"/>
          <w:u w:val="none"/>
          <w:shd w:val="clear" w:fill="FFFFFF"/>
        </w:rPr>
        <w:t>投标人必须是国内注册的独立法人资格，能独立承担民事责任和合同义务，具有良好商业信誉和服务体系，有依法缴纳税收和社会保障资金的良好记录；</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5"/>
        <w:jc w:val="both"/>
        <w:textAlignment w:val="auto"/>
        <w:rPr>
          <w:rFonts w:hint="eastAsia" w:ascii="宋体" w:hAnsi="宋体" w:eastAsia="宋体" w:cs="宋体"/>
          <w:b/>
          <w:i w:val="0"/>
          <w:color w:val="auto"/>
          <w:sz w:val="24"/>
          <w:szCs w:val="24"/>
          <w:u w:val="none"/>
          <w:shd w:val="clear" w:fill="FFFFFF"/>
          <w:lang w:val="en-US" w:eastAsia="zh-CN"/>
        </w:rPr>
      </w:pPr>
      <w:r>
        <w:rPr>
          <w:rFonts w:hint="eastAsia" w:ascii="宋体" w:hAnsi="宋体" w:eastAsia="宋体" w:cs="宋体"/>
          <w:b/>
          <w:i w:val="0"/>
          <w:color w:val="auto"/>
          <w:kern w:val="0"/>
          <w:sz w:val="24"/>
          <w:szCs w:val="24"/>
          <w:u w:val="none"/>
          <w:shd w:val="clear" w:fill="FFFFFF"/>
          <w:lang w:val="en-US" w:eastAsia="zh-CN" w:bidi="ar"/>
        </w:rPr>
        <w:t>根据《国家考古遗址公园规划编制要求（试行）》的要求及本项目实际情况，</w:t>
      </w:r>
      <w:r>
        <w:rPr>
          <w:rFonts w:hint="eastAsia" w:ascii="宋体" w:hAnsi="宋体" w:eastAsia="宋体" w:cs="宋体"/>
          <w:b/>
          <w:i w:val="0"/>
          <w:color w:val="auto"/>
          <w:sz w:val="24"/>
          <w:szCs w:val="24"/>
          <w:u w:val="none"/>
          <w:shd w:val="clear" w:fill="FFFFFF"/>
          <w:lang w:eastAsia="zh-CN"/>
        </w:rPr>
        <w:t>投标人必须</w:t>
      </w:r>
      <w:r>
        <w:rPr>
          <w:rFonts w:hint="eastAsia" w:ascii="宋体" w:hAnsi="宋体" w:eastAsia="宋体" w:cs="宋体"/>
          <w:b/>
          <w:i w:val="0"/>
          <w:color w:val="auto"/>
          <w:sz w:val="24"/>
          <w:szCs w:val="24"/>
          <w:u w:val="none"/>
          <w:shd w:val="clear" w:fill="FFFFFF"/>
        </w:rPr>
        <w:t>具有文物保护工程勘察设计（规划类）甲级资质</w:t>
      </w:r>
      <w:r>
        <w:rPr>
          <w:rFonts w:hint="eastAsia" w:ascii="宋体" w:hAnsi="宋体" w:eastAsia="宋体" w:cs="宋体"/>
          <w:b/>
          <w:i w:val="0"/>
          <w:color w:val="auto"/>
          <w:sz w:val="24"/>
          <w:szCs w:val="24"/>
          <w:u w:val="none"/>
          <w:shd w:val="clear" w:fill="FFFFFF"/>
          <w:lang w:eastAsia="zh-CN"/>
        </w:rPr>
        <w:t>证书</w:t>
      </w:r>
      <w:r>
        <w:rPr>
          <w:rFonts w:hint="eastAsia" w:ascii="宋体" w:hAnsi="宋体" w:eastAsia="宋体" w:cs="宋体"/>
          <w:b/>
          <w:bCs w:val="0"/>
          <w:i w:val="0"/>
          <w:color w:val="auto"/>
          <w:kern w:val="0"/>
          <w:sz w:val="24"/>
          <w:szCs w:val="24"/>
          <w:u w:val="none"/>
          <w:shd w:val="clear" w:fill="FFFFFF"/>
          <w:lang w:val="en-US" w:eastAsia="zh-CN" w:bidi="ar"/>
        </w:rPr>
        <w:t>，城乡规划、建筑工程设计、风景园林工程设计等相关甲级资质</w:t>
      </w:r>
      <w:r>
        <w:rPr>
          <w:rFonts w:hint="eastAsia" w:ascii="宋体" w:hAnsi="宋体" w:eastAsia="宋体" w:cs="宋体"/>
          <w:b/>
          <w:i w:val="0"/>
          <w:color w:val="auto"/>
          <w:sz w:val="24"/>
          <w:szCs w:val="24"/>
          <w:u w:val="none"/>
          <w:shd w:val="clear" w:fill="FFFFFF"/>
          <w:lang w:val="en-US" w:eastAsia="zh-CN"/>
        </w:rPr>
        <w:t>，与在该遗址从事过考古工作的考古发掘资质单位共同完成。</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5"/>
        <w:jc w:val="both"/>
        <w:textAlignment w:val="auto"/>
        <w:rPr>
          <w:rFonts w:hint="eastAsia" w:ascii="宋体" w:hAnsi="宋体" w:eastAsia="宋体" w:cs="宋体"/>
          <w:b/>
          <w:i w:val="0"/>
          <w:color w:val="auto"/>
          <w:kern w:val="0"/>
          <w:sz w:val="24"/>
          <w:szCs w:val="24"/>
          <w:u w:val="none"/>
          <w:shd w:val="clear" w:fill="FFFFFF"/>
          <w:lang w:val="en-US" w:eastAsia="zh-CN" w:bidi="ar"/>
        </w:rPr>
      </w:pPr>
      <w:r>
        <w:rPr>
          <w:rFonts w:hint="eastAsia" w:ascii="宋体" w:hAnsi="宋体" w:eastAsia="宋体" w:cs="宋体"/>
          <w:b/>
          <w:i w:val="0"/>
          <w:color w:val="auto"/>
          <w:kern w:val="0"/>
          <w:sz w:val="24"/>
          <w:szCs w:val="24"/>
          <w:u w:val="none"/>
          <w:shd w:val="clear" w:fill="FFFFFF"/>
          <w:lang w:val="en-US" w:eastAsia="zh-CN" w:bidi="ar"/>
        </w:rPr>
        <w:t>项目负责人</w:t>
      </w:r>
      <w:r>
        <w:rPr>
          <w:rFonts w:hint="eastAsia" w:ascii="宋体" w:hAnsi="宋体" w:eastAsia="宋体" w:cs="宋体"/>
          <w:b/>
          <w:bCs w:val="0"/>
          <w:i w:val="0"/>
          <w:color w:val="auto"/>
          <w:kern w:val="0"/>
          <w:sz w:val="24"/>
          <w:szCs w:val="24"/>
          <w:u w:val="none"/>
          <w:shd w:val="clear" w:fill="FFFFFF"/>
          <w:lang w:val="en-US" w:eastAsia="zh-CN" w:bidi="ar"/>
        </w:rPr>
        <w:t>具备</w:t>
      </w:r>
      <w:r>
        <w:rPr>
          <w:rFonts w:hint="eastAsia" w:ascii="宋体" w:hAnsi="宋体"/>
          <w:b/>
          <w:bCs w:val="0"/>
          <w:color w:val="auto"/>
          <w:sz w:val="24"/>
        </w:rPr>
        <w:t>中国古迹遗址保护协会颁发</w:t>
      </w:r>
      <w:r>
        <w:rPr>
          <w:rFonts w:hint="eastAsia" w:ascii="宋体" w:hAnsi="宋体"/>
          <w:b/>
          <w:bCs w:val="0"/>
          <w:color w:val="auto"/>
          <w:sz w:val="24"/>
          <w:lang w:eastAsia="zh-CN"/>
        </w:rPr>
        <w:t>的</w:t>
      </w:r>
      <w:r>
        <w:rPr>
          <w:rFonts w:hint="eastAsia" w:ascii="宋体" w:hAnsi="宋体" w:eastAsia="宋体" w:cs="宋体"/>
          <w:b/>
          <w:bCs w:val="0"/>
          <w:i w:val="0"/>
          <w:color w:val="auto"/>
          <w:kern w:val="0"/>
          <w:sz w:val="24"/>
          <w:szCs w:val="24"/>
          <w:u w:val="none"/>
          <w:shd w:val="clear" w:fill="FFFFFF"/>
          <w:lang w:val="en-US" w:eastAsia="zh-CN" w:bidi="ar"/>
        </w:rPr>
        <w:t>文物保护工程责任设计师证书，</w:t>
      </w:r>
      <w:r>
        <w:rPr>
          <w:rFonts w:hint="eastAsia" w:ascii="宋体" w:hAnsi="宋体" w:eastAsia="宋体" w:cs="宋体"/>
          <w:b/>
          <w:i w:val="0"/>
          <w:color w:val="auto"/>
          <w:kern w:val="0"/>
          <w:sz w:val="24"/>
          <w:szCs w:val="24"/>
          <w:u w:val="none"/>
          <w:shd w:val="clear" w:fill="FFFFFF"/>
          <w:lang w:val="en-US" w:eastAsia="zh-CN" w:bidi="ar"/>
        </w:rPr>
        <w:t>且从业范围须包含保护规划；</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5"/>
        <w:jc w:val="both"/>
        <w:textAlignment w:val="auto"/>
        <w:rPr>
          <w:rFonts w:hint="eastAsia" w:ascii="宋体" w:hAnsi="宋体" w:eastAsia="宋体" w:cs="宋体"/>
          <w:b/>
          <w:i w:val="0"/>
          <w:color w:val="auto"/>
          <w:sz w:val="24"/>
          <w:szCs w:val="24"/>
          <w:u w:val="none"/>
          <w:shd w:val="clear" w:fill="FFFFFF"/>
          <w:lang w:val="en-US" w:eastAsia="zh-CN"/>
        </w:rPr>
      </w:pPr>
      <w:r>
        <w:rPr>
          <w:rFonts w:hint="eastAsia" w:ascii="宋体" w:hAnsi="宋体" w:eastAsia="宋体" w:cs="宋体"/>
          <w:b/>
          <w:i w:val="0"/>
          <w:color w:val="auto"/>
          <w:kern w:val="0"/>
          <w:sz w:val="24"/>
          <w:szCs w:val="24"/>
          <w:u w:val="none"/>
          <w:shd w:val="clear" w:fill="FFFFFF"/>
          <w:lang w:val="en-US" w:eastAsia="zh-CN" w:bidi="ar"/>
        </w:rPr>
        <w:t>投标单位需拥有文物保护规划专业队伍和有实践经验的考古、规划、文物保护、古建筑设计等相关专家；</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5"/>
        <w:jc w:val="both"/>
        <w:textAlignment w:val="auto"/>
        <w:rPr>
          <w:rFonts w:hint="eastAsia" w:ascii="宋体" w:hAnsi="宋体" w:eastAsia="宋体" w:cs="宋体"/>
          <w:b/>
          <w:i w:val="0"/>
          <w:color w:val="auto"/>
          <w:sz w:val="24"/>
          <w:szCs w:val="24"/>
          <w:u w:val="none"/>
          <w:shd w:val="clear" w:fill="FFFFFF"/>
          <w:lang w:val="en-US" w:eastAsia="zh-CN"/>
        </w:rPr>
      </w:pPr>
      <w:r>
        <w:rPr>
          <w:rFonts w:hint="eastAsia" w:ascii="宋体" w:hAnsi="宋体" w:eastAsia="宋体" w:cs="宋体"/>
          <w:b/>
          <w:i w:val="0"/>
          <w:color w:val="auto"/>
          <w:sz w:val="24"/>
          <w:szCs w:val="24"/>
          <w:u w:val="none"/>
          <w:shd w:val="clear" w:fill="FFFFFF"/>
          <w:lang w:val="en-US" w:eastAsia="zh-CN"/>
        </w:rPr>
        <w:t>投标单位提供经国家文物局批准或报国家文物局备案的类似规划项目的相关业绩不少于3个，提供合同原件或规划实施验收意见。</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5"/>
        <w:jc w:val="both"/>
        <w:textAlignment w:val="auto"/>
        <w:rPr>
          <w:rFonts w:hint="eastAsia" w:ascii="宋体" w:hAnsi="宋体" w:eastAsia="宋体" w:cs="宋体"/>
          <w:b/>
          <w:i w:val="0"/>
          <w:color w:val="auto"/>
          <w:kern w:val="0"/>
          <w:sz w:val="24"/>
          <w:szCs w:val="24"/>
          <w:u w:val="none"/>
          <w:shd w:val="clear" w:fill="FFFFFF"/>
          <w:lang w:val="en-US" w:eastAsia="zh-CN" w:bidi="ar"/>
        </w:rPr>
      </w:pPr>
      <w:r>
        <w:rPr>
          <w:rFonts w:hint="eastAsia" w:ascii="宋体" w:hAnsi="宋体" w:eastAsia="宋体" w:cs="宋体"/>
          <w:b/>
          <w:i w:val="0"/>
          <w:color w:val="auto"/>
          <w:kern w:val="0"/>
          <w:sz w:val="24"/>
          <w:szCs w:val="24"/>
          <w:u w:val="none"/>
          <w:shd w:val="clear" w:fill="FFFFFF"/>
          <w:lang w:val="en-US" w:eastAsia="zh-CN" w:bidi="ar"/>
        </w:rPr>
        <w:t>投标人参加政府采购活动前三年内，在经营活动中没有重大违法记录；</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5"/>
        <w:jc w:val="both"/>
        <w:textAlignment w:val="auto"/>
        <w:rPr>
          <w:rFonts w:hint="eastAsia" w:ascii="宋体" w:hAnsi="宋体" w:eastAsia="宋体" w:cs="宋体"/>
          <w:b/>
          <w:i w:val="0"/>
          <w:color w:val="auto"/>
          <w:kern w:val="0"/>
          <w:sz w:val="24"/>
          <w:szCs w:val="24"/>
          <w:u w:val="none"/>
          <w:shd w:val="clear" w:fill="FFFFFF"/>
          <w:lang w:val="en-US" w:eastAsia="zh-CN" w:bidi="ar"/>
        </w:rPr>
      </w:pPr>
      <w:r>
        <w:rPr>
          <w:rFonts w:hint="eastAsia" w:ascii="宋体" w:hAnsi="宋体" w:eastAsia="宋体" w:cs="宋体"/>
          <w:b/>
          <w:i w:val="0"/>
          <w:color w:val="auto"/>
          <w:kern w:val="0"/>
          <w:sz w:val="24"/>
          <w:szCs w:val="24"/>
          <w:u w:val="none"/>
          <w:shd w:val="clear" w:fill="FFFFFF"/>
          <w:lang w:val="en-US" w:eastAsia="zh-CN" w:bidi="ar"/>
        </w:rPr>
        <w:t>本次招标不接受联合体投标；</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5"/>
        <w:jc w:val="both"/>
        <w:textAlignment w:val="auto"/>
        <w:rPr>
          <w:rFonts w:hint="eastAsia" w:ascii="宋体" w:hAnsi="宋体" w:eastAsia="宋体" w:cs="宋体"/>
          <w:b/>
          <w:i w:val="0"/>
          <w:color w:val="auto"/>
          <w:kern w:val="0"/>
          <w:sz w:val="24"/>
          <w:szCs w:val="24"/>
          <w:u w:val="none"/>
          <w:shd w:val="clear" w:fill="FFFFFF"/>
          <w:lang w:val="en-US" w:eastAsia="zh-CN" w:bidi="ar"/>
        </w:rPr>
      </w:pPr>
      <w:r>
        <w:rPr>
          <w:rFonts w:hint="eastAsia" w:ascii="宋体" w:hAnsi="宋体" w:eastAsia="宋体" w:cs="宋体"/>
          <w:b/>
          <w:i w:val="0"/>
          <w:color w:val="auto"/>
          <w:kern w:val="0"/>
          <w:sz w:val="24"/>
          <w:szCs w:val="24"/>
          <w:u w:val="none"/>
          <w:shd w:val="clear" w:fill="FFFFFF"/>
          <w:lang w:val="en-US" w:eastAsia="zh-CN" w:bidi="ar"/>
        </w:rPr>
        <w:t>单位负责人为同一人或者存在控股、管理关系的不同投标单位，不得同时参加本项目投标。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b w:val="0"/>
          <w:i w:val="0"/>
          <w:color w:val="auto"/>
        </w:rPr>
      </w:pPr>
      <w:r>
        <w:rPr>
          <w:rFonts w:hint="eastAsia" w:ascii="宋体" w:hAnsi="宋体" w:eastAsia="宋体" w:cs="宋体"/>
          <w:b/>
          <w:bCs w:val="0"/>
          <w:i w:val="0"/>
          <w:color w:val="auto"/>
          <w:kern w:val="0"/>
          <w:sz w:val="24"/>
          <w:szCs w:val="24"/>
          <w:u w:val="none"/>
          <w:shd w:val="clear" w:fill="FFFFFF"/>
          <w:lang w:val="zh-CN" w:eastAsia="zh-CN" w:bidi="ar"/>
        </w:rPr>
        <w:t>三、项目需求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55"/>
        <w:jc w:val="both"/>
        <w:textAlignment w:val="auto"/>
        <w:rPr>
          <w:rFonts w:hint="eastAsia" w:ascii="宋体" w:hAnsi="宋体" w:eastAsia="宋体" w:cs="宋体"/>
          <w:color w:val="auto"/>
          <w:sz w:val="24"/>
          <w:szCs w:val="24"/>
          <w:u w:val="none"/>
          <w:shd w:val="clear" w:fill="FFFFFF"/>
          <w:lang w:val="zh-CN" w:eastAsia="zh-CN"/>
        </w:rPr>
      </w:pPr>
      <w:r>
        <w:rPr>
          <w:rFonts w:hint="eastAsia" w:ascii="宋体" w:hAnsi="宋体" w:eastAsia="宋体" w:cs="宋体"/>
          <w:color w:val="auto"/>
          <w:sz w:val="24"/>
          <w:szCs w:val="24"/>
          <w:u w:val="none"/>
          <w:shd w:val="clear" w:fill="FFFFFF"/>
          <w:lang w:val="zh-CN" w:eastAsia="zh-CN"/>
        </w:rPr>
        <w:t>灵井“许昌人”考古遗址公园规划编制项目（规划面积</w:t>
      </w:r>
      <w:r>
        <w:rPr>
          <w:rFonts w:hint="eastAsia" w:ascii="宋体" w:hAnsi="宋体" w:eastAsia="宋体" w:cs="宋体"/>
          <w:color w:val="auto"/>
          <w:sz w:val="24"/>
          <w:szCs w:val="24"/>
          <w:u w:val="none"/>
          <w:shd w:val="clear" w:fill="FFFFFF"/>
          <w:lang w:val="en-US" w:eastAsia="zh-CN"/>
        </w:rPr>
        <w:t>约220公顷</w:t>
      </w:r>
      <w:r>
        <w:rPr>
          <w:rFonts w:hint="eastAsia" w:ascii="宋体" w:hAnsi="宋体" w:eastAsia="宋体" w:cs="宋体"/>
          <w:color w:val="auto"/>
          <w:sz w:val="24"/>
          <w:szCs w:val="24"/>
          <w:u w:val="none"/>
          <w:shd w:val="clear" w:fill="FFFFFF"/>
          <w:lang w:val="zh-CN" w:eastAsia="zh-CN"/>
        </w:rPr>
        <w:t>）（含遗址规划区及周围建设控制地带区域地形图测绘项目）。（详见附件</w:t>
      </w:r>
      <w:r>
        <w:rPr>
          <w:rFonts w:hint="eastAsia" w:ascii="宋体" w:hAnsi="宋体" w:eastAsia="宋体" w:cs="宋体"/>
          <w:color w:val="auto"/>
          <w:sz w:val="24"/>
          <w:szCs w:val="24"/>
          <w:u w:val="none"/>
          <w:shd w:val="clear" w:fill="FFFFFF"/>
          <w:lang w:val="en-US" w:eastAsia="zh-CN"/>
        </w:rPr>
        <w:t>*</w:t>
      </w:r>
      <w:r>
        <w:rPr>
          <w:rFonts w:hint="eastAsia" w:ascii="宋体" w:hAnsi="宋体" w:eastAsia="宋体" w:cs="宋体"/>
          <w:color w:val="auto"/>
          <w:sz w:val="24"/>
          <w:szCs w:val="24"/>
          <w:u w:val="none"/>
          <w:shd w:val="clear" w:fill="FFFFFF"/>
          <w:lang w:val="zh-CN"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b w:val="0"/>
          <w:i w:val="0"/>
          <w:color w:val="auto"/>
        </w:rPr>
      </w:pPr>
      <w:r>
        <w:rPr>
          <w:rFonts w:hint="eastAsia" w:ascii="宋体" w:hAnsi="宋体" w:eastAsia="宋体" w:cs="宋体"/>
          <w:b/>
          <w:bCs w:val="0"/>
          <w:i w:val="0"/>
          <w:color w:val="auto"/>
          <w:kern w:val="0"/>
          <w:sz w:val="24"/>
          <w:szCs w:val="24"/>
          <w:u w:val="none"/>
          <w:shd w:val="clear" w:fill="FFFFFF"/>
          <w:lang w:val="zh-CN" w:eastAsia="zh-CN" w:bidi="ar"/>
        </w:rPr>
        <w:t>四、相关要求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55"/>
        <w:jc w:val="both"/>
        <w:textAlignment w:val="auto"/>
        <w:rPr>
          <w:rFonts w:hint="eastAsia" w:ascii="宋体" w:hAnsi="宋体" w:eastAsia="宋体" w:cs="宋体"/>
          <w:color w:val="auto"/>
          <w:sz w:val="24"/>
          <w:szCs w:val="24"/>
          <w:u w:val="none"/>
          <w:shd w:val="clear" w:fill="FFFFFF"/>
          <w:lang w:val="en-US" w:eastAsia="zh-CN"/>
        </w:rPr>
      </w:pPr>
      <w:r>
        <w:rPr>
          <w:rFonts w:hint="eastAsia" w:ascii="宋体" w:hAnsi="宋体" w:eastAsia="宋体" w:cs="宋体"/>
          <w:color w:val="auto"/>
          <w:sz w:val="24"/>
          <w:szCs w:val="24"/>
          <w:u w:val="none"/>
          <w:shd w:val="clear" w:fill="FFFFFF"/>
          <w:lang w:val="en-US" w:eastAsia="zh-CN"/>
        </w:rPr>
        <w:t>（1）灵井“许昌人”考古遗址公园规划的规划编制单位应参照《国家考古遗址公园规划编制要求》标准和深度，要求达到修建性详细规划标准；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55"/>
        <w:jc w:val="both"/>
        <w:textAlignment w:val="auto"/>
        <w:rPr>
          <w:rFonts w:hint="eastAsia" w:ascii="宋体" w:hAnsi="宋体" w:eastAsia="宋体" w:cs="宋体"/>
          <w:color w:val="auto"/>
          <w:sz w:val="24"/>
          <w:szCs w:val="24"/>
          <w:u w:val="none"/>
          <w:shd w:val="clear" w:fill="FFFFFF"/>
          <w:lang w:val="en-US" w:eastAsia="zh-CN"/>
        </w:rPr>
      </w:pPr>
      <w:r>
        <w:rPr>
          <w:rFonts w:hint="eastAsia" w:ascii="宋体" w:hAnsi="宋体" w:eastAsia="宋体" w:cs="宋体"/>
          <w:color w:val="auto"/>
          <w:sz w:val="24"/>
          <w:szCs w:val="24"/>
          <w:u w:val="none"/>
          <w:shd w:val="clear" w:fill="FFFFFF"/>
          <w:lang w:val="en-US" w:eastAsia="zh-CN"/>
        </w:rPr>
        <w:t>(2)规划成果主要包括规划说明、规划图纸及附件；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55"/>
        <w:jc w:val="both"/>
        <w:textAlignment w:val="auto"/>
        <w:rPr>
          <w:rFonts w:hint="eastAsia" w:ascii="宋体" w:hAnsi="宋体" w:eastAsia="宋体" w:cs="宋体"/>
          <w:color w:val="auto"/>
          <w:sz w:val="24"/>
          <w:szCs w:val="24"/>
          <w:u w:val="none"/>
          <w:shd w:val="clear" w:fill="FFFFFF"/>
          <w:lang w:val="en-US" w:eastAsia="zh-CN"/>
        </w:rPr>
      </w:pPr>
      <w:r>
        <w:rPr>
          <w:rFonts w:hint="eastAsia" w:ascii="宋体" w:hAnsi="宋体" w:eastAsia="宋体" w:cs="宋体"/>
          <w:color w:val="auto"/>
          <w:sz w:val="24"/>
          <w:szCs w:val="24"/>
          <w:u w:val="none"/>
          <w:shd w:val="clear" w:fill="FFFFFF"/>
          <w:lang w:val="en-US" w:eastAsia="zh-CN"/>
        </w:rPr>
        <w:t>(3)中标单位需完成灵井“许昌人”考古遗址公园规划区及周边建设控制地带区域地形图测绘任务，测绘成果应提交项目单位；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55"/>
        <w:jc w:val="both"/>
        <w:textAlignment w:val="auto"/>
        <w:rPr>
          <w:rFonts w:hint="eastAsia" w:ascii="宋体" w:hAnsi="宋体" w:eastAsia="宋体" w:cs="宋体"/>
          <w:color w:val="auto"/>
          <w:sz w:val="24"/>
          <w:szCs w:val="24"/>
          <w:u w:val="none"/>
          <w:shd w:val="clear" w:fill="FFFFFF"/>
          <w:lang w:val="en-US" w:eastAsia="zh-CN"/>
        </w:rPr>
      </w:pPr>
      <w:r>
        <w:rPr>
          <w:rFonts w:hint="eastAsia" w:ascii="宋体" w:hAnsi="宋体" w:eastAsia="宋体" w:cs="宋体"/>
          <w:color w:val="auto"/>
          <w:sz w:val="24"/>
          <w:szCs w:val="24"/>
          <w:u w:val="none"/>
          <w:shd w:val="clear" w:fill="FFFFFF"/>
          <w:lang w:val="en-US" w:eastAsia="zh-CN"/>
        </w:rPr>
        <w:t>(4)灵井“许昌人”考古遗址公园规划编制时间为</w:t>
      </w:r>
      <w:r>
        <w:rPr>
          <w:rFonts w:hint="eastAsia" w:ascii="宋体" w:hAnsi="宋体" w:eastAsia="宋体" w:cs="宋体"/>
          <w:b/>
          <w:bCs/>
          <w:color w:val="auto"/>
          <w:sz w:val="24"/>
          <w:szCs w:val="24"/>
          <w:u w:val="none"/>
          <w:shd w:val="clear" w:fill="FFFFFF"/>
          <w:lang w:val="en-US" w:eastAsia="zh-CN"/>
        </w:rPr>
        <w:t>90</w:t>
      </w:r>
      <w:r>
        <w:rPr>
          <w:rFonts w:hint="eastAsia" w:ascii="宋体" w:hAnsi="宋体" w:eastAsia="宋体" w:cs="宋体"/>
          <w:color w:val="auto"/>
          <w:sz w:val="24"/>
          <w:szCs w:val="24"/>
          <w:u w:val="none"/>
          <w:shd w:val="clear" w:fill="FFFFFF"/>
          <w:lang w:val="en-US" w:eastAsia="zh-CN"/>
        </w:rPr>
        <w:t>个工作日（自中标合同签订之日起）。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b w:val="0"/>
          <w:i w:val="0"/>
          <w:color w:val="auto"/>
        </w:rPr>
      </w:pPr>
      <w:r>
        <w:rPr>
          <w:rFonts w:hint="eastAsia" w:ascii="宋体" w:hAnsi="宋体" w:eastAsia="宋体" w:cs="宋体"/>
          <w:b/>
          <w:bCs w:val="0"/>
          <w:i w:val="0"/>
          <w:color w:val="auto"/>
          <w:kern w:val="0"/>
          <w:sz w:val="24"/>
          <w:szCs w:val="24"/>
          <w:u w:val="none"/>
          <w:shd w:val="clear" w:fill="FFFFFF"/>
          <w:lang w:val="zh-CN" w:eastAsia="zh-CN" w:bidi="ar"/>
        </w:rPr>
        <w:t>五、付款方式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55"/>
        <w:jc w:val="both"/>
        <w:textAlignment w:val="auto"/>
        <w:rPr>
          <w:rFonts w:hint="eastAsia" w:ascii="宋体" w:hAnsi="宋体" w:eastAsia="宋体" w:cs="宋体"/>
          <w:color w:val="auto"/>
          <w:sz w:val="24"/>
          <w:szCs w:val="24"/>
          <w:u w:val="none"/>
          <w:shd w:val="clear" w:fill="FFFFFF"/>
          <w:lang w:val="en-US" w:eastAsia="zh-CN"/>
        </w:rPr>
      </w:pPr>
      <w:r>
        <w:rPr>
          <w:rFonts w:hint="eastAsia" w:ascii="宋体" w:hAnsi="宋体" w:eastAsia="宋体" w:cs="宋体"/>
          <w:color w:val="auto"/>
          <w:sz w:val="24"/>
          <w:szCs w:val="24"/>
          <w:u w:val="none"/>
          <w:shd w:val="clear" w:fill="FFFFFF"/>
          <w:lang w:val="en-US" w:eastAsia="zh-CN"/>
        </w:rPr>
        <w:t>（1）合同签订后20日内拿出规划框架。规划框架经项目单位论证通过后10日内，支付编制单位合同总价款的20%；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55"/>
        <w:jc w:val="both"/>
        <w:textAlignment w:val="auto"/>
        <w:rPr>
          <w:rFonts w:hint="eastAsia" w:ascii="宋体" w:hAnsi="宋体" w:eastAsia="宋体" w:cs="宋体"/>
          <w:color w:val="auto"/>
          <w:sz w:val="24"/>
          <w:szCs w:val="24"/>
          <w:u w:val="none"/>
          <w:shd w:val="clear" w:fill="FFFFFF"/>
          <w:lang w:val="en-US" w:eastAsia="zh-CN"/>
        </w:rPr>
      </w:pPr>
      <w:r>
        <w:rPr>
          <w:rFonts w:hint="eastAsia" w:ascii="宋体" w:hAnsi="宋体" w:eastAsia="宋体" w:cs="宋体"/>
          <w:color w:val="auto"/>
          <w:sz w:val="24"/>
          <w:szCs w:val="24"/>
          <w:u w:val="none"/>
          <w:shd w:val="clear" w:fill="FFFFFF"/>
          <w:lang w:val="en-US" w:eastAsia="zh-CN"/>
        </w:rPr>
        <w:t>（2）合同签订后60日内拿出规划初稿，规划初稿经项目单位初审通过后，支付编制单位合同总价款的30%；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55"/>
        <w:jc w:val="both"/>
        <w:textAlignment w:val="auto"/>
        <w:rPr>
          <w:rFonts w:hint="eastAsia" w:ascii="宋体" w:hAnsi="宋体" w:eastAsia="宋体" w:cs="宋体"/>
          <w:color w:val="auto"/>
          <w:sz w:val="24"/>
          <w:szCs w:val="24"/>
          <w:u w:val="none"/>
          <w:shd w:val="clear" w:fill="FFFFFF"/>
          <w:lang w:val="en-US" w:eastAsia="zh-CN"/>
        </w:rPr>
      </w:pPr>
      <w:r>
        <w:rPr>
          <w:rFonts w:hint="eastAsia" w:ascii="宋体" w:hAnsi="宋体" w:eastAsia="宋体" w:cs="宋体"/>
          <w:color w:val="auto"/>
          <w:sz w:val="24"/>
          <w:szCs w:val="24"/>
          <w:u w:val="none"/>
          <w:shd w:val="clear" w:fill="FFFFFF"/>
          <w:lang w:val="en-US" w:eastAsia="zh-CN"/>
        </w:rPr>
        <w:t>（3）规划经市规划技术委员会审核通过、市规委会审批后，支付编制单位合同总价款的30%；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55"/>
        <w:jc w:val="both"/>
        <w:textAlignment w:val="auto"/>
        <w:rPr>
          <w:rFonts w:hint="eastAsia" w:ascii="宋体" w:hAnsi="宋体" w:eastAsia="宋体" w:cs="宋体"/>
          <w:color w:val="auto"/>
          <w:sz w:val="24"/>
          <w:szCs w:val="24"/>
          <w:u w:val="none"/>
          <w:shd w:val="clear" w:fill="FFFFFF"/>
          <w:lang w:val="en-US" w:eastAsia="zh-CN"/>
        </w:rPr>
      </w:pPr>
      <w:r>
        <w:rPr>
          <w:rFonts w:hint="eastAsia" w:ascii="宋体" w:hAnsi="宋体" w:eastAsia="宋体" w:cs="宋体"/>
          <w:color w:val="auto"/>
          <w:sz w:val="24"/>
          <w:szCs w:val="24"/>
          <w:u w:val="none"/>
          <w:shd w:val="clear" w:fill="FFFFFF"/>
          <w:lang w:val="en-US" w:eastAsia="zh-CN"/>
        </w:rPr>
        <w:t>（4）规划在上级文物等部门完成审批（或备案）后，支付编制单位合同总价款的20%。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5"/>
        <w:jc w:val="both"/>
        <w:textAlignment w:val="auto"/>
        <w:rPr>
          <w:color w:val="auto"/>
        </w:rPr>
      </w:pPr>
      <w:r>
        <w:rPr>
          <w:rFonts w:hint="eastAsia" w:ascii="宋体" w:hAnsi="宋体" w:eastAsia="宋体" w:cs="宋体"/>
          <w:b/>
          <w:bCs w:val="0"/>
          <w:color w:val="auto"/>
          <w:kern w:val="2"/>
          <w:sz w:val="24"/>
          <w:szCs w:val="24"/>
          <w:u w:val="none"/>
          <w:shd w:val="clear" w:fill="FFFFFF"/>
          <w:lang w:val="zh-CN"/>
        </w:rPr>
        <w:t>六、采购单位联系方式及地址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宋体" w:hAnsi="宋体" w:eastAsia="宋体" w:cs="宋体"/>
          <w:color w:val="auto"/>
          <w:sz w:val="24"/>
          <w:szCs w:val="24"/>
          <w:u w:val="none"/>
          <w:shd w:val="clear" w:fill="FFFFFF"/>
          <w:lang w:val="en-US" w:bidi="ar"/>
        </w:rPr>
      </w:pPr>
      <w:r>
        <w:rPr>
          <w:rFonts w:hint="eastAsia" w:ascii="仿宋_GB2312" w:hAnsi="微软雅黑" w:eastAsia="仿宋_GB2312" w:cs="仿宋_GB2312"/>
          <w:b w:val="0"/>
          <w:i w:val="0"/>
          <w:color w:val="auto"/>
          <w:kern w:val="0"/>
          <w:sz w:val="31"/>
          <w:szCs w:val="31"/>
          <w:u w:val="none"/>
          <w:shd w:val="clear" w:fill="FFFFFF"/>
          <w:lang w:val="en-US" w:eastAsia="zh-CN" w:bidi="ar"/>
        </w:rPr>
        <w:t> </w:t>
      </w:r>
      <w:r>
        <w:rPr>
          <w:rFonts w:hint="eastAsia" w:ascii="宋体" w:hAnsi="宋体" w:eastAsia="宋体" w:cs="宋体"/>
          <w:b w:val="0"/>
          <w:i w:val="0"/>
          <w:color w:val="auto"/>
          <w:kern w:val="0"/>
          <w:sz w:val="24"/>
          <w:szCs w:val="24"/>
          <w:u w:val="none"/>
          <w:shd w:val="clear" w:fill="FFFFFF"/>
          <w:lang w:val="en-US" w:eastAsia="zh-CN" w:bidi="ar"/>
        </w:rPr>
        <w:t>    联系人：李女士        联系电话：0374-2965952</w:t>
      </w:r>
      <w:r>
        <w:rPr>
          <w:rFonts w:hint="eastAsia" w:ascii="宋体" w:hAnsi="宋体" w:eastAsia="宋体" w:cs="宋体"/>
          <w:color w:val="auto"/>
          <w:sz w:val="24"/>
          <w:szCs w:val="24"/>
          <w:u w:val="none"/>
          <w:shd w:val="clear" w:fill="FFFFFF"/>
          <w:lang w:val="en-US"/>
        </w:rPr>
        <w:t> </w:t>
      </w:r>
      <w:r>
        <w:rPr>
          <w:rFonts w:hint="eastAsia" w:ascii="宋体" w:hAnsi="宋体" w:eastAsia="宋体" w:cs="宋体"/>
          <w:color w:val="auto"/>
          <w:sz w:val="24"/>
          <w:szCs w:val="24"/>
          <w:u w:val="none"/>
          <w:shd w:val="clear" w:fill="FFFFFF"/>
          <w:lang w:val="en-US" w:bidi="ar"/>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720" w:firstLineChars="300"/>
        <w:jc w:val="both"/>
        <w:textAlignment w:val="auto"/>
        <w:rPr>
          <w:rFonts w:hint="eastAsia" w:ascii="宋体" w:hAnsi="宋体" w:eastAsia="宋体" w:cs="宋体"/>
          <w:color w:val="auto"/>
          <w:sz w:val="24"/>
          <w:szCs w:val="24"/>
          <w:u w:val="none"/>
          <w:shd w:val="clear" w:fill="FFFFFF"/>
          <w:lang w:val="en-US" w:eastAsia="zh-CN" w:bidi="ar"/>
        </w:rPr>
      </w:pPr>
      <w:r>
        <w:rPr>
          <w:rFonts w:hint="eastAsia" w:ascii="宋体" w:hAnsi="宋体" w:eastAsia="宋体" w:cs="宋体"/>
          <w:color w:val="auto"/>
          <w:sz w:val="24"/>
          <w:szCs w:val="24"/>
          <w:u w:val="none"/>
          <w:shd w:val="clear" w:fill="FFFFFF"/>
          <w:lang w:bidi="ar"/>
        </w:rPr>
        <w:t>递交书面材料地址：许昌市</w:t>
      </w:r>
      <w:r>
        <w:rPr>
          <w:rFonts w:hint="eastAsia" w:ascii="宋体" w:hAnsi="宋体" w:eastAsia="宋体" w:cs="宋体"/>
          <w:color w:val="auto"/>
          <w:sz w:val="24"/>
          <w:szCs w:val="24"/>
          <w:u w:val="none"/>
          <w:shd w:val="clear" w:fill="FFFFFF"/>
          <w:lang w:eastAsia="zh-CN" w:bidi="ar"/>
        </w:rPr>
        <w:t>八一</w:t>
      </w:r>
      <w:r>
        <w:rPr>
          <w:rFonts w:hint="eastAsia" w:ascii="宋体" w:hAnsi="宋体" w:eastAsia="宋体" w:cs="宋体"/>
          <w:color w:val="auto"/>
          <w:sz w:val="24"/>
          <w:szCs w:val="24"/>
          <w:u w:val="none"/>
          <w:shd w:val="clear" w:fill="FFFFFF"/>
          <w:lang w:bidi="ar"/>
        </w:rPr>
        <w:t>路</w:t>
      </w:r>
      <w:r>
        <w:rPr>
          <w:rFonts w:hint="eastAsia" w:ascii="宋体" w:hAnsi="宋体" w:eastAsia="宋体" w:cs="宋体"/>
          <w:color w:val="auto"/>
          <w:sz w:val="24"/>
          <w:szCs w:val="24"/>
          <w:u w:val="none"/>
          <w:shd w:val="clear" w:fill="FFFFFF"/>
          <w:lang w:val="en-US" w:eastAsia="zh-CN" w:bidi="ar"/>
        </w:rPr>
        <w:t>广电大厦1902室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720" w:firstLineChars="300"/>
        <w:jc w:val="both"/>
        <w:textAlignment w:val="auto"/>
        <w:rPr>
          <w:rFonts w:hint="eastAsia" w:ascii="宋体" w:hAnsi="宋体" w:eastAsia="宋体" w:cs="宋体"/>
          <w:color w:val="auto"/>
          <w:sz w:val="24"/>
          <w:szCs w:val="24"/>
          <w:u w:val="none"/>
          <w:shd w:val="clear" w:fill="FFFFFF"/>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720" w:firstLineChars="300"/>
        <w:jc w:val="both"/>
        <w:textAlignment w:val="auto"/>
        <w:rPr>
          <w:rFonts w:hint="eastAsia" w:ascii="宋体" w:hAnsi="宋体" w:eastAsia="宋体" w:cs="宋体"/>
          <w:color w:val="auto"/>
          <w:sz w:val="24"/>
          <w:szCs w:val="24"/>
          <w:u w:val="none"/>
          <w:shd w:val="clear" w:fill="FFFFFF"/>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720" w:firstLineChars="300"/>
        <w:jc w:val="both"/>
        <w:textAlignment w:val="auto"/>
        <w:rPr>
          <w:rFonts w:hint="eastAsia" w:ascii="宋体" w:hAnsi="宋体" w:eastAsia="宋体" w:cs="宋体"/>
          <w:color w:val="auto"/>
          <w:sz w:val="24"/>
          <w:szCs w:val="24"/>
          <w:u w:val="none"/>
          <w:shd w:val="clear" w:fill="FFFFFF"/>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720" w:firstLineChars="300"/>
        <w:jc w:val="both"/>
        <w:textAlignment w:val="auto"/>
        <w:rPr>
          <w:rFonts w:hint="eastAsia" w:ascii="宋体" w:hAnsi="宋体" w:eastAsia="宋体" w:cs="宋体"/>
          <w:color w:val="auto"/>
          <w:sz w:val="24"/>
          <w:szCs w:val="24"/>
          <w:u w:val="none"/>
          <w:shd w:val="clear" w:fill="FFFFFF"/>
          <w:lang w:val="en-US" w:eastAsia="zh-CN" w:bidi="ar"/>
        </w:rPr>
      </w:pPr>
    </w:p>
    <w:p>
      <w:pPr>
        <w:autoSpaceDE w:val="0"/>
        <w:autoSpaceDN w:val="0"/>
        <w:adjustRightInd w:val="0"/>
        <w:spacing w:line="360" w:lineRule="auto"/>
        <w:ind w:left="0" w:leftChars="0" w:firstLine="0" w:firstLineChars="0"/>
        <w:jc w:val="left"/>
        <w:rPr>
          <w:rFonts w:hint="eastAsia" w:ascii="仿宋" w:hAnsi="仿宋" w:eastAsia="仿宋" w:cs="仿宋"/>
          <w:color w:val="auto"/>
          <w:sz w:val="32"/>
          <w:szCs w:val="32"/>
          <w:u w:val="none"/>
          <w:shd w:val="clear" w:fill="FFFFFF"/>
          <w:lang w:eastAsia="zh-CN"/>
        </w:rPr>
      </w:pPr>
      <w:r>
        <w:rPr>
          <w:rFonts w:hint="eastAsia" w:ascii="仿宋" w:hAnsi="仿宋" w:eastAsia="仿宋" w:cs="仿宋"/>
          <w:color w:val="auto"/>
          <w:sz w:val="32"/>
          <w:szCs w:val="32"/>
          <w:u w:val="none"/>
          <w:shd w:val="clear" w:fill="FFFFFF"/>
          <w:lang w:eastAsia="zh-CN"/>
        </w:rPr>
        <w:t>附件</w:t>
      </w:r>
      <w:r>
        <w:rPr>
          <w:rFonts w:hint="eastAsia" w:ascii="仿宋" w:hAnsi="仿宋" w:eastAsia="仿宋" w:cs="仿宋"/>
          <w:color w:val="auto"/>
          <w:sz w:val="32"/>
          <w:szCs w:val="32"/>
          <w:u w:val="none"/>
          <w:shd w:val="clear" w:fill="FFFFFF"/>
          <w:lang w:val="en-US" w:eastAsia="zh-CN"/>
        </w:rPr>
        <w:t>*</w:t>
      </w:r>
      <w:r>
        <w:rPr>
          <w:rFonts w:hint="eastAsia" w:ascii="仿宋" w:hAnsi="仿宋" w:eastAsia="仿宋" w:cs="仿宋"/>
          <w:color w:val="auto"/>
          <w:sz w:val="32"/>
          <w:szCs w:val="32"/>
          <w:u w:val="none"/>
          <w:shd w:val="clear" w:fill="FFFFFF"/>
          <w:lang w:eastAsia="zh-CN"/>
        </w:rPr>
        <w:t>：</w:t>
      </w:r>
    </w:p>
    <w:p>
      <w:pPr>
        <w:autoSpaceDE w:val="0"/>
        <w:autoSpaceDN w:val="0"/>
        <w:adjustRightInd w:val="0"/>
        <w:spacing w:line="360" w:lineRule="auto"/>
        <w:ind w:left="0" w:leftChars="0" w:firstLine="0" w:firstLineChars="0"/>
        <w:jc w:val="center"/>
        <w:rPr>
          <w:rFonts w:hint="eastAsia" w:ascii="方正大标宋简体" w:hAnsi="方正大标宋简体" w:eastAsia="方正大标宋简体" w:cs="方正大标宋简体"/>
          <w:b/>
          <w:color w:val="auto"/>
          <w:sz w:val="36"/>
          <w:szCs w:val="36"/>
        </w:rPr>
      </w:pPr>
      <w:r>
        <w:rPr>
          <w:rFonts w:hint="eastAsia" w:ascii="方正大标宋简体" w:hAnsi="方正大标宋简体" w:eastAsia="方正大标宋简体" w:cs="方正大标宋简体"/>
          <w:color w:val="auto"/>
          <w:sz w:val="36"/>
          <w:szCs w:val="36"/>
          <w:u w:val="none"/>
          <w:shd w:val="clear" w:fill="FFFFFF"/>
        </w:rPr>
        <w:t>项目需求（技术参数）</w:t>
      </w:r>
    </w:p>
    <w:p>
      <w:pPr>
        <w:autoSpaceDE w:val="0"/>
        <w:autoSpaceDN w:val="0"/>
        <w:adjustRightInd w:val="0"/>
        <w:spacing w:line="360" w:lineRule="auto"/>
        <w:ind w:firstLine="482" w:firstLineChars="200"/>
        <w:rPr>
          <w:rFonts w:hint="eastAsia" w:ascii="宋体" w:hAnsi="宋体" w:eastAsia="宋体" w:cs="Times New Roman"/>
          <w:b/>
          <w:color w:val="auto"/>
          <w:sz w:val="24"/>
        </w:rPr>
      </w:pPr>
    </w:p>
    <w:p>
      <w:pPr>
        <w:autoSpaceDE w:val="0"/>
        <w:autoSpaceDN w:val="0"/>
        <w:adjustRightInd w:val="0"/>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第一部分：规划说明</w:t>
      </w:r>
    </w:p>
    <w:p>
      <w:pPr>
        <w:autoSpaceDE w:val="0"/>
        <w:autoSpaceDN w:val="0"/>
        <w:adjustRightInd w:val="0"/>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1、概述</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（1）遗址概况：包括遗址名称、位置、时代、性质、范围、遗存构成和历史沿革等；</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（2）编制依据：包括有关法律与行政法规、部门规章与规范性文件、技术标准和规范、考古与科研成果以及相关规划等；</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（3）规划范围：</w:t>
      </w:r>
      <w:r>
        <w:rPr>
          <w:rFonts w:hint="eastAsia" w:ascii="宋体" w:hAnsi="宋体" w:eastAsia="宋体" w:cs="Times New Roman"/>
          <w:color w:val="auto"/>
          <w:sz w:val="24"/>
          <w:lang w:eastAsia="zh-CN"/>
        </w:rPr>
        <w:t>约</w:t>
      </w:r>
      <w:r>
        <w:rPr>
          <w:rFonts w:hint="eastAsia" w:ascii="宋体" w:hAnsi="宋体" w:eastAsia="宋体" w:cs="Times New Roman"/>
          <w:color w:val="auto"/>
          <w:sz w:val="24"/>
          <w:lang w:val="en-US" w:eastAsia="zh-CN"/>
        </w:rPr>
        <w:t>220公顷（附图）。</w:t>
      </w:r>
      <w:r>
        <w:rPr>
          <w:rFonts w:hint="eastAsia" w:ascii="宋体" w:hAnsi="宋体" w:eastAsia="宋体" w:cs="Times New Roman"/>
          <w:color w:val="auto"/>
          <w:sz w:val="24"/>
        </w:rPr>
        <w:t>说明规划范围和面积、灵井</w:t>
      </w:r>
      <w:r>
        <w:rPr>
          <w:rFonts w:hint="eastAsia" w:ascii="宋体" w:hAnsi="宋体" w:eastAsia="宋体" w:cs="Times New Roman"/>
          <w:color w:val="auto"/>
          <w:sz w:val="24"/>
          <w:lang w:eastAsia="zh-CN"/>
        </w:rPr>
        <w:t>“许昌人”考古</w:t>
      </w:r>
      <w:r>
        <w:rPr>
          <w:rFonts w:hint="eastAsia" w:ascii="宋体" w:hAnsi="宋体" w:eastAsia="宋体" w:cs="Times New Roman"/>
          <w:color w:val="auto"/>
          <w:sz w:val="24"/>
        </w:rPr>
        <w:t>遗址公园范围和面积；</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（4）规划目标：明确</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定位及建设目标；</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（5）规划原则：围绕规划目标，从考古、保护、研究、利用、管理等不同层面提出具有针对性的原则。</w:t>
      </w:r>
    </w:p>
    <w:p>
      <w:pPr>
        <w:autoSpaceDE w:val="0"/>
        <w:autoSpaceDN w:val="0"/>
        <w:adjustRightInd w:val="0"/>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2、资源条件与现状分析</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（1）文物资源：明确灵井</w:t>
      </w:r>
      <w:r>
        <w:rPr>
          <w:rFonts w:hint="eastAsia" w:ascii="宋体" w:hAnsi="宋体" w:eastAsia="宋体" w:cs="Times New Roman"/>
          <w:color w:val="auto"/>
          <w:sz w:val="24"/>
          <w:lang w:eastAsia="zh-CN"/>
        </w:rPr>
        <w:t>“许昌人”</w:t>
      </w:r>
      <w:r>
        <w:rPr>
          <w:rFonts w:hint="eastAsia" w:ascii="宋体" w:hAnsi="宋体" w:eastAsia="宋体" w:cs="Times New Roman"/>
          <w:color w:val="auto"/>
          <w:sz w:val="24"/>
        </w:rPr>
        <w:t>遗址的价值与价值载体，评估价值载体的保存、保护状况及利用条件，以及</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范围内其他文物资源条件。</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（2）区位条件：评估</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与所在区域的城乡区位关系、外部交通条件等情况。</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（3）社会条件：评估</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所在区域的社会经济条件、人文资源条件、地方政府政策与资金支持、土地利用现状、土地权属管理等情况。</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（4）环境条件：评估</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所处区域的自然资源、生态环境、景观风貌、场地内建设现状、基础设施条件与公共卫生条件等。</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（5）考古和科研条件：评估考古工作历史、现状、研究成果，以及现有考古工作计划和</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建设之间的关系。需通过重点考古勘探了解地下遗迹分布情况，提供可靠的规划依据。</w:t>
      </w:r>
    </w:p>
    <w:p>
      <w:pPr>
        <w:autoSpaceDE w:val="0"/>
        <w:autoSpaceDN w:val="0"/>
        <w:adjustRightInd w:val="0"/>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 xml:space="preserve">（6）管理条件：评估遗址保护规划实施、管理运营体制机制、相关保护与管理设施建设、开放展示与游客服务等情况。 </w:t>
      </w:r>
    </w:p>
    <w:p>
      <w:pPr>
        <w:autoSpaceDE w:val="0"/>
        <w:autoSpaceDN w:val="0"/>
        <w:adjustRightInd w:val="0"/>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（7）相关规划分析：分析</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遗址公园规划与文物保护规划的关系，分析</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遗址公园所在区域的国民经济与社会发展规划、土地利用总体规划、城市总体规划等涉及遗址公园规划范围的建设、管理要求和规定。</w:t>
      </w:r>
    </w:p>
    <w:p>
      <w:pPr>
        <w:autoSpaceDE w:val="0"/>
        <w:autoSpaceDN w:val="0"/>
        <w:adjustRightInd w:val="0"/>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8</w:t>
      </w:r>
      <w:r>
        <w:rPr>
          <w:rFonts w:hint="eastAsia" w:ascii="宋体" w:hAnsi="宋体" w:eastAsia="宋体" w:cs="Times New Roman"/>
          <w:color w:val="auto"/>
          <w:sz w:val="24"/>
          <w:lang w:eastAsia="zh-CN"/>
        </w:rPr>
        <w:t>）业态分析研究：对灵井“许昌人”考古遗址公园业态发展基础进行梳理，主要包括文化旅游产业发展背景分析、文化旅游资源分析和已有</w:t>
      </w:r>
      <w:r>
        <w:rPr>
          <w:rFonts w:hint="eastAsia" w:ascii="宋体" w:hAnsi="宋体" w:eastAsia="宋体" w:cs="Times New Roman"/>
          <w:color w:val="auto"/>
          <w:sz w:val="24"/>
          <w:lang w:val="en-US" w:eastAsia="zh-CN"/>
        </w:rPr>
        <w:t>(基本)业态的评价分析等</w:t>
      </w:r>
      <w:r>
        <w:rPr>
          <w:rFonts w:hint="eastAsia" w:ascii="宋体" w:hAnsi="宋体" w:eastAsia="宋体" w:cs="Times New Roman"/>
          <w:color w:val="auto"/>
          <w:sz w:val="24"/>
          <w:lang w:eastAsia="zh-CN"/>
        </w:rPr>
        <w:t>。</w:t>
      </w:r>
    </w:p>
    <w:p>
      <w:pPr>
        <w:autoSpaceDE w:val="0"/>
        <w:autoSpaceDN w:val="0"/>
        <w:adjustRightInd w:val="0"/>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3、总体设计</w:t>
      </w:r>
    </w:p>
    <w:p>
      <w:pPr>
        <w:autoSpaceDE w:val="0"/>
        <w:autoSpaceDN w:val="0"/>
        <w:adjustRightInd w:val="0"/>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（1）阐释与展示体系规划</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包括阐释与展示策划、阐释与展示结构等内容。</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1）阐释与展示策划：在文物保护规划中已有展示原则和内容的基础上，根据资源条件与现状分析构建价值阐释框架，确定阐释与展示的对象、定位、主题、内容、方法等。</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2）阐释与展示结构：根据阐释与展示策划，构建展示空间关系，包括展示分区、展示流线、重要节点等。</w:t>
      </w:r>
    </w:p>
    <w:p>
      <w:pPr>
        <w:autoSpaceDE w:val="0"/>
        <w:autoSpaceDN w:val="0"/>
        <w:adjustRightInd w:val="0"/>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（2）</w:t>
      </w:r>
      <w:r>
        <w:rPr>
          <w:rFonts w:hint="eastAsia" w:ascii="宋体" w:hAnsi="宋体" w:eastAsia="宋体" w:cs="Times New Roman"/>
          <w:b/>
          <w:color w:val="auto"/>
          <w:sz w:val="24"/>
          <w:lang w:eastAsia="zh-CN"/>
        </w:rPr>
        <w:t>灵井“许昌人”考古遗址公园</w:t>
      </w:r>
      <w:r>
        <w:rPr>
          <w:rFonts w:hint="eastAsia" w:ascii="宋体" w:hAnsi="宋体" w:eastAsia="宋体" w:cs="Times New Roman"/>
          <w:b/>
          <w:color w:val="auto"/>
          <w:sz w:val="24"/>
        </w:rPr>
        <w:t>总体布局</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包括功能分区、交通组织、设施分布等内容。</w:t>
      </w:r>
    </w:p>
    <w:p>
      <w:pPr>
        <w:numPr>
          <w:ilvl w:val="0"/>
          <w:numId w:val="2"/>
        </w:numPr>
        <w:autoSpaceDE w:val="0"/>
        <w:autoSpaceDN w:val="0"/>
        <w:adjustRightInd w:val="0"/>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功能分区：包括遗址展示区、管理服务区、预留区等。规划区域内具有重要自然、人文社会资源的，划定专门的相关资源展示区。相关资源展示区符合相关行业规划保护要求，并与遗址展示区相协调。</w:t>
      </w:r>
      <w:r>
        <w:rPr>
          <w:rFonts w:hint="eastAsia" w:ascii="宋体" w:hAnsi="宋体" w:eastAsia="宋体" w:cs="Times New Roman"/>
          <w:color w:val="auto"/>
          <w:sz w:val="24"/>
          <w:lang w:eastAsia="zh-CN"/>
        </w:rPr>
        <w:t>其中：</w:t>
      </w:r>
    </w:p>
    <w:p>
      <w:pPr>
        <w:autoSpaceDE w:val="0"/>
        <w:autoSpaceDN w:val="0"/>
        <w:adjustRightInd w:val="0"/>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 xml:space="preserve">遗址展示区：是以遗址展示为主要功能的区域，仅限于空间位置、形制和内涵基本明确的遗迹分布区域。 </w:t>
      </w:r>
    </w:p>
    <w:p>
      <w:pPr>
        <w:autoSpaceDE w:val="0"/>
        <w:autoSpaceDN w:val="0"/>
        <w:adjustRightInd w:val="0"/>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 xml:space="preserve">管理服务区：是集中建设管理运营、公共服务等设施为主的区域，一般应置于遗址保护范围之外。 </w:t>
      </w:r>
    </w:p>
    <w:p>
      <w:pPr>
        <w:autoSpaceDE w:val="0"/>
        <w:autoSpaceDN w:val="0"/>
        <w:adjustRightInd w:val="0"/>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预留区：是考古工作不充分或暂不具备展示条件的区域。预留区内以原状保护为主，不得开展干扰遗址本体及景观环境的建设项目。</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2）交通组织：坚持最小干预原则，根据阐释与展示结构，合理体现灵井</w:t>
      </w:r>
      <w:r>
        <w:rPr>
          <w:rFonts w:hint="eastAsia" w:ascii="宋体" w:hAnsi="宋体" w:eastAsia="宋体" w:cs="Times New Roman"/>
          <w:color w:val="auto"/>
          <w:sz w:val="24"/>
          <w:lang w:eastAsia="zh-CN"/>
        </w:rPr>
        <w:t>“许昌人”</w:t>
      </w:r>
      <w:r>
        <w:rPr>
          <w:rFonts w:hint="eastAsia" w:ascii="宋体" w:hAnsi="宋体" w:eastAsia="宋体" w:cs="Times New Roman"/>
          <w:color w:val="auto"/>
          <w:sz w:val="24"/>
        </w:rPr>
        <w:t>遗址整体布局并组织交通系统，保证灵井</w:t>
      </w:r>
      <w:r>
        <w:rPr>
          <w:rFonts w:hint="eastAsia" w:ascii="宋体" w:hAnsi="宋体" w:eastAsia="宋体" w:cs="Times New Roman"/>
          <w:color w:val="auto"/>
          <w:sz w:val="24"/>
          <w:lang w:eastAsia="zh-CN"/>
        </w:rPr>
        <w:t>“许昌人”</w:t>
      </w:r>
      <w:r>
        <w:rPr>
          <w:rFonts w:hint="eastAsia" w:ascii="宋体" w:hAnsi="宋体" w:eastAsia="宋体" w:cs="Times New Roman"/>
          <w:color w:val="auto"/>
          <w:sz w:val="24"/>
        </w:rPr>
        <w:t>遗址展示区的可达性和</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服务质量。严格控制</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内入口、集散广场与停车场的规模，妥善处理新建路网与灵井</w:t>
      </w:r>
      <w:r>
        <w:rPr>
          <w:rFonts w:hint="eastAsia" w:ascii="宋体" w:hAnsi="宋体" w:eastAsia="宋体" w:cs="Times New Roman"/>
          <w:color w:val="auto"/>
          <w:sz w:val="24"/>
          <w:lang w:eastAsia="zh-CN"/>
        </w:rPr>
        <w:t>“许昌人”</w:t>
      </w:r>
      <w:r>
        <w:rPr>
          <w:rFonts w:hint="eastAsia" w:ascii="宋体" w:hAnsi="宋体" w:eastAsia="宋体" w:cs="Times New Roman"/>
          <w:color w:val="auto"/>
          <w:sz w:val="24"/>
        </w:rPr>
        <w:t>遗址的关系。其中主要内容有：</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进行出入口设计，确定游人主、次和专用出入口，及出入口内外集散广场与停车场的位置、布局与规模要求。</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路网设计优先考虑灵井</w:t>
      </w:r>
      <w:r>
        <w:rPr>
          <w:rFonts w:hint="eastAsia" w:ascii="宋体" w:hAnsi="宋体" w:eastAsia="宋体" w:cs="Times New Roman"/>
          <w:color w:val="auto"/>
          <w:sz w:val="24"/>
          <w:lang w:eastAsia="zh-CN"/>
        </w:rPr>
        <w:t>“许昌人”考古</w:t>
      </w:r>
      <w:r>
        <w:rPr>
          <w:rFonts w:hint="eastAsia" w:ascii="宋体" w:hAnsi="宋体" w:eastAsia="宋体" w:cs="Times New Roman"/>
          <w:color w:val="auto"/>
          <w:sz w:val="24"/>
        </w:rPr>
        <w:t>遗址</w:t>
      </w:r>
      <w:r>
        <w:rPr>
          <w:rFonts w:hint="eastAsia" w:ascii="宋体" w:hAnsi="宋体" w:eastAsia="宋体" w:cs="Times New Roman"/>
          <w:color w:val="auto"/>
          <w:sz w:val="24"/>
          <w:lang w:eastAsia="zh-CN"/>
        </w:rPr>
        <w:t>公园</w:t>
      </w:r>
      <w:r>
        <w:rPr>
          <w:rFonts w:hint="eastAsia" w:ascii="宋体" w:hAnsi="宋体" w:eastAsia="宋体" w:cs="Times New Roman"/>
          <w:color w:val="auto"/>
          <w:sz w:val="24"/>
        </w:rPr>
        <w:t>布局和道路体系，并根据各分区的活动内容、游人容量和管理需要确定具体路线、分类分级、交通设施配备，明确道路形制与铺装特色等。</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主要道路应设计引导游览标示牌，易于识别方向。</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3）设施分布：满足最低功能需求为原则，严格控制设施数量和规模，淡化设计，确保灵井</w:t>
      </w:r>
      <w:r>
        <w:rPr>
          <w:rFonts w:hint="eastAsia" w:ascii="宋体" w:hAnsi="宋体" w:eastAsia="宋体" w:cs="Times New Roman"/>
          <w:color w:val="auto"/>
          <w:sz w:val="24"/>
          <w:lang w:eastAsia="zh-CN"/>
        </w:rPr>
        <w:t>“许昌人”</w:t>
      </w:r>
      <w:r>
        <w:rPr>
          <w:rFonts w:hint="eastAsia" w:ascii="宋体" w:hAnsi="宋体" w:eastAsia="宋体" w:cs="Times New Roman"/>
          <w:color w:val="auto"/>
          <w:sz w:val="24"/>
        </w:rPr>
        <w:t>遗址本体和周边环境的真实性和完整性。落实策划阶段所需展陈、标识、管理设施，并结合游客需求合理配置公共服务设施，合理确定各类设施的数量、规模与位置。</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展陈设施：包括现场保护展示设施、遗址博物馆或陈列馆、考古工作站等。根据实际保护展示需求及文物保护规划要求，合理选择展示方式并设置展示建构筑物等展示设施，根据功能需求科学测算具体的建筑技术经济指标。</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标识设施：包括标识牌、解说牌等。根据相关规划中的阐释与展示体系要求，配合展示方式组织与展陈设施设置，明确标识系统的阐释内容、标识位置、方式与样式等。</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管理设施：包括</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管理中心、管理用房、安全防护设施等。管理设施结合遗址博物馆或陈列馆等展陈设施、公共服务设施统筹考虑，严格控制设施数量和规模。根据</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管理需要，合理确定管理设施的功能、位置、体量、建筑风格等。</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公共服务设施：包括游客服务中心、商亭、厕所、观景亭、停车场、换乘点、垃圾桶、座椅等。根据游客容量、</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建设规模和服务需求，以满足最低功能需求为原则，确定公共服务设施种类、数量、位置与规模等。</w:t>
      </w:r>
    </w:p>
    <w:p>
      <w:pPr>
        <w:autoSpaceDE w:val="0"/>
        <w:autoSpaceDN w:val="0"/>
        <w:adjustRightInd w:val="0"/>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（3）总体景观控制</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包括景观空间布局、建构筑物风貌控制、公共环境塑造等。</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1）景观空间布局：从总体上把握、提炼符合灵井</w:t>
      </w:r>
      <w:r>
        <w:rPr>
          <w:rFonts w:hint="eastAsia" w:ascii="宋体" w:hAnsi="宋体" w:eastAsia="宋体" w:cs="Times New Roman"/>
          <w:color w:val="auto"/>
          <w:sz w:val="24"/>
          <w:lang w:eastAsia="zh-CN"/>
        </w:rPr>
        <w:t>“许昌人”</w:t>
      </w:r>
      <w:r>
        <w:rPr>
          <w:rFonts w:hint="eastAsia" w:ascii="宋体" w:hAnsi="宋体" w:eastAsia="宋体" w:cs="Times New Roman"/>
          <w:color w:val="auto"/>
          <w:sz w:val="24"/>
        </w:rPr>
        <w:t>遗址演变规律的景观特征，以及遗址周边自然资源特色，防止过度人工化，并区别于一般城市公园。按照遗迹的分布特征规划</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整体空间架构。</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2）建构筑物风貌控制：提出建构筑物的风格、体量、规模、立面及建筑语汇等控制要求。</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3）公共环境塑造：提出必要的环境设施的控制要求和设计原则，以及</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整体氛围、游客秩序、园内各类经营行为的控制要求。</w:t>
      </w:r>
    </w:p>
    <w:p>
      <w:pPr>
        <w:autoSpaceDE w:val="0"/>
        <w:autoSpaceDN w:val="0"/>
        <w:adjustRightInd w:val="0"/>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（4）专项规划</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根据</w:t>
      </w:r>
      <w:r>
        <w:rPr>
          <w:rFonts w:hint="eastAsia" w:ascii="宋体" w:hAnsi="宋体" w:eastAsia="宋体" w:cs="Times New Roman"/>
          <w:color w:val="auto"/>
          <w:sz w:val="24"/>
          <w:lang w:eastAsia="zh-CN"/>
        </w:rPr>
        <w:t>灵井“许昌人”考古遗址</w:t>
      </w:r>
      <w:r>
        <w:rPr>
          <w:rFonts w:hint="eastAsia" w:ascii="宋体" w:hAnsi="宋体" w:eastAsia="宋体" w:cs="Times New Roman"/>
          <w:color w:val="auto"/>
          <w:sz w:val="24"/>
        </w:rPr>
        <w:t>公园具体情况，制定必要的专项规划内容，包括考古与研究实施方案、管理运营规划、基础设施规划、竖向规划、综合防灾规划。</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1）考古与研究实施方案</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考古与研究实施方案，以</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为主要工作区域，明确</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规划范围内的考古工作目标、任务、研究课题等。</w:t>
      </w:r>
    </w:p>
    <w:p>
      <w:pPr>
        <w:autoSpaceDE w:val="0"/>
        <w:autoSpaceDN w:val="0"/>
        <w:adjustRightInd w:val="0"/>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lang w:val="en-US" w:eastAsia="zh-CN"/>
        </w:rPr>
        <w:t>2）</w:t>
      </w:r>
      <w:r>
        <w:rPr>
          <w:rFonts w:hint="eastAsia" w:ascii="宋体" w:hAnsi="宋体" w:eastAsia="宋体" w:cs="Times New Roman"/>
          <w:color w:val="auto"/>
          <w:sz w:val="24"/>
          <w:lang w:eastAsia="zh-CN"/>
        </w:rPr>
        <w:t>业态规划</w:t>
      </w:r>
    </w:p>
    <w:p>
      <w:pPr>
        <w:autoSpaceDE w:val="0"/>
        <w:autoSpaceDN w:val="0"/>
        <w:adjustRightInd w:val="0"/>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根据已确立的业态体系，结合外部条件和未来发展趋势，对新兴业态培育进行规划，即在传统业态的基础上，通过鼓励、整合、提炼、延伸等手段，培育新兴业态，丰富和完善业态类型，以适用的文化旅游业态体系引导产品策划与落地，最终形成集多重功能于一体的业态聚合聚集形式和载体。包括业态的选择、布局、设计、实施、管理、运营等的规划。</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lang w:val="en-US" w:eastAsia="zh-CN"/>
        </w:rPr>
        <w:t>3）</w:t>
      </w:r>
      <w:r>
        <w:rPr>
          <w:rFonts w:hint="eastAsia" w:ascii="宋体" w:hAnsi="宋体" w:eastAsia="宋体" w:cs="Times New Roman"/>
          <w:color w:val="auto"/>
          <w:sz w:val="24"/>
        </w:rPr>
        <w:t>管理运营规划</w:t>
      </w:r>
    </w:p>
    <w:p>
      <w:pPr>
        <w:autoSpaceDE w:val="0"/>
        <w:autoSpaceDN w:val="0"/>
        <w:adjustRightInd w:val="0"/>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包括遗址公园管理架构、遗址公园运营模式、宣传教育计划。</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lang w:eastAsia="zh-CN"/>
        </w:rPr>
        <w:t>遗址公园</w:t>
      </w:r>
      <w:r>
        <w:rPr>
          <w:rFonts w:hint="eastAsia" w:ascii="宋体" w:hAnsi="宋体" w:eastAsia="宋体" w:cs="Times New Roman"/>
          <w:color w:val="auto"/>
          <w:sz w:val="24"/>
        </w:rPr>
        <w:t>管理架构：在与</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所在地相关行政管理部门充分沟通的基础上，制定</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运营管理的目标、战略和架构，明确</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管理机构的设置、人员、制度等构想。</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lang w:eastAsia="zh-CN"/>
        </w:rPr>
        <w:t>遗址公园</w:t>
      </w:r>
      <w:r>
        <w:rPr>
          <w:rFonts w:hint="eastAsia" w:ascii="宋体" w:hAnsi="宋体" w:eastAsia="宋体" w:cs="Times New Roman"/>
          <w:color w:val="auto"/>
          <w:sz w:val="24"/>
        </w:rPr>
        <w:t>运营模式：明确运营主体和运营机制，进行游客与市场分析，对</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建设、运营维护资金来源与回报（社会、经济综合效益）提出保障建议。</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宣传培训计划：明确宣传教育的目标、资源、主题等；制定工作人员的专业培训方案，明确培训方式和团队建设目标等。</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lang w:val="en-US" w:eastAsia="zh-CN"/>
        </w:rPr>
        <w:t>4</w:t>
      </w:r>
      <w:r>
        <w:rPr>
          <w:rFonts w:hint="eastAsia" w:ascii="宋体" w:hAnsi="宋体" w:eastAsia="宋体" w:cs="Times New Roman"/>
          <w:color w:val="auto"/>
          <w:sz w:val="24"/>
        </w:rPr>
        <w:t>）基础设施规划</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因</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范围较大、建设情况复杂并对原有基础设施管网改造较多，根据实际情况补充道路建设、电力电讯、给排水等基础设施专项规划。</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lang w:val="en-US" w:eastAsia="zh-CN"/>
        </w:rPr>
        <w:t>5</w:t>
      </w:r>
      <w:r>
        <w:rPr>
          <w:rFonts w:hint="eastAsia" w:ascii="宋体" w:hAnsi="宋体" w:eastAsia="宋体" w:cs="Times New Roman"/>
          <w:color w:val="auto"/>
          <w:sz w:val="24"/>
        </w:rPr>
        <w:t>）竖向规划</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根据遗址埋藏深度、灵井</w:t>
      </w:r>
      <w:r>
        <w:rPr>
          <w:rFonts w:hint="eastAsia" w:ascii="宋体" w:hAnsi="宋体" w:eastAsia="宋体" w:cs="Times New Roman"/>
          <w:color w:val="auto"/>
          <w:sz w:val="24"/>
          <w:lang w:eastAsia="zh-CN"/>
        </w:rPr>
        <w:t>“许昌人”</w:t>
      </w:r>
      <w:r>
        <w:rPr>
          <w:rFonts w:hint="eastAsia" w:ascii="宋体" w:hAnsi="宋体" w:eastAsia="宋体" w:cs="Times New Roman"/>
          <w:color w:val="auto"/>
          <w:sz w:val="24"/>
        </w:rPr>
        <w:t>遗址保护要求、</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场地自然状况、建设特点和使用需求等，在尽量保持原有地形地貌的情况下，标明场地控制点标高、排水坡度、坡向等，测算土方平衡等。</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lang w:val="en-US" w:eastAsia="zh-CN"/>
        </w:rPr>
        <w:t>6</w:t>
      </w:r>
      <w:r>
        <w:rPr>
          <w:rFonts w:hint="eastAsia" w:ascii="宋体" w:hAnsi="宋体" w:eastAsia="宋体" w:cs="Times New Roman"/>
          <w:color w:val="auto"/>
          <w:sz w:val="24"/>
        </w:rPr>
        <w:t>）综合防灾规划</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灵井</w:t>
      </w:r>
      <w:r>
        <w:rPr>
          <w:rFonts w:hint="eastAsia" w:ascii="宋体" w:hAnsi="宋体" w:eastAsia="宋体" w:cs="Times New Roman"/>
          <w:color w:val="auto"/>
          <w:sz w:val="24"/>
          <w:lang w:eastAsia="zh-CN"/>
        </w:rPr>
        <w:t>“许昌人”</w:t>
      </w:r>
      <w:r>
        <w:rPr>
          <w:rFonts w:hint="eastAsia" w:ascii="宋体" w:hAnsi="宋体" w:eastAsia="宋体" w:cs="Times New Roman"/>
          <w:color w:val="auto"/>
          <w:sz w:val="24"/>
        </w:rPr>
        <w:t>遗址安全防范情况复杂，根据实际灾害因素制定综合防灾规划，包括防洪、防震、防火、防盗、防雷规划等。并根据主要灾害因素，按照相关标准合理确定灾害防治和避险的标准，提出防治措施及应急预案。</w:t>
      </w:r>
    </w:p>
    <w:p>
      <w:pPr>
        <w:autoSpaceDE w:val="0"/>
        <w:autoSpaceDN w:val="0"/>
        <w:adjustRightInd w:val="0"/>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（5）节点设计</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1）在总体设计的指导下，科学选择</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重要节点进行概念性方案设计。节点选择包括</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主要遗址展示节点、景观节点、主要出入口、重要交通节点、重要设施等。</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2）节点概念性设计包括节点总平面设计、三维形象示意、建设控制要求。</w:t>
      </w:r>
    </w:p>
    <w:p>
      <w:pPr>
        <w:autoSpaceDE w:val="0"/>
        <w:autoSpaceDN w:val="0"/>
        <w:adjustRightInd w:val="0"/>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（6）投资估算</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根据规划内容，提出</w:t>
      </w:r>
      <w:r>
        <w:rPr>
          <w:rFonts w:hint="eastAsia" w:ascii="宋体" w:hAnsi="宋体" w:eastAsia="宋体" w:cs="Times New Roman"/>
          <w:color w:val="auto"/>
          <w:sz w:val="24"/>
          <w:lang w:eastAsia="zh-CN"/>
        </w:rPr>
        <w:t>灵井“许昌人”考古遗址公园</w:t>
      </w:r>
      <w:r>
        <w:rPr>
          <w:rFonts w:hint="eastAsia" w:ascii="宋体" w:hAnsi="宋体" w:eastAsia="宋体" w:cs="Times New Roman"/>
          <w:color w:val="auto"/>
          <w:sz w:val="24"/>
        </w:rPr>
        <w:t>相关项目实施的投资估算。</w:t>
      </w:r>
    </w:p>
    <w:p>
      <w:pPr>
        <w:autoSpaceDE w:val="0"/>
        <w:autoSpaceDN w:val="0"/>
        <w:adjustRightInd w:val="0"/>
        <w:spacing w:beforeLines="50"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第二部分：规划图纸</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01、区位图：标明</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遗址公园所在地在国家、省、市等不同行政辖区的位置、所涉及的行政区划关系。</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lang w:val="en-US" w:eastAsia="zh-CN"/>
        </w:rPr>
        <w:t>02、</w:t>
      </w:r>
      <w:r>
        <w:rPr>
          <w:rFonts w:hint="eastAsia" w:ascii="宋体" w:hAnsi="宋体" w:eastAsia="宋体" w:cs="Times New Roman"/>
          <w:color w:val="auto"/>
          <w:sz w:val="24"/>
        </w:rPr>
        <w:t>遗址公园范围图：在标准地形地图上划定</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遗址公园范围及规划范围，明确边界和坐标点。</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03、遗存分布图：根据最新考古工作成果标明</w:t>
      </w:r>
      <w:r>
        <w:rPr>
          <w:rFonts w:hint="eastAsia" w:ascii="宋体" w:hAnsi="宋体" w:eastAsia="宋体" w:cs="Times New Roman"/>
          <w:color w:val="auto"/>
          <w:sz w:val="24"/>
          <w:lang w:eastAsia="zh-CN"/>
        </w:rPr>
        <w:t>灵井“许昌人”</w:t>
      </w:r>
      <w:r>
        <w:rPr>
          <w:rFonts w:hint="eastAsia" w:ascii="宋体" w:hAnsi="宋体" w:eastAsia="宋体" w:cs="Times New Roman"/>
          <w:color w:val="auto"/>
          <w:sz w:val="24"/>
        </w:rPr>
        <w:t>遗址的各类遗存分布情况，及其与</w:t>
      </w:r>
      <w:r>
        <w:rPr>
          <w:rFonts w:hint="eastAsia" w:ascii="宋体" w:hAnsi="宋体" w:eastAsia="宋体" w:cs="Times New Roman"/>
          <w:color w:val="auto"/>
          <w:sz w:val="24"/>
          <w:lang w:eastAsia="zh-CN"/>
        </w:rPr>
        <w:t>考古</w:t>
      </w:r>
      <w:r>
        <w:rPr>
          <w:rFonts w:hint="eastAsia" w:ascii="宋体" w:hAnsi="宋体" w:eastAsia="宋体" w:cs="Times New Roman"/>
          <w:color w:val="auto"/>
          <w:sz w:val="24"/>
        </w:rPr>
        <w:t>遗址公园规划范围的关系。</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04、文物资源分析图：分类或分级表达文物资源保存、保护和利用现状，通过系列图纸表达（系列图纸表达）。</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05、区位条件分析图：标明</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遗址公园的外部交通条件、周边环境情况、周边基础设施分布等（系列图纸表达）。</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06、社会条件分析图：标明</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遗址公园所处区域周边相关社会资源分布、现状及与遗址间的空间关系。</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07、环境条件分析图：标明</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遗址公园所处区域周边自然资源分布，地貌特征，以及建筑、道路、植被等环境要素。</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08、土地利用现状图：标明</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遗址公园规划范围内的土地利用现状，提供现状用地统计。</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09、考古和科研条件分析图：标明</w:t>
      </w:r>
      <w:r>
        <w:rPr>
          <w:rFonts w:hint="eastAsia" w:ascii="宋体" w:hAnsi="宋体" w:eastAsia="宋体" w:cs="Times New Roman"/>
          <w:color w:val="auto"/>
          <w:sz w:val="24"/>
          <w:lang w:eastAsia="zh-CN"/>
        </w:rPr>
        <w:t>灵井“许昌人”</w:t>
      </w:r>
      <w:r>
        <w:rPr>
          <w:rFonts w:hint="eastAsia" w:ascii="宋体" w:hAnsi="宋体" w:eastAsia="宋体" w:cs="Times New Roman"/>
          <w:color w:val="auto"/>
          <w:sz w:val="24"/>
        </w:rPr>
        <w:t>遗址已开展考古工作的区域、历次考古工作成果、待开展考古工作的区域和实施计划。</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遗址公园范围内的地下遗迹分布图等。</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10、管理条件分析图：标明</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遗址公园现行保护区划范围、已实施的各类规划措施、现有管理和展示设施分布与规模、开放展示区域与游客服务设施等（系列图纸表达）。</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11、相关规划分析图：标明本区域涉及的其他相关规划以及涉及</w:t>
      </w:r>
      <w:r>
        <w:rPr>
          <w:rFonts w:hint="eastAsia" w:ascii="宋体" w:hAnsi="宋体" w:eastAsia="宋体" w:cs="Times New Roman"/>
          <w:color w:val="auto"/>
          <w:sz w:val="24"/>
          <w:lang w:eastAsia="zh-CN"/>
        </w:rPr>
        <w:t>考古</w:t>
      </w:r>
      <w:r>
        <w:rPr>
          <w:rFonts w:hint="eastAsia" w:ascii="宋体" w:hAnsi="宋体" w:eastAsia="宋体" w:cs="Times New Roman"/>
          <w:color w:val="auto"/>
          <w:sz w:val="24"/>
        </w:rPr>
        <w:t>遗址公园的相关要求、计划实施的建设项目情况等。</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12、阐释与展示规划图：根据展示与阐释体系规划，表达阐释与展示结构，标明展示分区、展示流线及重要节点分布。</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13、总平面图：在准确标识考古遗址现状的基础上清晰表达</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遗址公园规划范围内的主要规划内容，如主要展示对象、道路交通、设施分布等。</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14、功能分区图：标明</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遗址公园的遗址展示区、管理服务区、预留区等功能分区的位置、范围、面积。</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15、展示与标识系统设计图：标明</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遗址公园展示流线、各类展示方式组织与分布、博物馆等展示设施分布、各类标识分布与样式。</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16、交通组织规划图：在准确表达各类遗迹的基础上，标明</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遗址公园的主、次及专用出入口位置，停车场、出入口内外集散广场范围及规模，各级道路分布及交通设施配备。</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17、设施分布图：标明各类设施的位置与规模。</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18、景观空间布局图：表达景观文化特征及自然资源特色分析过程，标明</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遗址公园整体空间架构。</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19、建构筑物风貌控制图：从风格、体量、规模、立面及建筑语汇等方面表达建构筑物景观风貌控制。</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20、公共环境景观示意图：通过景观示意图表达对重要环境设施（标识设施、雕塑小品、环卫设施、广告等）、夜景照明、绿化景观的控制要求和设计原则。</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21、专项规划图：根据</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遗址公园具体情况，单独绘制考古与研究实施方案图、管理运营规划图、基础设施规划图、竖向规划图、综合防灾规划图等专项规划图纸。</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22、节点设计图：绘制节点总平面图、三维形象示意总图，清晰表达节点设计的全部内容，遗址展示节点注明遗址本体保护与展示措施及建设控制要求。</w:t>
      </w:r>
    </w:p>
    <w:p>
      <w:pPr>
        <w:autoSpaceDE w:val="0"/>
        <w:autoSpaceDN w:val="0"/>
        <w:adjustRightInd w:val="0"/>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23、鸟瞰图及表达设计意向的三维示意图：</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遗址公园全景鸟瞰图；重要节点鸟瞰或人视效果图；展示设施、配套设施等建筑的形象示意图；雕塑小品、环卫设施等的形象示意图。</w:t>
      </w:r>
    </w:p>
    <w:p>
      <w:pPr>
        <w:autoSpaceDE w:val="0"/>
        <w:autoSpaceDN w:val="0"/>
        <w:adjustRightInd w:val="0"/>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24、</w:t>
      </w:r>
      <w:r>
        <w:rPr>
          <w:rFonts w:hint="eastAsia" w:ascii="宋体" w:hAnsi="宋体" w:eastAsia="宋体" w:cs="Times New Roman"/>
          <w:color w:val="auto"/>
          <w:sz w:val="24"/>
        </w:rPr>
        <w:t xml:space="preserve">规划图纸绘制要求： </w:t>
      </w:r>
    </w:p>
    <w:p>
      <w:pPr>
        <w:autoSpaceDE w:val="0"/>
        <w:autoSpaceDN w:val="0"/>
        <w:adjustRightInd w:val="0"/>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（1）</w:t>
      </w:r>
      <w:r>
        <w:rPr>
          <w:rFonts w:hint="eastAsia" w:ascii="宋体" w:hAnsi="宋体" w:eastAsia="宋体" w:cs="Times New Roman"/>
          <w:color w:val="auto"/>
          <w:sz w:val="24"/>
          <w:lang w:eastAsia="zh-CN"/>
        </w:rPr>
        <w:t>灵井“许昌人”考古</w:t>
      </w:r>
      <w:r>
        <w:rPr>
          <w:rFonts w:hint="eastAsia" w:ascii="宋体" w:hAnsi="宋体" w:eastAsia="宋体" w:cs="Times New Roman"/>
          <w:color w:val="auto"/>
          <w:sz w:val="24"/>
        </w:rPr>
        <w:t>遗址公园规划总平面图应根据实际面积决定可操作的比例尺度，原则上应在不小于1：1000精度地形图基础上绘制，总平面图比例尺为1:500—1:2000。</w:t>
      </w:r>
    </w:p>
    <w:p>
      <w:pPr>
        <w:autoSpaceDE w:val="0"/>
        <w:autoSpaceDN w:val="0"/>
        <w:adjustRightInd w:val="0"/>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2</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节点设计平面图比例尺为1：100—1：500。 　　</w:t>
      </w:r>
    </w:p>
    <w:p>
      <w:pPr>
        <w:autoSpaceDE w:val="0"/>
        <w:autoSpaceDN w:val="0"/>
        <w:adjustRightInd w:val="0"/>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3</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规划图纸中需标注图名、比例尺、指北针、图例、规划单位名称、绘制时间。</w:t>
      </w:r>
    </w:p>
    <w:p>
      <w:pPr>
        <w:autoSpaceDE w:val="0"/>
        <w:autoSpaceDN w:val="0"/>
        <w:adjustRightInd w:val="0"/>
        <w:spacing w:beforeLines="50" w:line="360" w:lineRule="auto"/>
        <w:ind w:firstLine="482" w:firstLineChars="200"/>
        <w:rPr>
          <w:rFonts w:hint="eastAsia" w:ascii="宋体" w:hAnsi="宋体" w:eastAsia="宋体" w:cs="Times New Roman"/>
          <w:b/>
          <w:color w:val="auto"/>
          <w:sz w:val="24"/>
        </w:rPr>
      </w:pPr>
      <w:r>
        <w:rPr>
          <w:rFonts w:hint="eastAsia" w:ascii="宋体" w:hAnsi="宋体" w:eastAsia="宋体" w:cs="Times New Roman"/>
          <w:b/>
          <w:color w:val="auto"/>
          <w:sz w:val="24"/>
        </w:rPr>
        <w:t>第三部分：</w:t>
      </w:r>
      <w:r>
        <w:rPr>
          <w:rFonts w:hint="eastAsia" w:ascii="宋体" w:hAnsi="宋体" w:eastAsia="宋体" w:cs="Times New Roman"/>
          <w:b/>
          <w:color w:val="auto"/>
          <w:sz w:val="24"/>
          <w:lang w:eastAsia="zh-CN"/>
        </w:rPr>
        <w:t>遗址规划区地形图测绘</w:t>
      </w:r>
    </w:p>
    <w:p>
      <w:pPr>
        <w:autoSpaceDE w:val="0"/>
        <w:autoSpaceDN w:val="0"/>
        <w:adjustRightInd w:val="0"/>
        <w:spacing w:beforeLines="50" w:line="360" w:lineRule="auto"/>
        <w:ind w:firstLine="480" w:firstLineChars="200"/>
        <w:rPr>
          <w:rFonts w:hint="eastAsia" w:ascii="宋体" w:hAnsi="宋体" w:eastAsia="宋体" w:cs="Times New Roman"/>
          <w:b/>
          <w:color w:val="auto"/>
          <w:sz w:val="24"/>
          <w:lang w:eastAsia="zh-CN"/>
        </w:rPr>
      </w:pPr>
      <w:r>
        <w:rPr>
          <w:rFonts w:hint="eastAsia" w:ascii="宋体" w:hAnsi="宋体" w:eastAsia="宋体" w:cs="Times New Roman"/>
          <w:color w:val="auto"/>
          <w:sz w:val="24"/>
          <w:lang w:eastAsia="zh-CN"/>
        </w:rPr>
        <w:t>中标单位需完成规划图纸绘制要求所需的灵井“许昌人”考古</w:t>
      </w:r>
      <w:r>
        <w:rPr>
          <w:rFonts w:hint="eastAsia" w:ascii="宋体" w:hAnsi="宋体" w:eastAsia="宋体" w:cs="Times New Roman"/>
          <w:color w:val="auto"/>
          <w:sz w:val="24"/>
        </w:rPr>
        <w:t>遗址公园</w:t>
      </w:r>
      <w:r>
        <w:rPr>
          <w:rFonts w:hint="eastAsia" w:ascii="宋体" w:hAnsi="宋体" w:eastAsia="宋体" w:cs="Times New Roman"/>
          <w:color w:val="auto"/>
          <w:sz w:val="24"/>
          <w:lang w:eastAsia="zh-CN"/>
        </w:rPr>
        <w:t>规划区及周边建设控制地带区域的地形图测绘。测量范围约418公顷，采用全野外地形数据采集与编辑，根据规划编制需要提供</w:t>
      </w:r>
      <w:r>
        <w:rPr>
          <w:rFonts w:hint="eastAsia" w:ascii="宋体" w:hAnsi="宋体" w:eastAsia="宋体" w:cs="Times New Roman"/>
          <w:color w:val="auto"/>
          <w:sz w:val="24"/>
          <w:lang w:val="en-US" w:eastAsia="zh-CN"/>
        </w:rPr>
        <w:t>1：100、1：200、1：500、1：1000等地形图。</w:t>
      </w:r>
    </w:p>
    <w:p>
      <w:pPr>
        <w:autoSpaceDE w:val="0"/>
        <w:autoSpaceDN w:val="0"/>
        <w:adjustRightInd w:val="0"/>
        <w:spacing w:beforeLines="50"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lang w:eastAsia="zh-CN"/>
        </w:rPr>
        <w:t>第四部分：</w:t>
      </w:r>
      <w:r>
        <w:rPr>
          <w:rFonts w:hint="eastAsia" w:ascii="宋体" w:hAnsi="宋体" w:eastAsia="宋体" w:cs="Times New Roman"/>
          <w:b/>
          <w:color w:val="auto"/>
          <w:sz w:val="24"/>
        </w:rPr>
        <w:t>附件</w:t>
      </w:r>
    </w:p>
    <w:p>
      <w:pPr>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01、以往考古与研究成果。本次重点考古勘探成果。</w:t>
      </w:r>
    </w:p>
    <w:p>
      <w:pPr>
        <w:autoSpaceDE w:val="0"/>
        <w:autoSpaceDN w:val="0"/>
        <w:adjustRightInd w:val="0"/>
        <w:spacing w:beforeLines="50"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02、地方政府关于</w:t>
      </w:r>
      <w:r>
        <w:rPr>
          <w:rFonts w:hint="eastAsia" w:ascii="宋体" w:hAnsi="宋体" w:eastAsia="宋体" w:cs="Times New Roman"/>
          <w:color w:val="auto"/>
          <w:sz w:val="24"/>
          <w:lang w:eastAsia="zh-CN"/>
        </w:rPr>
        <w:t>考古遗址</w:t>
      </w:r>
      <w:r>
        <w:rPr>
          <w:rFonts w:hint="eastAsia" w:ascii="宋体" w:hAnsi="宋体" w:eastAsia="宋体" w:cs="Times New Roman"/>
          <w:color w:val="auto"/>
          <w:sz w:val="24"/>
        </w:rPr>
        <w:t>公园立项、建设与管理的相关文件或要求。</w:t>
      </w:r>
    </w:p>
    <w:p>
      <w:pPr>
        <w:autoSpaceDE w:val="0"/>
        <w:autoSpaceDN w:val="0"/>
        <w:adjustRightInd w:val="0"/>
        <w:spacing w:beforeLines="50" w:line="360" w:lineRule="auto"/>
        <w:ind w:firstLine="480" w:firstLineChars="200"/>
        <w:rPr>
          <w:color w:val="auto"/>
        </w:rPr>
      </w:pPr>
      <w:r>
        <w:rPr>
          <w:rFonts w:hint="eastAsia" w:ascii="宋体" w:hAnsi="宋体" w:eastAsia="宋体" w:cs="Times New Roman"/>
          <w:color w:val="auto"/>
          <w:sz w:val="24"/>
        </w:rPr>
        <w:t>03、保护规划摘要内容，已实施的保护工程及竣工报告，所在地土地利用、城乡建设、重大基础设施建设等相关规划的有关要求和规定等内容；已批复公布的遗址文物保护规划总图，并标注遗址公园规划范围、分区与文物保护区划的关系，文物保护措施图、展示规划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720" w:firstLineChars="300"/>
        <w:jc w:val="both"/>
        <w:textAlignment w:val="auto"/>
        <w:rPr>
          <w:rFonts w:hint="eastAsia" w:ascii="宋体" w:hAnsi="宋体" w:eastAsia="宋体" w:cs="宋体"/>
          <w:color w:val="auto"/>
          <w:sz w:val="24"/>
          <w:szCs w:val="24"/>
          <w:u w:val="none"/>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Garamond">
    <w:panose1 w:val="02020502050306020203"/>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ËÎÌå">
    <w:altName w:val="Arial"/>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Vrinda">
    <w:panose1 w:val="020B0502040204020203"/>
    <w:charset w:val="01"/>
    <w:family w:val="roman"/>
    <w:pitch w:val="default"/>
    <w:sig w:usb0="00010003" w:usb1="00000000" w:usb2="00000000" w:usb3="00000000" w:csb0="00000001" w:csb1="00000000"/>
  </w:font>
  <w:font w:name="����">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CF23B"/>
    <w:multiLevelType w:val="singleLevel"/>
    <w:tmpl w:val="59ACF23B"/>
    <w:lvl w:ilvl="0" w:tentative="0">
      <w:start w:val="1"/>
      <w:numFmt w:val="decimal"/>
      <w:suff w:val="nothing"/>
      <w:lvlText w:val="(%1)"/>
      <w:lvlJc w:val="left"/>
    </w:lvl>
  </w:abstractNum>
  <w:abstractNum w:abstractNumId="1">
    <w:nsid w:val="59B10866"/>
    <w:multiLevelType w:val="singleLevel"/>
    <w:tmpl w:val="59B1086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E759D"/>
    <w:rsid w:val="00B97778"/>
    <w:rsid w:val="017834F3"/>
    <w:rsid w:val="01A73A51"/>
    <w:rsid w:val="044D67B5"/>
    <w:rsid w:val="050530A8"/>
    <w:rsid w:val="060C6E37"/>
    <w:rsid w:val="06802C52"/>
    <w:rsid w:val="0808478D"/>
    <w:rsid w:val="0C8D1BF9"/>
    <w:rsid w:val="0E586469"/>
    <w:rsid w:val="103E4B1A"/>
    <w:rsid w:val="11C51CC2"/>
    <w:rsid w:val="140A28C3"/>
    <w:rsid w:val="19CF6CB2"/>
    <w:rsid w:val="1BAF6A66"/>
    <w:rsid w:val="255D1EC0"/>
    <w:rsid w:val="26EA35AE"/>
    <w:rsid w:val="26ED727B"/>
    <w:rsid w:val="2E7773B8"/>
    <w:rsid w:val="356B61DB"/>
    <w:rsid w:val="3A8A2A6C"/>
    <w:rsid w:val="3DDB4562"/>
    <w:rsid w:val="3F1F26AF"/>
    <w:rsid w:val="3FA06E9B"/>
    <w:rsid w:val="47FE28ED"/>
    <w:rsid w:val="526673D8"/>
    <w:rsid w:val="58B0307C"/>
    <w:rsid w:val="5A7A3999"/>
    <w:rsid w:val="604229CA"/>
    <w:rsid w:val="63F865B7"/>
    <w:rsid w:val="6476704A"/>
    <w:rsid w:val="653A64BA"/>
    <w:rsid w:val="665E39F6"/>
    <w:rsid w:val="67CC096F"/>
    <w:rsid w:val="6A5C0382"/>
    <w:rsid w:val="6ADE759D"/>
    <w:rsid w:val="6CEC4EB0"/>
    <w:rsid w:val="6D1E06B8"/>
    <w:rsid w:val="6FAC1B25"/>
    <w:rsid w:val="79387A47"/>
    <w:rsid w:val="79A4611B"/>
    <w:rsid w:val="79B011C3"/>
    <w:rsid w:val="7B184B23"/>
    <w:rsid w:val="7C404F14"/>
    <w:rsid w:val="7CF230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7"/>
      <w:szCs w:val="27"/>
      <w:lang w:val="en-US" w:eastAsia="zh-CN" w:bidi="ar"/>
    </w:rPr>
  </w:style>
  <w:style w:type="character" w:default="1" w:styleId="4">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Emphasis"/>
    <w:basedOn w:val="4"/>
    <w:qFormat/>
    <w:uiPriority w:val="0"/>
  </w:style>
  <w:style w:type="character" w:styleId="8">
    <w:name w:val="Hyperlink"/>
    <w:basedOn w:val="4"/>
    <w:qFormat/>
    <w:uiPriority w:val="0"/>
    <w:rPr>
      <w:color w:val="000000"/>
      <w:u w:val="none"/>
    </w:rPr>
  </w:style>
  <w:style w:type="character" w:customStyle="1" w:styleId="10">
    <w:name w:val="gb-jt"/>
    <w:basedOn w:val="4"/>
    <w:qFormat/>
    <w:uiPriority w:val="0"/>
  </w:style>
  <w:style w:type="character" w:customStyle="1" w:styleId="11">
    <w:name w:val="green"/>
    <w:basedOn w:val="4"/>
    <w:qFormat/>
    <w:uiPriority w:val="0"/>
    <w:rPr>
      <w:color w:val="66AE00"/>
      <w:sz w:val="18"/>
      <w:szCs w:val="18"/>
    </w:rPr>
  </w:style>
  <w:style w:type="character" w:customStyle="1" w:styleId="12">
    <w:name w:val="green1"/>
    <w:basedOn w:val="4"/>
    <w:qFormat/>
    <w:uiPriority w:val="0"/>
    <w:rPr>
      <w:color w:val="66AE00"/>
      <w:sz w:val="18"/>
      <w:szCs w:val="18"/>
    </w:rPr>
  </w:style>
  <w:style w:type="character" w:customStyle="1" w:styleId="13">
    <w:name w:val="red"/>
    <w:basedOn w:val="4"/>
    <w:qFormat/>
    <w:uiPriority w:val="0"/>
    <w:rPr>
      <w:color w:val="FF0000"/>
      <w:sz w:val="18"/>
      <w:szCs w:val="18"/>
    </w:rPr>
  </w:style>
  <w:style w:type="character" w:customStyle="1" w:styleId="14">
    <w:name w:val="red1"/>
    <w:basedOn w:val="4"/>
    <w:qFormat/>
    <w:uiPriority w:val="0"/>
    <w:rPr>
      <w:color w:val="FF0000"/>
      <w:sz w:val="18"/>
      <w:szCs w:val="18"/>
    </w:rPr>
  </w:style>
  <w:style w:type="character" w:customStyle="1" w:styleId="15">
    <w:name w:val="hover24"/>
    <w:basedOn w:val="4"/>
    <w:qFormat/>
    <w:uiPriority w:val="0"/>
  </w:style>
  <w:style w:type="character" w:customStyle="1" w:styleId="16">
    <w:name w:val="blue"/>
    <w:basedOn w:val="4"/>
    <w:qFormat/>
    <w:uiPriority w:val="0"/>
    <w:rPr>
      <w:color w:val="0371C6"/>
      <w:sz w:val="21"/>
      <w:szCs w:val="21"/>
    </w:rPr>
  </w:style>
  <w:style w:type="character" w:customStyle="1" w:styleId="17">
    <w:name w:val="right"/>
    <w:basedOn w:val="4"/>
    <w:qFormat/>
    <w:uiPriority w:val="0"/>
    <w:rPr>
      <w:color w:val="999999"/>
    </w:rPr>
  </w:style>
  <w:style w:type="character" w:customStyle="1" w:styleId="18">
    <w:name w:val="gpa"/>
    <w:basedOn w:val="4"/>
    <w:qFormat/>
    <w:uiPriority w:val="0"/>
    <w:rPr>
      <w:rFonts w:ascii="Arial" w:hAnsi="Arial" w:cs="Arial"/>
      <w:sz w:val="15"/>
      <w:szCs w:val="15"/>
    </w:rPr>
  </w:style>
  <w:style w:type="character" w:customStyle="1" w:styleId="19">
    <w:name w:val="selected"/>
    <w:basedOn w:val="4"/>
    <w:qFormat/>
    <w:uiPriority w:val="0"/>
    <w:rPr>
      <w:shd w:val="clear" w:fill="B00006"/>
    </w:rPr>
  </w:style>
  <w:style w:type="character" w:customStyle="1" w:styleId="20">
    <w:name w:val="displayarti"/>
    <w:basedOn w:val="4"/>
    <w:qFormat/>
    <w:uiPriority w:val="0"/>
    <w:rPr>
      <w:color w:val="FFFFFF"/>
      <w:shd w:val="clear" w:fill="A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2017-09-04T01:15:00Z</dcterms:created>
  <dc:creator>Administrator</dc:creator>
  <cp:lastModifiedBy>许昌市公共资源交易中心:杨丹丹</cp:lastModifiedBy>
  <dcterms:modified xsi:type="dcterms:W3CDTF">2017-09-28T07:36:23Z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