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auto"/>
        <w:ind w:left="0" w:leftChars="0" w:right="0" w:rightChars="0"/>
        <w:jc w:val="center"/>
        <w:textAlignment w:val="auto"/>
        <w:rPr>
          <w:rFonts w:hint="eastAsia" w:ascii="黑体" w:hAnsi="宋体" w:eastAsia="黑体" w:cstheme="minorBidi"/>
          <w:b/>
          <w:kern w:val="2"/>
          <w:sz w:val="32"/>
          <w:szCs w:val="32"/>
          <w:lang w:val="en-US" w:eastAsia="zh-CN" w:bidi="ar-SA"/>
        </w:rPr>
      </w:pPr>
      <w:r>
        <w:rPr>
          <w:rFonts w:hint="eastAsia" w:ascii="黑体" w:hAnsi="宋体" w:eastAsia="黑体" w:cstheme="minorBidi"/>
          <w:b/>
          <w:kern w:val="2"/>
          <w:sz w:val="32"/>
          <w:szCs w:val="32"/>
          <w:lang w:val="en-US" w:eastAsia="zh-CN" w:bidi="ar-SA"/>
        </w:rPr>
        <w:t>YLZB-G2017</w:t>
      </w:r>
      <w:r>
        <w:rPr>
          <w:rFonts w:hint="eastAsia" w:ascii="黑体" w:eastAsia="黑体" w:cstheme="minorBidi"/>
          <w:b/>
          <w:kern w:val="2"/>
          <w:sz w:val="32"/>
          <w:szCs w:val="32"/>
          <w:lang w:val="en-US" w:eastAsia="zh-CN" w:bidi="ar-SA"/>
        </w:rPr>
        <w:t>021</w:t>
      </w:r>
      <w:r>
        <w:rPr>
          <w:rFonts w:hint="eastAsia" w:ascii="黑体" w:hAnsi="宋体" w:eastAsia="黑体" w:cstheme="minorBidi"/>
          <w:b/>
          <w:kern w:val="2"/>
          <w:sz w:val="32"/>
          <w:szCs w:val="32"/>
          <w:lang w:val="en-US" w:eastAsia="zh-CN" w:bidi="ar-SA"/>
        </w:rPr>
        <w:t>号禹州市妇幼保健院</w:t>
      </w:r>
      <w:r>
        <w:rPr>
          <w:rFonts w:hint="eastAsia" w:ascii="黑体" w:eastAsia="黑体" w:cstheme="minorBidi"/>
          <w:b/>
          <w:kern w:val="2"/>
          <w:sz w:val="32"/>
          <w:szCs w:val="32"/>
          <w:lang w:val="en-US" w:eastAsia="zh-CN" w:bidi="ar-SA"/>
        </w:rPr>
        <w:t>“</w:t>
      </w:r>
      <w:r>
        <w:rPr>
          <w:rFonts w:hint="eastAsia" w:ascii="黑体" w:hAnsi="宋体" w:eastAsia="黑体" w:cstheme="minorBidi"/>
          <w:b/>
          <w:kern w:val="2"/>
          <w:sz w:val="32"/>
          <w:szCs w:val="32"/>
          <w:lang w:val="en-US" w:eastAsia="zh-CN" w:bidi="ar-SA"/>
        </w:rPr>
        <w:t>所需全自动生化分析仪（进口）等医疗设备采购</w:t>
      </w:r>
      <w:r>
        <w:rPr>
          <w:rFonts w:hint="eastAsia" w:ascii="黑体" w:eastAsia="黑体" w:cstheme="minorBidi"/>
          <w:b/>
          <w:kern w:val="2"/>
          <w:sz w:val="32"/>
          <w:szCs w:val="32"/>
          <w:lang w:val="en-US" w:eastAsia="zh-CN" w:bidi="ar-SA"/>
        </w:rPr>
        <w:t>”</w:t>
      </w:r>
      <w:r>
        <w:rPr>
          <w:rFonts w:hint="eastAsia" w:ascii="黑体" w:hAnsi="宋体" w:eastAsia="黑体" w:cstheme="minorBidi"/>
          <w:b/>
          <w:kern w:val="2"/>
          <w:sz w:val="32"/>
          <w:szCs w:val="32"/>
          <w:lang w:val="en-US" w:eastAsia="zh-CN" w:bidi="ar-SA"/>
        </w:rPr>
        <w:t>项目</w:t>
      </w:r>
    </w:p>
    <w:p>
      <w:pPr>
        <w:autoSpaceDE w:val="0"/>
        <w:autoSpaceDN w:val="0"/>
        <w:adjustRightInd w:val="0"/>
        <w:snapToGrid w:val="0"/>
        <w:spacing w:line="560" w:lineRule="exact"/>
        <w:rPr>
          <w:rFonts w:hint="eastAsia" w:ascii="宋体" w:hAnsi="宋体" w:cs="宋体"/>
          <w:b/>
          <w:bCs/>
          <w:sz w:val="24"/>
          <w:lang w:val="zh-CN"/>
        </w:rPr>
      </w:pPr>
    </w:p>
    <w:p>
      <w:pPr>
        <w:autoSpaceDE w:val="0"/>
        <w:autoSpaceDN w:val="0"/>
        <w:adjustRightInd w:val="0"/>
        <w:snapToGrid w:val="0"/>
        <w:spacing w:line="560" w:lineRule="exact"/>
        <w:rPr>
          <w:rFonts w:hint="eastAsia" w:ascii="宋体" w:hAnsi="宋体" w:cs="宋体"/>
          <w:b/>
          <w:bCs/>
          <w:sz w:val="24"/>
          <w:lang w:val="zh-CN"/>
        </w:rPr>
      </w:pPr>
      <w:r>
        <w:rPr>
          <w:rFonts w:hint="eastAsia" w:ascii="宋体" w:hAnsi="宋体" w:cs="宋体"/>
          <w:b/>
          <w:bCs/>
          <w:sz w:val="24"/>
          <w:lang w:val="zh-CN"/>
        </w:rPr>
        <w:t>项目需求及分包情况：</w:t>
      </w:r>
      <w:bookmarkStart w:id="0" w:name="_GoBack"/>
      <w:bookmarkEnd w:id="0"/>
    </w:p>
    <w:p>
      <w:pPr>
        <w:autoSpaceDE w:val="0"/>
        <w:autoSpaceDN w:val="0"/>
        <w:adjustRightInd w:val="0"/>
        <w:snapToGrid w:val="0"/>
        <w:spacing w:line="560" w:lineRule="exact"/>
        <w:ind w:firstLine="482"/>
        <w:rPr>
          <w:rFonts w:hint="eastAsia" w:ascii="宋体" w:hAnsi="宋体" w:cs="宋体"/>
          <w:bCs/>
          <w:sz w:val="24"/>
        </w:rPr>
      </w:pPr>
      <w:r>
        <w:rPr>
          <w:rFonts w:hint="eastAsia" w:ascii="宋体" w:hAnsi="宋体" w:cs="宋体"/>
          <w:bCs/>
          <w:sz w:val="24"/>
        </w:rPr>
        <w:t>第1包：全自动生化分析仪（进口）1台，</w:t>
      </w:r>
      <w:r>
        <w:rPr>
          <w:rFonts w:hint="eastAsia" w:ascii="宋体" w:hAnsi="宋体" w:cs="宋体"/>
          <w:bCs/>
          <w:sz w:val="24"/>
          <w:lang w:val="en-US" w:eastAsia="zh-CN"/>
        </w:rPr>
        <w:t>197万元。</w:t>
      </w:r>
    </w:p>
    <w:p>
      <w:pPr>
        <w:autoSpaceDE w:val="0"/>
        <w:autoSpaceDN w:val="0"/>
        <w:adjustRightInd w:val="0"/>
        <w:snapToGrid w:val="0"/>
        <w:spacing w:line="560" w:lineRule="exact"/>
        <w:ind w:firstLine="482"/>
        <w:rPr>
          <w:rFonts w:hint="eastAsia" w:ascii="宋体" w:hAnsi="宋体" w:cs="宋体"/>
          <w:bCs/>
          <w:sz w:val="24"/>
        </w:rPr>
      </w:pPr>
      <w:r>
        <w:rPr>
          <w:rFonts w:hint="eastAsia" w:ascii="宋体" w:hAnsi="宋体" w:cs="宋体"/>
          <w:bCs/>
          <w:sz w:val="24"/>
        </w:rPr>
        <w:t>第2包：彩色超声波诊断仪（进口）1套</w:t>
      </w:r>
      <w:r>
        <w:rPr>
          <w:rFonts w:hint="eastAsia" w:ascii="宋体" w:hAnsi="宋体" w:cs="宋体"/>
          <w:bCs/>
          <w:sz w:val="24"/>
          <w:lang w:eastAsia="zh-CN"/>
        </w:rPr>
        <w:t>，</w:t>
      </w:r>
      <w:r>
        <w:rPr>
          <w:rFonts w:hint="eastAsia" w:ascii="宋体" w:hAnsi="宋体" w:cs="宋体"/>
          <w:bCs/>
          <w:sz w:val="24"/>
          <w:lang w:val="en-US" w:eastAsia="zh-CN"/>
        </w:rPr>
        <w:t>249万元。</w:t>
      </w:r>
    </w:p>
    <w:p>
      <w:pPr>
        <w:spacing w:line="460" w:lineRule="exact"/>
        <w:jc w:val="center"/>
        <w:rPr>
          <w:rFonts w:hint="eastAsia" w:ascii="黑体" w:hAnsi="宋体" w:eastAsia="黑体"/>
          <w:b/>
          <w:sz w:val="28"/>
          <w:szCs w:val="28"/>
        </w:rPr>
      </w:pPr>
      <w:r>
        <w:rPr>
          <w:rFonts w:hint="eastAsia" w:ascii="黑体" w:hAnsi="宋体" w:eastAsia="黑体"/>
          <w:b/>
          <w:sz w:val="28"/>
          <w:szCs w:val="28"/>
        </w:rPr>
        <w:t>设备配置及主要技术规格</w:t>
      </w:r>
    </w:p>
    <w:p>
      <w:pPr>
        <w:spacing w:line="460" w:lineRule="exact"/>
        <w:jc w:val="center"/>
        <w:rPr>
          <w:rFonts w:hint="eastAsia" w:ascii="黑体" w:hAnsi="宋体" w:eastAsia="黑体"/>
          <w:b/>
          <w:sz w:val="28"/>
          <w:szCs w:val="28"/>
        </w:rPr>
      </w:pPr>
    </w:p>
    <w:p>
      <w:pPr>
        <w:pStyle w:val="6"/>
        <w:snapToGrid w:val="0"/>
        <w:spacing w:line="340" w:lineRule="exact"/>
        <w:ind w:left="405" w:firstLine="0" w:firstLineChars="0"/>
        <w:jc w:val="left"/>
        <w:rPr>
          <w:rFonts w:hint="eastAsia" w:ascii="宋体" w:hAnsi="宋体"/>
          <w:b/>
          <w:bCs/>
          <w:sz w:val="28"/>
          <w:szCs w:val="28"/>
        </w:rPr>
      </w:pPr>
      <w:r>
        <w:rPr>
          <w:rFonts w:hint="eastAsia" w:ascii="宋体" w:hAnsi="宋体"/>
          <w:b/>
          <w:bCs/>
          <w:sz w:val="28"/>
          <w:szCs w:val="28"/>
        </w:rPr>
        <w:t>第1包：</w:t>
      </w:r>
    </w:p>
    <w:p>
      <w:pPr>
        <w:autoSpaceDE w:val="0"/>
        <w:autoSpaceDN w:val="0"/>
        <w:adjustRightInd w:val="0"/>
        <w:snapToGrid w:val="0"/>
        <w:spacing w:line="360" w:lineRule="auto"/>
        <w:ind w:firstLine="472" w:firstLineChars="196"/>
        <w:jc w:val="center"/>
        <w:rPr>
          <w:rFonts w:hint="eastAsia" w:ascii="宋体" w:hAnsi="宋体"/>
          <w:b/>
          <w:sz w:val="24"/>
        </w:rPr>
      </w:pPr>
      <w:r>
        <w:rPr>
          <w:rFonts w:hint="eastAsia" w:ascii="宋体" w:hAnsi="宋体"/>
          <w:b/>
          <w:sz w:val="24"/>
        </w:rPr>
        <w:t>全自动生化仪的参数</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主要技术规格参数：</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 设计方式：原装进口机器，试剂全开放式设计</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2. 测试速度：纯生化比色法≥1600测试/小时   电解质≥800测试/小时</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3. 测试项目：同时测定项目数≥85项（双试剂项目）</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4. 最小样品量：≤ 2.1ul（0.1ul步进）</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5. 加样方式：真实样本体积加样，无样本稀释</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6. 光学系统：后分光技术，无相差凹面蚀刻光栅</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7.比色杯：抗腐蚀UV比色杯或石英杯</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8. 吸光度线性：≥3.0Abs</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9. 控温方式：循环恒温水育，比色杯直接与水接触</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10. 控温精度：37±0.1℃</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11．最小反应体积：≤160ul</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12.加注机构：无摩擦高温太空陶瓷芯</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13.反应时间：≥10分钟，反应时间可调，可调时间段≥5</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14. 分析方法：含终点，速率法，电极法等20种</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15．样品容量：样本架轨道式进样，同时可容纳样本数量≥280个</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16.具有定标液自动稀释功能</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17．测试波长：340-800nm，至少12个波长</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18.试剂位：≥160个</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19.定标位置：≥100个</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20.试剂加注时间：1.5、5、10分钟可选，试剂加注时间≥3</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21．试剂瓶种类：仪器试剂仓可装载试剂瓶规格≥4种，最大试剂瓶容量≥250ml（需提供试剂瓶样本）</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22.数据处理：自动校准，多点校准，折线校准，校准点选择，比色分析计算，速率分析计算，同工酶分析，血清指数，样品空白，计算项目，自动再检，校准追踪，前带检测，数据统计，存储，传输及复制转移</w:t>
      </w:r>
    </w:p>
    <w:p>
      <w:pPr>
        <w:autoSpaceDE w:val="0"/>
        <w:autoSpaceDN w:val="0"/>
        <w:adjustRightInd w:val="0"/>
        <w:snapToGrid w:val="0"/>
        <w:spacing w:line="360" w:lineRule="auto"/>
        <w:ind w:firstLine="470" w:firstLineChars="196"/>
        <w:rPr>
          <w:rFonts w:hint="eastAsia" w:ascii="宋体" w:hAnsi="宋体"/>
          <w:bCs/>
          <w:sz w:val="24"/>
        </w:rPr>
      </w:pPr>
      <w:r>
        <w:rPr>
          <w:rFonts w:hint="eastAsia" w:ascii="宋体" w:hAnsi="宋体"/>
          <w:bCs/>
          <w:sz w:val="24"/>
        </w:rPr>
        <w:t>23．打印报告：数据报警，校准结果及报警，光源及比色杯性能报告，报警追踪，操作追踪，通讯追踪，全反映过程监测，屏幕复制</w:t>
      </w:r>
    </w:p>
    <w:p>
      <w:pPr>
        <w:pStyle w:val="6"/>
        <w:snapToGrid w:val="0"/>
        <w:spacing w:line="340" w:lineRule="exact"/>
        <w:ind w:left="405" w:firstLine="0" w:firstLineChars="0"/>
        <w:jc w:val="left"/>
        <w:rPr>
          <w:rFonts w:hint="eastAsia" w:ascii="宋体" w:hAnsi="宋体"/>
          <w:b/>
          <w:bCs/>
          <w:sz w:val="28"/>
          <w:szCs w:val="28"/>
        </w:rPr>
      </w:pPr>
    </w:p>
    <w:p>
      <w:pPr>
        <w:pStyle w:val="6"/>
        <w:snapToGrid w:val="0"/>
        <w:spacing w:line="340" w:lineRule="exact"/>
        <w:ind w:left="405" w:firstLine="0" w:firstLineChars="0"/>
        <w:jc w:val="left"/>
        <w:rPr>
          <w:rFonts w:hint="eastAsia" w:ascii="宋体" w:hAnsi="宋体"/>
          <w:b/>
          <w:bCs/>
          <w:sz w:val="28"/>
          <w:szCs w:val="28"/>
        </w:rPr>
      </w:pPr>
    </w:p>
    <w:p>
      <w:pPr>
        <w:pStyle w:val="6"/>
        <w:snapToGrid w:val="0"/>
        <w:spacing w:line="340" w:lineRule="exact"/>
        <w:ind w:left="405" w:firstLine="0" w:firstLineChars="0"/>
        <w:jc w:val="left"/>
        <w:rPr>
          <w:rFonts w:hint="eastAsia" w:ascii="宋体" w:hAnsi="宋体"/>
          <w:b/>
          <w:bCs/>
          <w:sz w:val="28"/>
          <w:szCs w:val="28"/>
        </w:rPr>
      </w:pPr>
      <w:r>
        <w:rPr>
          <w:rFonts w:hint="eastAsia" w:ascii="宋体" w:hAnsi="宋体"/>
          <w:b/>
          <w:bCs/>
          <w:sz w:val="28"/>
          <w:szCs w:val="28"/>
        </w:rPr>
        <w:t>第2包：</w:t>
      </w:r>
    </w:p>
    <w:p>
      <w:pPr>
        <w:autoSpaceDE w:val="0"/>
        <w:autoSpaceDN w:val="0"/>
        <w:adjustRightInd w:val="0"/>
        <w:snapToGrid w:val="0"/>
        <w:spacing w:line="360" w:lineRule="auto"/>
        <w:ind w:firstLine="472" w:firstLineChars="196"/>
        <w:jc w:val="center"/>
        <w:rPr>
          <w:rFonts w:hint="eastAsia" w:ascii="宋体" w:hAnsi="宋体"/>
          <w:b/>
          <w:color w:val="000000"/>
          <w:sz w:val="24"/>
        </w:rPr>
      </w:pPr>
      <w:r>
        <w:rPr>
          <w:rFonts w:hint="eastAsia" w:ascii="宋体" w:hAnsi="宋体"/>
          <w:b/>
          <w:color w:val="000000"/>
          <w:sz w:val="24"/>
        </w:rPr>
        <w:t>高档实时四维彩色多普勒超声波诊断仪</w:t>
      </w:r>
      <w:r>
        <w:rPr>
          <w:rFonts w:hint="eastAsia" w:ascii="宋体" w:hAnsi="宋体"/>
          <w:b/>
          <w:color w:val="000000"/>
          <w:sz w:val="24"/>
          <w:lang w:eastAsia="zh-CN"/>
        </w:rPr>
        <w:t>的</w:t>
      </w:r>
      <w:r>
        <w:rPr>
          <w:rFonts w:hint="eastAsia" w:ascii="宋体" w:hAnsi="宋体"/>
          <w:b/>
          <w:color w:val="000000"/>
          <w:sz w:val="24"/>
        </w:rPr>
        <w:t>参数要求</w:t>
      </w:r>
    </w:p>
    <w:p>
      <w:pPr>
        <w:numPr>
          <w:ilvl w:val="0"/>
          <w:numId w:val="1"/>
        </w:numPr>
        <w:spacing w:line="500" w:lineRule="exact"/>
        <w:rPr>
          <w:rFonts w:hint="eastAsia" w:ascii="宋体" w:hAnsi="宋体" w:eastAsia="宋体" w:cs="宋体"/>
          <w:sz w:val="24"/>
          <w:szCs w:val="24"/>
        </w:rPr>
      </w:pPr>
      <w:r>
        <w:rPr>
          <w:rFonts w:hint="eastAsia" w:ascii="宋体" w:hAnsi="宋体" w:eastAsia="宋体" w:cs="宋体"/>
          <w:sz w:val="24"/>
          <w:szCs w:val="24"/>
        </w:rPr>
        <w:t>设备名称：高档实时四维彩色多普勒超声波诊断仪</w:t>
      </w:r>
    </w:p>
    <w:p>
      <w:pPr>
        <w:numPr>
          <w:ilvl w:val="0"/>
          <w:numId w:val="1"/>
        </w:numPr>
        <w:spacing w:line="500" w:lineRule="exact"/>
        <w:rPr>
          <w:rFonts w:hint="eastAsia" w:ascii="宋体" w:hAnsi="宋体" w:eastAsia="宋体" w:cs="宋体"/>
          <w:sz w:val="24"/>
          <w:szCs w:val="24"/>
        </w:rPr>
      </w:pPr>
      <w:r>
        <w:rPr>
          <w:rFonts w:hint="eastAsia" w:ascii="宋体" w:hAnsi="宋体" w:eastAsia="宋体" w:cs="宋体"/>
          <w:sz w:val="24"/>
          <w:szCs w:val="24"/>
        </w:rPr>
        <w:t>数    量：壹套</w:t>
      </w:r>
    </w:p>
    <w:p>
      <w:pPr>
        <w:numPr>
          <w:ilvl w:val="0"/>
          <w:numId w:val="1"/>
        </w:numPr>
        <w:spacing w:line="500" w:lineRule="exact"/>
        <w:rPr>
          <w:rFonts w:hint="eastAsia" w:ascii="宋体" w:hAnsi="宋体" w:eastAsia="宋体" w:cs="宋体"/>
          <w:b/>
          <w:sz w:val="24"/>
          <w:szCs w:val="24"/>
        </w:rPr>
      </w:pPr>
      <w:r>
        <w:rPr>
          <w:rFonts w:hint="eastAsia" w:ascii="宋体" w:hAnsi="宋体" w:eastAsia="宋体" w:cs="宋体"/>
          <w:sz w:val="24"/>
          <w:szCs w:val="24"/>
        </w:rPr>
        <w:t>设备要求：2015年或之后推出的高端产品（以注册证为准）</w:t>
      </w:r>
    </w:p>
    <w:p>
      <w:pPr>
        <w:numPr>
          <w:ilvl w:val="0"/>
          <w:numId w:val="1"/>
        </w:numPr>
        <w:spacing w:line="500" w:lineRule="exact"/>
        <w:rPr>
          <w:rFonts w:hint="eastAsia" w:ascii="宋体" w:hAnsi="宋体" w:eastAsia="宋体" w:cs="宋体"/>
          <w:b/>
          <w:sz w:val="24"/>
          <w:szCs w:val="24"/>
        </w:rPr>
      </w:pPr>
      <w:r>
        <w:rPr>
          <w:rFonts w:hint="eastAsia" w:ascii="宋体" w:hAnsi="宋体" w:eastAsia="宋体" w:cs="宋体"/>
          <w:sz w:val="24"/>
          <w:szCs w:val="24"/>
        </w:rPr>
        <w:t>设备用途说明：</w:t>
      </w:r>
    </w:p>
    <w:p>
      <w:pPr>
        <w:ind w:firstLine="544" w:firstLineChars="227"/>
        <w:rPr>
          <w:rFonts w:hint="eastAsia" w:ascii="宋体" w:hAnsi="宋体" w:eastAsia="宋体" w:cs="宋体"/>
          <w:sz w:val="24"/>
          <w:szCs w:val="24"/>
        </w:rPr>
      </w:pPr>
      <w:r>
        <w:rPr>
          <w:rFonts w:hint="eastAsia" w:ascii="宋体" w:hAnsi="宋体" w:eastAsia="宋体" w:cs="宋体"/>
          <w:sz w:val="24"/>
          <w:szCs w:val="24"/>
        </w:rPr>
        <w:t>妇产科、腹部、心脏、新生儿、泌尿科、浅表组织与小器官、外周血管及科研的高档次实时三维彩色多普勒超声诊断仪，尤其在妇产科、腹部、乳腺、泌尿领域具有突出优势，满足产科超声诊断，妇科疑难病例超声诊断，胎儿畸形产前诊断及科研。投标设备必须为各厂家高档的专业机型。</w:t>
      </w:r>
    </w:p>
    <w:p>
      <w:pPr>
        <w:rPr>
          <w:rFonts w:hint="eastAsia" w:ascii="宋体" w:hAnsi="宋体" w:eastAsia="宋体" w:cs="宋体"/>
          <w:sz w:val="24"/>
          <w:szCs w:val="24"/>
        </w:rPr>
      </w:pPr>
      <w:r>
        <w:rPr>
          <w:rFonts w:hint="eastAsia" w:ascii="宋体" w:hAnsi="宋体" w:eastAsia="宋体" w:cs="宋体"/>
          <w:sz w:val="24"/>
          <w:szCs w:val="24"/>
        </w:rPr>
        <w:t>五、主要规格及系统概述：</w:t>
      </w:r>
    </w:p>
    <w:p>
      <w:pPr>
        <w:spacing w:line="500" w:lineRule="exact"/>
        <w:ind w:left="425"/>
        <w:rPr>
          <w:rFonts w:hint="eastAsia" w:ascii="宋体" w:hAnsi="宋体" w:eastAsia="宋体" w:cs="宋体"/>
          <w:b/>
          <w:bCs/>
          <w:sz w:val="24"/>
          <w:szCs w:val="24"/>
        </w:rPr>
      </w:pPr>
      <w:r>
        <w:rPr>
          <w:rFonts w:hint="eastAsia" w:ascii="宋体" w:hAnsi="宋体" w:eastAsia="宋体" w:cs="宋体"/>
          <w:b/>
          <w:bCs/>
          <w:sz w:val="24"/>
          <w:szCs w:val="24"/>
        </w:rPr>
        <w:t>5.1彩色多普勒超声波诊断仪包括：</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5.1.1高分辨率彩色逐行液晶显示器 ≥22.5英寸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5.1.2全数字化彩色超声诊断系统主机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5.1.3二维灰阶成像单元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5.1.4彩色多普勒单元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5.1.5频谱多普勒显示和分析单元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5.1.6能量血流成像单元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5.17连续波多普勒</w:t>
      </w:r>
    </w:p>
    <w:p>
      <w:pPr>
        <w:spacing w:line="360" w:lineRule="auto"/>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5.1.8超细微血流显像技术，双向PDI 编码显示血流方向和密度信息，对微小血管显示的高度灵敏度， 减少彩色过溢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5.1.9全数字波束形成器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5.1.10二维扫描成像组件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5.1.11实时三维扫描成像组件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5.1.12声波激励技术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5.1.13组织二次谐波成像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5.1.14梯型扩展技术，用于二维和彩色血流</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5.1.15组织多普勒成像技术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5.1.16频率复合成像技术，屏幕可显示</w:t>
      </w:r>
    </w:p>
    <w:p>
      <w:pPr>
        <w:spacing w:line="360" w:lineRule="auto"/>
        <w:ind w:right="90" w:firstLine="480" w:firstLineChars="200"/>
        <w:jc w:val="left"/>
        <w:rPr>
          <w:rFonts w:hint="eastAsia" w:ascii="宋体" w:hAnsi="宋体" w:eastAsia="宋体" w:cs="宋体"/>
          <w:sz w:val="24"/>
          <w:szCs w:val="24"/>
        </w:rPr>
      </w:pPr>
      <w:r>
        <w:rPr>
          <w:rFonts w:hint="eastAsia" w:ascii="宋体" w:hAnsi="宋体" w:eastAsia="宋体" w:cs="宋体"/>
          <w:sz w:val="24"/>
          <w:szCs w:val="24"/>
        </w:rPr>
        <w:t>5.1.17实时三同步能力</w:t>
      </w:r>
    </w:p>
    <w:p>
      <w:pPr>
        <w:spacing w:line="360" w:lineRule="auto"/>
        <w:ind w:left="1140" w:leftChars="200" w:right="90" w:hanging="720" w:hangingChars="300"/>
        <w:jc w:val="left"/>
        <w:rPr>
          <w:rFonts w:hint="eastAsia" w:ascii="宋体" w:hAnsi="宋体" w:eastAsia="宋体" w:cs="宋体"/>
          <w:sz w:val="24"/>
          <w:szCs w:val="24"/>
        </w:rPr>
      </w:pPr>
      <w:r>
        <w:rPr>
          <w:rFonts w:hint="eastAsia" w:ascii="宋体" w:hAnsi="宋体" w:eastAsia="宋体" w:cs="宋体"/>
          <w:sz w:val="24"/>
          <w:szCs w:val="24"/>
        </w:rPr>
        <w:t>5.1.18角度可偏转连续波多普勒,支持凸阵探头,获得更准确的胎儿心脏血流速度（附图）</w:t>
      </w:r>
    </w:p>
    <w:p>
      <w:pPr>
        <w:spacing w:line="360" w:lineRule="auto"/>
        <w:ind w:left="1140" w:leftChars="200" w:right="90" w:hanging="720" w:hangingChars="300"/>
        <w:jc w:val="left"/>
        <w:rPr>
          <w:rFonts w:hint="eastAsia" w:ascii="宋体" w:hAnsi="宋体" w:eastAsia="宋体" w:cs="宋体"/>
          <w:sz w:val="24"/>
          <w:szCs w:val="24"/>
        </w:rPr>
      </w:pPr>
      <w:r>
        <w:rPr>
          <w:rFonts w:hint="eastAsia" w:ascii="宋体" w:hAnsi="宋体" w:eastAsia="宋体" w:cs="宋体"/>
          <w:sz w:val="24"/>
          <w:szCs w:val="24"/>
        </w:rPr>
        <w:t>5.1.19空间复合显像: 用于腹部和线阵探头（声束偏转线数多级可调），应用于多种模式, 加CFM后此技术不取消(附图证明)</w:t>
      </w:r>
    </w:p>
    <w:p>
      <w:pPr>
        <w:keepNext w:val="0"/>
        <w:keepLines w:val="0"/>
        <w:pageBreakBefore w:val="0"/>
        <w:widowControl w:val="0"/>
        <w:kinsoku/>
        <w:wordWrap/>
        <w:overflowPunct/>
        <w:topLinePunct w:val="0"/>
        <w:autoSpaceDE/>
        <w:autoSpaceDN/>
        <w:bidi w:val="0"/>
        <w:adjustRightInd/>
        <w:snapToGrid/>
        <w:spacing w:line="360" w:lineRule="auto"/>
        <w:ind w:left="420" w:leftChars="200" w:right="9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5.1.20像素优化技术，多级可调，应用于所有成像模式。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5.1.21二维、胎儿面部三维成像，频谱多普勒模式自动图像优化调整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5.1.22一体化实时立体成像技术, 容积成像速率达到45容积/秒 </w:t>
      </w:r>
    </w:p>
    <w:p>
      <w:pPr>
        <w:keepNext w:val="0"/>
        <w:keepLines w:val="0"/>
        <w:pageBreakBefore w:val="0"/>
        <w:widowControl w:val="0"/>
        <w:kinsoku/>
        <w:wordWrap/>
        <w:overflowPunct/>
        <w:topLinePunct w:val="0"/>
        <w:autoSpaceDE/>
        <w:autoSpaceDN/>
        <w:bidi w:val="0"/>
        <w:adjustRightInd/>
        <w:snapToGrid/>
        <w:spacing w:line="360" w:lineRule="auto"/>
        <w:ind w:right="9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5.1.23容积探头扫查角度自动偏转技术，腔内容积探头无需移动探头，单键可拓展扫查视野，角度最大可达左右55度（附图） </w:t>
      </w:r>
    </w:p>
    <w:p>
      <w:pPr>
        <w:pStyle w:val="3"/>
        <w:spacing w:after="0"/>
        <w:ind w:left="1143" w:leftChars="200" w:hanging="723" w:hangingChars="300"/>
        <w:rPr>
          <w:rFonts w:hint="eastAsia" w:ascii="宋体" w:hAnsi="宋体" w:eastAsia="宋体" w:cs="宋体"/>
          <w:kern w:val="2"/>
          <w:sz w:val="24"/>
          <w:szCs w:val="24"/>
          <w:lang w:eastAsia="zh-CN"/>
        </w:rPr>
      </w:pPr>
      <w:r>
        <w:rPr>
          <w:rFonts w:hint="eastAsia" w:ascii="宋体" w:hAnsi="宋体" w:eastAsia="宋体" w:cs="宋体"/>
          <w:b/>
          <w:bCs/>
          <w:sz w:val="24"/>
          <w:szCs w:val="24"/>
          <w:lang w:eastAsia="zh-CN"/>
        </w:rPr>
        <w:t>5.1.24</w:t>
      </w:r>
      <w:r>
        <w:rPr>
          <w:rFonts w:hint="eastAsia" w:ascii="宋体" w:hAnsi="宋体" w:eastAsia="宋体" w:cs="宋体"/>
          <w:kern w:val="2"/>
          <w:sz w:val="24"/>
          <w:szCs w:val="24"/>
          <w:lang w:eastAsia="zh-CN"/>
        </w:rPr>
        <w:t xml:space="preserve">自动颈后透明层厚度测量，在获取合适切面的前提下，可自动识别早孕期胎儿颈后透明层的边界，并自动测量颈后透明层厚度。 </w:t>
      </w:r>
    </w:p>
    <w:p>
      <w:pPr>
        <w:pStyle w:val="3"/>
        <w:spacing w:after="0"/>
        <w:ind w:left="1201" w:hanging="1446" w:hangingChars="600"/>
        <w:rPr>
          <w:rFonts w:hint="eastAsia" w:ascii="宋体" w:hAnsi="宋体" w:eastAsia="宋体" w:cs="宋体"/>
          <w:kern w:val="2"/>
          <w:sz w:val="24"/>
          <w:szCs w:val="24"/>
          <w:lang w:eastAsia="zh-CN"/>
        </w:rPr>
      </w:pPr>
      <w:r>
        <w:rPr>
          <w:rFonts w:hint="eastAsia" w:ascii="宋体" w:hAnsi="宋体" w:eastAsia="宋体" w:cs="宋体"/>
          <w:b/>
          <w:bCs/>
          <w:sz w:val="24"/>
          <w:szCs w:val="24"/>
          <w:lang w:eastAsia="zh-CN"/>
        </w:rPr>
        <w:t xml:space="preserve">   5.1.25</w:t>
      </w:r>
      <w:r>
        <w:rPr>
          <w:rFonts w:hint="eastAsia" w:ascii="宋体" w:hAnsi="宋体" w:eastAsia="宋体" w:cs="宋体"/>
          <w:kern w:val="2"/>
          <w:sz w:val="24"/>
          <w:szCs w:val="24"/>
          <w:lang w:eastAsia="zh-CN"/>
        </w:rPr>
        <w:t>胎儿自动识别技术，可自动识别胎儿及周围组织结构并自动调整容积观察取样线位置，帮助使用者能快速获得胎儿表面三维容积结构的工具，提高工作效率（附图）</w:t>
      </w:r>
    </w:p>
    <w:p>
      <w:pPr>
        <w:ind w:left="1080" w:hanging="1080" w:hangingChars="45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5.1.26颅内透明层自动测量功能：在孕期11-13周</w:t>
      </w:r>
      <w:r>
        <w:rPr>
          <w:rFonts w:hint="eastAsia" w:ascii="宋体" w:hAnsi="宋体" w:eastAsia="宋体" w:cs="宋体"/>
          <w:sz w:val="24"/>
          <w:szCs w:val="24"/>
          <w:vertAlign w:val="superscript"/>
        </w:rPr>
        <w:t>+6</w:t>
      </w:r>
      <w:r>
        <w:rPr>
          <w:rFonts w:hint="eastAsia" w:ascii="宋体" w:hAnsi="宋体" w:eastAsia="宋体" w:cs="宋体"/>
          <w:sz w:val="24"/>
          <w:szCs w:val="24"/>
        </w:rPr>
        <w:t>天内,获取合适切面的前提下，系统可识别胎儿颅内透明层边界（即第四脑室宽度），并获得自动测量颅内透明层的厚度，如此结构消失，可在早孕期高度提示有开放性脊柱裂的可能。</w:t>
      </w:r>
    </w:p>
    <w:p>
      <w:pPr>
        <w:ind w:left="1560" w:hanging="1560" w:hangingChars="650"/>
        <w:jc w:val="left"/>
        <w:rPr>
          <w:rFonts w:hint="eastAsia" w:ascii="宋体" w:hAnsi="宋体" w:eastAsia="宋体" w:cs="宋体"/>
          <w:sz w:val="24"/>
          <w:szCs w:val="24"/>
        </w:rPr>
      </w:pPr>
      <w:r>
        <w:rPr>
          <w:rFonts w:hint="eastAsia" w:ascii="宋体" w:hAnsi="宋体" w:eastAsia="宋体" w:cs="宋体"/>
          <w:sz w:val="24"/>
          <w:szCs w:val="24"/>
        </w:rPr>
        <w:t xml:space="preserve">   5.1.27: 胎儿生长指标自动测量功能：在获取合适切面的前提下，系统可自动识别测量临床所需的胎儿双顶径，头围，腹围等多个参数，帮助使用者提高工作效率，快速获取评估胎儿生长发育状况的有效指标</w:t>
      </w:r>
    </w:p>
    <w:p>
      <w:pPr>
        <w:keepNext w:val="0"/>
        <w:keepLines w:val="0"/>
        <w:pageBreakBefore w:val="0"/>
        <w:widowControl w:val="0"/>
        <w:kinsoku/>
        <w:wordWrap/>
        <w:overflowPunct/>
        <w:topLinePunct w:val="0"/>
        <w:autoSpaceDE/>
        <w:autoSpaceDN/>
        <w:bidi w:val="0"/>
        <w:adjustRightInd/>
        <w:snapToGrid/>
        <w:spacing w:line="360" w:lineRule="auto"/>
        <w:ind w:left="630" w:leftChars="30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5.1.28高清写实表面成像，该功能通过全新的容积处理方式，增强容积图像的细节显示，提高图像真实感，加强临床诊断信心。  </w:t>
      </w:r>
    </w:p>
    <w:p>
      <w:pPr>
        <w:spacing w:line="360" w:lineRule="auto"/>
        <w:ind w:left="630" w:leftChars="300"/>
        <w:jc w:val="left"/>
        <w:rPr>
          <w:rFonts w:hint="eastAsia" w:ascii="宋体" w:hAnsi="宋体" w:eastAsia="宋体" w:cs="宋体"/>
          <w:sz w:val="24"/>
          <w:szCs w:val="24"/>
        </w:rPr>
      </w:pPr>
      <w:r>
        <w:rPr>
          <w:rFonts w:hint="eastAsia" w:ascii="宋体" w:hAnsi="宋体" w:eastAsia="宋体" w:cs="宋体"/>
          <w:sz w:val="24"/>
          <w:szCs w:val="24"/>
        </w:rPr>
        <w:t>5.1.29可变光源系统通过虚拟光源位置的改变可得到常规容积成像难以获得的多方位容积增强显示，提供更多临床信息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5.1.30反转成像模式，显示低回声或液性暗区的立体结构。</w:t>
      </w:r>
    </w:p>
    <w:p>
      <w:pPr>
        <w:spacing w:line="360" w:lineRule="auto"/>
        <w:ind w:left="1140" w:leftChars="200" w:hanging="720" w:hangingChars="300"/>
        <w:jc w:val="left"/>
        <w:rPr>
          <w:rFonts w:hint="eastAsia" w:ascii="宋体" w:hAnsi="宋体" w:eastAsia="宋体" w:cs="宋体"/>
          <w:sz w:val="24"/>
          <w:szCs w:val="24"/>
        </w:rPr>
      </w:pPr>
      <w:r>
        <w:rPr>
          <w:rFonts w:hint="eastAsia" w:ascii="宋体" w:hAnsi="宋体" w:eastAsia="宋体" w:cs="宋体"/>
          <w:sz w:val="24"/>
          <w:szCs w:val="24"/>
        </w:rPr>
        <w:t>5.1.31 2D/3D直方图技术，作用于2D/CFM/PD模式，可计算灰度直方图和彩色直方图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5.1.32容积能量模式直方图技术。</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5.1.33 3D/4D 曲线取样成像技术，任意曲线或直线切割3D平面</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5.1.34超宽视野成像技术，支持所有凸阵和线阵探头，可自由进退和测量</w:t>
      </w:r>
    </w:p>
    <w:p>
      <w:pPr>
        <w:spacing w:line="360" w:lineRule="auto"/>
        <w:ind w:left="1140" w:leftChars="200" w:hanging="720" w:hangingChars="300"/>
        <w:jc w:val="left"/>
        <w:rPr>
          <w:rFonts w:hint="eastAsia" w:ascii="宋体" w:hAnsi="宋体" w:eastAsia="宋体" w:cs="宋体"/>
          <w:sz w:val="24"/>
          <w:szCs w:val="24"/>
        </w:rPr>
      </w:pPr>
      <w:r>
        <w:rPr>
          <w:rFonts w:hint="eastAsia" w:ascii="宋体" w:hAnsi="宋体" w:eastAsia="宋体" w:cs="宋体"/>
          <w:sz w:val="24"/>
          <w:szCs w:val="24"/>
        </w:rPr>
        <w:t xml:space="preserve">5.1.35对3D/4D图像具有剪切功能，可随意切除3D组织或伪像 </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5.1.36容积厚度对比成像技术，对容积数据进行多切面采集和处理，有效地的抑制噪音， 显示具有厚度信息的平面，极大提高A、C平面的对比分辨率。</w:t>
      </w:r>
    </w:p>
    <w:p>
      <w:pPr>
        <w:spacing w:line="360" w:lineRule="auto"/>
        <w:ind w:left="1140" w:leftChars="200" w:hanging="720" w:hangingChars="300"/>
        <w:rPr>
          <w:rFonts w:hint="eastAsia" w:ascii="宋体" w:hAnsi="宋体" w:eastAsia="宋体" w:cs="宋体"/>
          <w:bCs/>
          <w:sz w:val="24"/>
          <w:szCs w:val="24"/>
        </w:rPr>
      </w:pPr>
      <w:r>
        <w:rPr>
          <w:rFonts w:hint="eastAsia" w:ascii="宋体" w:hAnsi="宋体" w:eastAsia="宋体" w:cs="宋体"/>
          <w:sz w:val="24"/>
          <w:szCs w:val="24"/>
        </w:rPr>
        <w:t>5.1.37任意解剖切面技术, 用于3D/4D数据或存储的容积数据，对于不规则结构，在提高对比分辨率的条件下可以获取任意切面，用直线，弧线，曲线，轨迹四种切割方法可显示子宫内膜、胎儿四肢、脊柱、心脏，血管等任意形状的结构和狭窄程度。</w:t>
      </w:r>
    </w:p>
    <w:p>
      <w:pPr>
        <w:spacing w:line="360" w:lineRule="auto"/>
        <w:ind w:left="735" w:hanging="630"/>
        <w:rPr>
          <w:rFonts w:hint="eastAsia" w:ascii="宋体" w:hAnsi="宋体" w:eastAsia="宋体" w:cs="宋体"/>
          <w:sz w:val="24"/>
          <w:szCs w:val="24"/>
        </w:rPr>
      </w:pPr>
      <w:r>
        <w:rPr>
          <w:rFonts w:hint="eastAsia" w:ascii="宋体" w:hAnsi="宋体" w:eastAsia="宋体" w:cs="宋体"/>
          <w:sz w:val="24"/>
          <w:szCs w:val="24"/>
        </w:rPr>
        <w:t xml:space="preserve">   5.1.38具备断层成像技术 </w:t>
      </w:r>
    </w:p>
    <w:p>
      <w:pPr>
        <w:spacing w:line="360" w:lineRule="auto"/>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5.1.39二维精细血流成像，非多普勒效应，无取样框的限制，不降低帧频，可直接观察血流动力学特性和血管壁结构,彻底消除在彩色血流图方式下观察血管时彩色图叠加造成的图像遮盖和彩色混叠伪影</w:t>
      </w:r>
    </w:p>
    <w:p>
      <w:pPr>
        <w:spacing w:line="360" w:lineRule="auto"/>
        <w:ind w:left="660" w:leftChars="200" w:hanging="240" w:hangingChars="100"/>
        <w:rPr>
          <w:rFonts w:hint="eastAsia" w:ascii="宋体" w:hAnsi="宋体" w:eastAsia="宋体" w:cs="宋体"/>
          <w:sz w:val="24"/>
          <w:szCs w:val="24"/>
        </w:rPr>
      </w:pPr>
      <w:r>
        <w:rPr>
          <w:rFonts w:hint="eastAsia" w:ascii="宋体" w:hAnsi="宋体" w:eastAsia="宋体" w:cs="宋体"/>
          <w:sz w:val="24"/>
          <w:szCs w:val="24"/>
        </w:rPr>
        <w:t>5.1.40 4D穿刺引导功能：4D穿刺引导能进行准确的空间定位（左右/上下/前后），克服了实时2D超声只能在单一平面上进行定位的缺点</w:t>
      </w:r>
    </w:p>
    <w:p>
      <w:pPr>
        <w:spacing w:line="360" w:lineRule="auto"/>
        <w:ind w:left="900" w:leftChars="200" w:hanging="480" w:hangingChars="200"/>
        <w:rPr>
          <w:rFonts w:hint="eastAsia" w:ascii="宋体" w:hAnsi="宋体" w:eastAsia="宋体" w:cs="宋体"/>
          <w:sz w:val="24"/>
          <w:szCs w:val="24"/>
        </w:rPr>
      </w:pPr>
      <w:r>
        <w:rPr>
          <w:rFonts w:hint="eastAsia" w:ascii="宋体" w:hAnsi="宋体" w:eastAsia="宋体" w:cs="宋体"/>
          <w:sz w:val="24"/>
          <w:szCs w:val="24"/>
        </w:rPr>
        <w:t>5.1.41智能扫查助手，遵循主要超声协会（SMFM, AIUM, ACR, ACOG）的指南，防止操作者漏掉重要的检查内容，并可完全按照客户需求定制，每项检查都有子菜单，允许进行测量和标注，保证扫查的内容的一致性</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5.1.42对比谐波造影功能，支持二维、经腹部容积、经阴道容积和经颅容积探头，其中经阴道子宫输卵管超声造影技术成熟可靠 (以公开发表的文献和书刊证明)，经阴道容积探头扫描角度≥175°(2D)×120°(3D) ；</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5.1.43专业的妇科盆底测量软件包（附图证明），探头和成像模式满足盆底超声技术的要求，成熟可靠(提供公开发表的文献和书籍证明)</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5.1.44 IOTA提供的卵巢癌风险值的似然比计算功能（附图证明）</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5.1.45 计算机辅助自动计算多个不规则液性区的体积，并进行体积大小顺序进行排列。可用于生殖医学卵泡生长监测及脑室等液性区域的体积测量。</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5.1.46 具备STIC时间空间成像技术，用于胎心的诊断</w:t>
      </w:r>
    </w:p>
    <w:p>
      <w:pPr>
        <w:spacing w:line="360" w:lineRule="auto"/>
        <w:ind w:left="1140" w:leftChars="200" w:hanging="720" w:hangingChars="300"/>
        <w:rPr>
          <w:rFonts w:hint="eastAsia" w:ascii="宋体" w:hAnsi="宋体" w:eastAsia="宋体" w:cs="宋体"/>
          <w:sz w:val="24"/>
          <w:szCs w:val="24"/>
        </w:rPr>
      </w:pPr>
      <w:r>
        <w:rPr>
          <w:rFonts w:hint="eastAsia" w:ascii="宋体" w:hAnsi="宋体" w:eastAsia="宋体" w:cs="宋体"/>
          <w:sz w:val="24"/>
          <w:szCs w:val="24"/>
        </w:rPr>
        <w:t>5.1.47 超声最大扫描深度≥33cm（附图并技术白皮书证明）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5.1.48系统支持多语言操作界面（包括中文）</w:t>
      </w:r>
    </w:p>
    <w:p>
      <w:pPr>
        <w:spacing w:line="360" w:lineRule="auto"/>
        <w:ind w:left="708" w:leftChars="337" w:firstLine="840" w:firstLineChars="350"/>
        <w:rPr>
          <w:rFonts w:hint="eastAsia" w:ascii="宋体" w:hAnsi="宋体" w:eastAsia="宋体" w:cs="宋体"/>
          <w:sz w:val="24"/>
          <w:szCs w:val="24"/>
        </w:rPr>
      </w:pPr>
      <w:r>
        <w:rPr>
          <w:rFonts w:hint="eastAsia" w:ascii="宋体" w:hAnsi="宋体" w:eastAsia="宋体" w:cs="宋体"/>
          <w:sz w:val="24"/>
          <w:szCs w:val="24"/>
        </w:rPr>
        <w:t>腹部凸阵探头一个</w:t>
      </w:r>
    </w:p>
    <w:p>
      <w:pPr>
        <w:spacing w:line="360" w:lineRule="auto"/>
        <w:ind w:left="708" w:leftChars="337" w:firstLine="840" w:firstLineChars="350"/>
        <w:rPr>
          <w:rFonts w:hint="eastAsia" w:ascii="宋体" w:hAnsi="宋体" w:eastAsia="宋体" w:cs="宋体"/>
          <w:sz w:val="24"/>
          <w:szCs w:val="24"/>
        </w:rPr>
      </w:pPr>
      <w:r>
        <w:rPr>
          <w:rFonts w:hint="eastAsia" w:ascii="宋体" w:hAnsi="宋体" w:eastAsia="宋体" w:cs="宋体"/>
          <w:sz w:val="24"/>
          <w:szCs w:val="24"/>
        </w:rPr>
        <w:t>腹部容积凸阵探头一个</w:t>
      </w:r>
    </w:p>
    <w:p>
      <w:pPr>
        <w:spacing w:line="360" w:lineRule="auto"/>
        <w:ind w:left="708" w:leftChars="337" w:firstLine="840" w:firstLineChars="350"/>
        <w:rPr>
          <w:rFonts w:hint="eastAsia" w:ascii="宋体" w:hAnsi="宋体" w:eastAsia="宋体" w:cs="宋体"/>
          <w:sz w:val="24"/>
          <w:szCs w:val="24"/>
        </w:rPr>
      </w:pPr>
      <w:r>
        <w:rPr>
          <w:rFonts w:hint="eastAsia" w:ascii="宋体" w:hAnsi="宋体" w:eastAsia="宋体" w:cs="宋体"/>
          <w:sz w:val="24"/>
          <w:szCs w:val="24"/>
        </w:rPr>
        <w:t>小器官线阵探头一个</w:t>
      </w:r>
    </w:p>
    <w:p>
      <w:pPr>
        <w:spacing w:line="360" w:lineRule="auto"/>
        <w:ind w:left="708" w:leftChars="337"/>
        <w:rPr>
          <w:rFonts w:hint="eastAsia" w:ascii="宋体" w:hAnsi="宋体" w:eastAsia="宋体" w:cs="宋体"/>
          <w:sz w:val="24"/>
          <w:szCs w:val="24"/>
        </w:rPr>
      </w:pPr>
      <w:r>
        <w:rPr>
          <w:rFonts w:hint="eastAsia" w:ascii="宋体" w:hAnsi="宋体" w:eastAsia="宋体" w:cs="宋体"/>
          <w:sz w:val="24"/>
          <w:szCs w:val="24"/>
        </w:rPr>
        <w:t>设备到货时，为该机器的最新硬件和软件版本；</w:t>
      </w:r>
    </w:p>
    <w:p>
      <w:pPr>
        <w:spacing w:line="500" w:lineRule="exact"/>
        <w:ind w:left="420"/>
        <w:rPr>
          <w:rFonts w:hint="eastAsia" w:ascii="宋体" w:hAnsi="宋体" w:eastAsia="宋体" w:cs="宋体"/>
          <w:b/>
          <w:bCs/>
          <w:sz w:val="24"/>
          <w:szCs w:val="24"/>
        </w:rPr>
      </w:pPr>
      <w:r>
        <w:rPr>
          <w:rFonts w:hint="eastAsia" w:ascii="宋体" w:hAnsi="宋体" w:eastAsia="宋体" w:cs="宋体"/>
          <w:b/>
          <w:bCs/>
          <w:sz w:val="24"/>
          <w:szCs w:val="24"/>
        </w:rPr>
        <w:t>5.2  测量和分析：(B型、M型、频谱多普勒、彩色模式)</w:t>
      </w:r>
    </w:p>
    <w:p>
      <w:pPr>
        <w:numPr>
          <w:ilvl w:val="0"/>
          <w:numId w:val="2"/>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一般测量</w:t>
      </w:r>
    </w:p>
    <w:p>
      <w:pPr>
        <w:numPr>
          <w:ilvl w:val="0"/>
          <w:numId w:val="2"/>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妇、产科测量</w:t>
      </w:r>
    </w:p>
    <w:p>
      <w:pPr>
        <w:numPr>
          <w:ilvl w:val="0"/>
          <w:numId w:val="2"/>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心脏功能测量</w:t>
      </w:r>
    </w:p>
    <w:p>
      <w:pPr>
        <w:numPr>
          <w:ilvl w:val="0"/>
          <w:numId w:val="2"/>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多普勒血流测量与分析</w:t>
      </w:r>
    </w:p>
    <w:p>
      <w:pPr>
        <w:numPr>
          <w:ilvl w:val="0"/>
          <w:numId w:val="2"/>
        </w:numPr>
        <w:tabs>
          <w:tab w:val="left" w:pos="1680"/>
          <w:tab w:val="clear" w:pos="720"/>
        </w:tabs>
        <w:spacing w:line="500" w:lineRule="exact"/>
        <w:ind w:left="1680" w:hanging="841"/>
        <w:rPr>
          <w:rFonts w:hint="eastAsia" w:ascii="宋体" w:hAnsi="宋体" w:eastAsia="宋体" w:cs="宋体"/>
          <w:sz w:val="24"/>
          <w:szCs w:val="24"/>
        </w:rPr>
      </w:pPr>
      <w:r>
        <w:rPr>
          <w:rFonts w:hint="eastAsia" w:ascii="宋体" w:hAnsi="宋体" w:eastAsia="宋体" w:cs="宋体"/>
          <w:sz w:val="24"/>
          <w:szCs w:val="24"/>
        </w:rPr>
        <w:t>外周血管测量与分析</w:t>
      </w:r>
    </w:p>
    <w:p>
      <w:pPr>
        <w:spacing w:line="500" w:lineRule="exact"/>
        <w:ind w:left="420" w:leftChars="200"/>
        <w:rPr>
          <w:rFonts w:hint="eastAsia" w:ascii="宋体" w:hAnsi="宋体" w:eastAsia="宋体" w:cs="宋体"/>
          <w:b/>
          <w:bCs/>
          <w:sz w:val="24"/>
          <w:szCs w:val="24"/>
        </w:rPr>
      </w:pPr>
      <w:r>
        <w:rPr>
          <w:rFonts w:hint="eastAsia" w:ascii="宋体" w:hAnsi="宋体" w:eastAsia="宋体" w:cs="宋体"/>
          <w:b/>
          <w:bCs/>
          <w:sz w:val="24"/>
          <w:szCs w:val="24"/>
        </w:rPr>
        <w:t>5.3图像存储与(电影)回放重现单元</w:t>
      </w:r>
    </w:p>
    <w:p>
      <w:pPr>
        <w:numPr>
          <w:ilvl w:val="0"/>
          <w:numId w:val="3"/>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超声图像静态、动态存储，以剪贴板形式显示在荧屏上，能以鼠标调用</w:t>
      </w:r>
    </w:p>
    <w:p>
      <w:pPr>
        <w:numPr>
          <w:ilvl w:val="0"/>
          <w:numId w:val="3"/>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可对回放的图像调节增益、基线、彩色图类型、扫描速度</w:t>
      </w:r>
    </w:p>
    <w:p>
      <w:pPr>
        <w:numPr>
          <w:ilvl w:val="0"/>
          <w:numId w:val="3"/>
        </w:numPr>
        <w:spacing w:line="500" w:lineRule="exact"/>
        <w:ind w:left="1680" w:hanging="840"/>
        <w:rPr>
          <w:rFonts w:hint="eastAsia" w:ascii="宋体" w:hAnsi="宋体" w:eastAsia="宋体" w:cs="宋体"/>
          <w:sz w:val="24"/>
          <w:szCs w:val="24"/>
        </w:rPr>
      </w:pPr>
      <w:r>
        <w:rPr>
          <w:rFonts w:hint="eastAsia" w:ascii="宋体" w:hAnsi="宋体" w:eastAsia="宋体" w:cs="宋体"/>
          <w:sz w:val="24"/>
          <w:szCs w:val="24"/>
        </w:rPr>
        <w:t>一体化病案管理单元包括病人资料、报告、图像等的存储、修改、检索和打印等。</w:t>
      </w:r>
    </w:p>
    <w:p>
      <w:pPr>
        <w:spacing w:line="500" w:lineRule="exact"/>
        <w:ind w:left="420"/>
        <w:rPr>
          <w:rFonts w:hint="eastAsia" w:ascii="宋体" w:hAnsi="宋体" w:eastAsia="宋体" w:cs="宋体"/>
          <w:b/>
          <w:bCs/>
          <w:sz w:val="24"/>
          <w:szCs w:val="24"/>
        </w:rPr>
      </w:pPr>
      <w:r>
        <w:rPr>
          <w:rFonts w:hint="eastAsia" w:ascii="宋体" w:hAnsi="宋体" w:eastAsia="宋体" w:cs="宋体"/>
          <w:b/>
          <w:bCs/>
          <w:sz w:val="24"/>
          <w:szCs w:val="24"/>
        </w:rPr>
        <w:t>5.4输入/输出信号：</w:t>
      </w:r>
    </w:p>
    <w:p>
      <w:pPr>
        <w:numPr>
          <w:ilvl w:val="0"/>
          <w:numId w:val="4"/>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输入：USB</w:t>
      </w:r>
    </w:p>
    <w:p>
      <w:pPr>
        <w:numPr>
          <w:ilvl w:val="0"/>
          <w:numId w:val="4"/>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输出：S-Video、USB、VGA、HDMI</w:t>
      </w:r>
    </w:p>
    <w:p>
      <w:pPr>
        <w:numPr>
          <w:ilvl w:val="0"/>
          <w:numId w:val="4"/>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可配DICOM 3.0接口</w:t>
      </w:r>
    </w:p>
    <w:p>
      <w:pPr>
        <w:spacing w:line="500" w:lineRule="exact"/>
        <w:ind w:left="420"/>
        <w:rPr>
          <w:rFonts w:hint="eastAsia" w:ascii="宋体" w:hAnsi="宋体" w:eastAsia="宋体" w:cs="宋体"/>
          <w:b/>
          <w:bCs/>
          <w:sz w:val="24"/>
          <w:szCs w:val="24"/>
        </w:rPr>
      </w:pPr>
      <w:r>
        <w:rPr>
          <w:rFonts w:hint="eastAsia" w:ascii="宋体" w:hAnsi="宋体" w:eastAsia="宋体" w:cs="宋体"/>
          <w:b/>
          <w:bCs/>
          <w:sz w:val="24"/>
          <w:szCs w:val="24"/>
        </w:rPr>
        <w:t>5.5图像管理与记录装置：</w:t>
      </w:r>
    </w:p>
    <w:p>
      <w:pPr>
        <w:numPr>
          <w:ilvl w:val="0"/>
          <w:numId w:val="5"/>
        </w:numPr>
        <w:spacing w:line="500" w:lineRule="exact"/>
        <w:ind w:left="1680" w:hanging="840"/>
        <w:rPr>
          <w:rFonts w:hint="eastAsia" w:ascii="宋体" w:hAnsi="宋体" w:eastAsia="宋体" w:cs="宋体"/>
          <w:sz w:val="24"/>
          <w:szCs w:val="24"/>
        </w:rPr>
      </w:pPr>
      <w:r>
        <w:rPr>
          <w:rFonts w:hint="eastAsia" w:ascii="宋体" w:hAnsi="宋体" w:eastAsia="宋体" w:cs="宋体"/>
          <w:sz w:val="24"/>
          <w:szCs w:val="24"/>
        </w:rPr>
        <w:t>超声图像存档与病案管理系统（动态图像、静态图像以PC通用格式直接存储，无需特殊软件即能在普通PC 机上直接观看图像）</w:t>
      </w:r>
    </w:p>
    <w:p>
      <w:pPr>
        <w:numPr>
          <w:ilvl w:val="0"/>
          <w:numId w:val="5"/>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内置硬盘可大容量储存</w:t>
      </w:r>
    </w:p>
    <w:p>
      <w:pPr>
        <w:numPr>
          <w:ilvl w:val="0"/>
          <w:numId w:val="5"/>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CD－RW/DVD -RW刻录机</w:t>
      </w:r>
    </w:p>
    <w:p>
      <w:pPr>
        <w:numPr>
          <w:ilvl w:val="0"/>
          <w:numId w:val="5"/>
        </w:numPr>
        <w:spacing w:line="500" w:lineRule="exact"/>
        <w:ind w:firstLine="415"/>
        <w:rPr>
          <w:rFonts w:hint="eastAsia" w:ascii="宋体" w:hAnsi="宋体" w:eastAsia="宋体" w:cs="宋体"/>
          <w:sz w:val="24"/>
          <w:szCs w:val="24"/>
        </w:rPr>
      </w:pPr>
      <w:r>
        <w:rPr>
          <w:rFonts w:hint="eastAsia" w:ascii="宋体" w:hAnsi="宋体" w:eastAsia="宋体" w:cs="宋体"/>
          <w:sz w:val="24"/>
          <w:szCs w:val="24"/>
        </w:rPr>
        <w:t>USB接口≥5个，支持USB移动存储设备</w:t>
      </w:r>
    </w:p>
    <w:p>
      <w:pPr>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技术参数及要求：</w:t>
      </w:r>
    </w:p>
    <w:p>
      <w:pPr>
        <w:spacing w:line="500" w:lineRule="exact"/>
        <w:ind w:firstLine="525"/>
        <w:rPr>
          <w:rFonts w:hint="eastAsia" w:ascii="宋体" w:hAnsi="宋体" w:eastAsia="宋体" w:cs="宋体"/>
          <w:b/>
          <w:bCs/>
          <w:sz w:val="24"/>
          <w:szCs w:val="24"/>
        </w:rPr>
      </w:pPr>
      <w:r>
        <w:rPr>
          <w:rFonts w:hint="eastAsia" w:ascii="宋体" w:hAnsi="宋体" w:eastAsia="宋体" w:cs="宋体"/>
          <w:b/>
          <w:bCs/>
          <w:sz w:val="24"/>
          <w:szCs w:val="24"/>
        </w:rPr>
        <w:t>6.1  系统通用功能：</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*监 视 器：≥22.5″ 高分辨率彩色显示器</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扫描方式：逐行扫描，高分辨率，全方位关节臂旋转</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探头接口可随意互换使用</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*探头接口为无针式接口，有探头接口防尘盖板</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*具备≥12″液晶触摸屏（技术白皮书证明）</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*操作控制台可电动调节高度，并可左右转动</w:t>
      </w:r>
    </w:p>
    <w:p>
      <w:pPr>
        <w:numPr>
          <w:ilvl w:val="1"/>
          <w:numId w:val="6"/>
        </w:numPr>
        <w:tabs>
          <w:tab w:val="left" w:pos="1245"/>
          <w:tab w:val="clear" w:pos="945"/>
        </w:tabs>
        <w:spacing w:line="500" w:lineRule="exact"/>
        <w:ind w:left="950" w:hanging="110"/>
        <w:rPr>
          <w:rFonts w:hint="eastAsia" w:ascii="宋体" w:hAnsi="宋体" w:eastAsia="宋体" w:cs="宋体"/>
          <w:sz w:val="24"/>
          <w:szCs w:val="24"/>
        </w:rPr>
      </w:pPr>
      <w:r>
        <w:rPr>
          <w:rFonts w:hint="eastAsia" w:ascii="宋体" w:hAnsi="宋体" w:eastAsia="宋体" w:cs="宋体"/>
          <w:sz w:val="24"/>
          <w:szCs w:val="24"/>
        </w:rPr>
        <w:t>电缆防缠绕管理系统</w:t>
      </w:r>
    </w:p>
    <w:p>
      <w:pPr>
        <w:spacing w:line="500" w:lineRule="exact"/>
        <w:ind w:firstLine="525"/>
        <w:outlineLvl w:val="0"/>
        <w:rPr>
          <w:rFonts w:hint="eastAsia" w:ascii="宋体" w:hAnsi="宋体" w:eastAsia="宋体" w:cs="宋体"/>
          <w:b/>
          <w:bCs/>
          <w:sz w:val="24"/>
          <w:szCs w:val="24"/>
        </w:rPr>
      </w:pPr>
      <w:r>
        <w:rPr>
          <w:rFonts w:hint="eastAsia" w:ascii="宋体" w:hAnsi="宋体" w:eastAsia="宋体" w:cs="宋体"/>
          <w:b/>
          <w:bCs/>
          <w:sz w:val="24"/>
          <w:szCs w:val="24"/>
        </w:rPr>
        <w:t>6.2探头规格</w:t>
      </w:r>
    </w:p>
    <w:p>
      <w:pPr>
        <w:numPr>
          <w:ilvl w:val="2"/>
          <w:numId w:val="6"/>
        </w:numPr>
        <w:tabs>
          <w:tab w:val="left" w:pos="1665"/>
          <w:tab w:val="clear" w:pos="1365"/>
        </w:tabs>
        <w:spacing w:line="500" w:lineRule="exact"/>
        <w:ind w:left="1680" w:hanging="735"/>
        <w:rPr>
          <w:rFonts w:hint="eastAsia" w:ascii="宋体" w:hAnsi="宋体" w:eastAsia="宋体" w:cs="宋体"/>
          <w:sz w:val="24"/>
          <w:szCs w:val="24"/>
        </w:rPr>
      </w:pPr>
      <w:r>
        <w:rPr>
          <w:rFonts w:hint="eastAsia" w:ascii="宋体" w:hAnsi="宋体" w:eastAsia="宋体" w:cs="宋体"/>
          <w:sz w:val="24"/>
          <w:szCs w:val="24"/>
        </w:rPr>
        <w:t>频率：超宽频、变频探头, 工作频率明确显示，变频探头中心频率可选择  ≥2种，多普勒可选不同频率</w:t>
      </w:r>
    </w:p>
    <w:p>
      <w:pPr>
        <w:numPr>
          <w:ilvl w:val="2"/>
          <w:numId w:val="6"/>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振子：腔内容积探头阵元数≥192振子</w:t>
      </w:r>
    </w:p>
    <w:p>
      <w:pPr>
        <w:numPr>
          <w:ilvl w:val="2"/>
          <w:numId w:val="6"/>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B/D兼用：线   阵：B/PWD</w:t>
      </w:r>
    </w:p>
    <w:p>
      <w:pPr>
        <w:spacing w:line="500" w:lineRule="exact"/>
        <w:ind w:firstLine="2880" w:firstLineChars="1200"/>
        <w:rPr>
          <w:rFonts w:hint="eastAsia" w:ascii="宋体" w:hAnsi="宋体" w:eastAsia="宋体" w:cs="宋体"/>
          <w:sz w:val="24"/>
          <w:szCs w:val="24"/>
        </w:rPr>
      </w:pPr>
      <w:r>
        <w:rPr>
          <w:rFonts w:hint="eastAsia" w:ascii="宋体" w:hAnsi="宋体" w:eastAsia="宋体" w:cs="宋体"/>
          <w:sz w:val="24"/>
          <w:szCs w:val="24"/>
        </w:rPr>
        <w:t>凸   阵：B/PWD</w:t>
      </w:r>
    </w:p>
    <w:p>
      <w:pPr>
        <w:numPr>
          <w:ilvl w:val="2"/>
          <w:numId w:val="6"/>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穿刺导向：可配穿刺导向装置</w:t>
      </w:r>
    </w:p>
    <w:p>
      <w:pPr>
        <w:numPr>
          <w:ilvl w:val="2"/>
          <w:numId w:val="6"/>
        </w:numPr>
        <w:tabs>
          <w:tab w:val="left" w:pos="1665"/>
          <w:tab w:val="clear" w:pos="1365"/>
        </w:tabs>
        <w:spacing w:line="500" w:lineRule="exact"/>
        <w:ind w:left="1370" w:hanging="425"/>
        <w:rPr>
          <w:rFonts w:hint="eastAsia" w:ascii="宋体" w:hAnsi="宋体" w:eastAsia="宋体" w:cs="宋体"/>
          <w:sz w:val="24"/>
          <w:szCs w:val="24"/>
        </w:rPr>
      </w:pPr>
      <w:r>
        <w:rPr>
          <w:rFonts w:hint="eastAsia" w:ascii="宋体" w:hAnsi="宋体" w:eastAsia="宋体" w:cs="宋体"/>
          <w:sz w:val="24"/>
          <w:szCs w:val="24"/>
        </w:rPr>
        <w:t>具有实时立体成像探头</w:t>
      </w:r>
    </w:p>
    <w:p>
      <w:pPr>
        <w:spacing w:line="500" w:lineRule="exact"/>
        <w:ind w:firstLine="525"/>
        <w:outlineLvl w:val="0"/>
        <w:rPr>
          <w:rFonts w:hint="eastAsia" w:ascii="宋体" w:hAnsi="宋体" w:eastAsia="宋体" w:cs="宋体"/>
          <w:b/>
          <w:bCs/>
          <w:sz w:val="24"/>
          <w:szCs w:val="24"/>
        </w:rPr>
      </w:pPr>
      <w:r>
        <w:rPr>
          <w:rFonts w:hint="eastAsia" w:ascii="宋体" w:hAnsi="宋体" w:eastAsia="宋体" w:cs="宋体"/>
          <w:b/>
          <w:bCs/>
          <w:sz w:val="24"/>
          <w:szCs w:val="24"/>
        </w:rPr>
        <w:t>6.3   二维灰阶显像主要参数：</w:t>
      </w:r>
    </w:p>
    <w:p>
      <w:pPr>
        <w:numPr>
          <w:ilvl w:val="2"/>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*扫描：</w:t>
      </w:r>
    </w:p>
    <w:p>
      <w:pPr>
        <w:spacing w:line="500" w:lineRule="exact"/>
        <w:ind w:left="2670" w:leftChars="700" w:hanging="1200" w:hangingChars="500"/>
        <w:rPr>
          <w:rFonts w:hint="eastAsia" w:ascii="宋体" w:hAnsi="宋体" w:eastAsia="宋体" w:cs="宋体"/>
          <w:sz w:val="24"/>
          <w:szCs w:val="24"/>
        </w:rPr>
      </w:pPr>
      <w:r>
        <w:rPr>
          <w:rFonts w:hint="eastAsia" w:ascii="宋体" w:hAnsi="宋体" w:eastAsia="宋体" w:cs="宋体"/>
          <w:sz w:val="24"/>
          <w:szCs w:val="24"/>
        </w:rPr>
        <w:t>电子凸阵：超声频率2.0 — 5.0MHz</w:t>
      </w:r>
    </w:p>
    <w:p>
      <w:pPr>
        <w:spacing w:line="500" w:lineRule="exact"/>
        <w:ind w:left="2670" w:leftChars="700" w:hanging="1200" w:hangingChars="500"/>
        <w:rPr>
          <w:rFonts w:hint="eastAsia" w:ascii="宋体" w:hAnsi="宋体" w:eastAsia="宋体" w:cs="宋体"/>
          <w:sz w:val="24"/>
          <w:szCs w:val="24"/>
        </w:rPr>
      </w:pPr>
      <w:r>
        <w:rPr>
          <w:rFonts w:hint="eastAsia" w:ascii="宋体" w:hAnsi="宋体" w:eastAsia="宋体" w:cs="宋体"/>
          <w:sz w:val="24"/>
          <w:szCs w:val="24"/>
        </w:rPr>
        <w:t>腹部容积凸阵：超声频率 2.0—7.0MHz</w:t>
      </w:r>
    </w:p>
    <w:p>
      <w:pPr>
        <w:spacing w:line="500" w:lineRule="exact"/>
        <w:ind w:left="2670" w:leftChars="700" w:hanging="1200" w:hangingChars="500"/>
        <w:rPr>
          <w:rFonts w:hint="eastAsia" w:ascii="宋体" w:hAnsi="宋体" w:eastAsia="宋体" w:cs="宋体"/>
          <w:sz w:val="24"/>
          <w:szCs w:val="24"/>
        </w:rPr>
      </w:pPr>
      <w:r>
        <w:rPr>
          <w:rFonts w:hint="eastAsia" w:ascii="宋体" w:hAnsi="宋体" w:eastAsia="宋体" w:cs="宋体"/>
          <w:sz w:val="24"/>
          <w:szCs w:val="24"/>
        </w:rPr>
        <w:t>电子线阵探头：超声频率4.0 —10.0MHz</w:t>
      </w:r>
    </w:p>
    <w:p>
      <w:pPr>
        <w:numPr>
          <w:ilvl w:val="2"/>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扫描速率：凸型探头，全视野，18cm深度时，帧速率≥44帧/秒</w:t>
      </w:r>
    </w:p>
    <w:p>
      <w:pPr>
        <w:numPr>
          <w:ilvl w:val="2"/>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扫 描 线：每帧线密度≥230超声线</w:t>
      </w:r>
    </w:p>
    <w:p>
      <w:pPr>
        <w:numPr>
          <w:ilvl w:val="2"/>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发射声束聚焦：发射≥8段</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接收方式：发射、接收多倍信号并行处理，接收超声信号动态范围264 dB</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数字式声束形成器：数字式全程动态聚焦，数字式可变孔径及动态变迹，A/D≥12 Bits</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谐波成像基波频率个数≥2</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回放重现：灰阶图像回放≥5000幅、回放时间≥180秒；4D图像回放380容积</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预设条件：针对不同的检查脏器，预置最佳化图像的检查条件，减少操作时的调节，及常用所需的外部调节及组合调节</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增益调节：B/M可独立调节</w:t>
      </w:r>
    </w:p>
    <w:p>
      <w:pPr>
        <w:spacing w:line="500" w:lineRule="exact"/>
        <w:ind w:left="840" w:firstLine="1890"/>
        <w:rPr>
          <w:rFonts w:hint="eastAsia" w:ascii="宋体" w:hAnsi="宋体" w:eastAsia="宋体" w:cs="宋体"/>
          <w:sz w:val="24"/>
          <w:szCs w:val="24"/>
        </w:rPr>
      </w:pPr>
      <w:r>
        <w:rPr>
          <w:rFonts w:hint="eastAsia" w:ascii="宋体" w:hAnsi="宋体" w:eastAsia="宋体" w:cs="宋体"/>
          <w:sz w:val="24"/>
          <w:szCs w:val="24"/>
        </w:rPr>
        <w:t>STC分段≥8</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放大功能：实时任意区域局部放大功能</w:t>
      </w:r>
    </w:p>
    <w:p>
      <w:pPr>
        <w:numPr>
          <w:ilvl w:val="2"/>
          <w:numId w:val="7"/>
        </w:numPr>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空间分辨率：符合GB10152-2009国家标准</w:t>
      </w:r>
    </w:p>
    <w:p>
      <w:pPr>
        <w:spacing w:line="500" w:lineRule="exact"/>
        <w:ind w:firstLine="525"/>
        <w:outlineLvl w:val="0"/>
        <w:rPr>
          <w:rFonts w:hint="eastAsia" w:ascii="宋体" w:hAnsi="宋体" w:eastAsia="宋体" w:cs="宋体"/>
          <w:b/>
          <w:bCs/>
          <w:sz w:val="24"/>
          <w:szCs w:val="24"/>
        </w:rPr>
      </w:pPr>
      <w:r>
        <w:rPr>
          <w:rFonts w:hint="eastAsia" w:ascii="宋体" w:hAnsi="宋体" w:eastAsia="宋体" w:cs="宋体"/>
          <w:b/>
          <w:bCs/>
          <w:sz w:val="24"/>
          <w:szCs w:val="24"/>
        </w:rPr>
        <w:t>6.4频谱多普勒：</w:t>
      </w:r>
    </w:p>
    <w:p>
      <w:pPr>
        <w:numPr>
          <w:ilvl w:val="3"/>
          <w:numId w:val="7"/>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方式：脉冲波多普勒：PWD；连续波多普勒：CWD</w:t>
      </w:r>
    </w:p>
    <w:p>
      <w:pPr>
        <w:numPr>
          <w:ilvl w:val="3"/>
          <w:numId w:val="7"/>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最大测量速度：</w:t>
      </w:r>
    </w:p>
    <w:p>
      <w:pPr>
        <w:spacing w:line="500" w:lineRule="exact"/>
        <w:ind w:left="425" w:firstLine="1780"/>
        <w:rPr>
          <w:rFonts w:hint="eastAsia" w:ascii="宋体" w:hAnsi="宋体" w:eastAsia="宋体" w:cs="宋体"/>
          <w:sz w:val="24"/>
          <w:szCs w:val="24"/>
        </w:rPr>
      </w:pPr>
      <w:r>
        <w:rPr>
          <w:rFonts w:hint="eastAsia" w:ascii="宋体" w:hAnsi="宋体" w:eastAsia="宋体" w:cs="宋体"/>
          <w:sz w:val="24"/>
          <w:szCs w:val="24"/>
        </w:rPr>
        <w:t>PWD：血流速度最大15.0m/s</w:t>
      </w:r>
    </w:p>
    <w:p>
      <w:pPr>
        <w:spacing w:line="500" w:lineRule="exact"/>
        <w:ind w:left="425" w:firstLine="1780"/>
        <w:rPr>
          <w:rFonts w:hint="eastAsia" w:ascii="宋体" w:hAnsi="宋体" w:eastAsia="宋体" w:cs="宋体"/>
          <w:sz w:val="24"/>
          <w:szCs w:val="24"/>
        </w:rPr>
      </w:pPr>
      <w:r>
        <w:rPr>
          <w:rFonts w:hint="eastAsia" w:ascii="宋体" w:hAnsi="宋体" w:eastAsia="宋体" w:cs="宋体"/>
          <w:sz w:val="24"/>
          <w:szCs w:val="24"/>
        </w:rPr>
        <w:t>CWD：血流速度最大22.0m/s</w:t>
      </w:r>
    </w:p>
    <w:p>
      <w:pPr>
        <w:numPr>
          <w:ilvl w:val="3"/>
          <w:numId w:val="7"/>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显示方式：B、B/D、B/M、B＋B、D</w:t>
      </w:r>
    </w:p>
    <w:p>
      <w:pPr>
        <w:numPr>
          <w:ilvl w:val="3"/>
          <w:numId w:val="7"/>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电影回放：≥580秒</w:t>
      </w:r>
    </w:p>
    <w:p>
      <w:pPr>
        <w:numPr>
          <w:ilvl w:val="3"/>
          <w:numId w:val="7"/>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零位移动：分级</w:t>
      </w:r>
    </w:p>
    <w:p>
      <w:pPr>
        <w:numPr>
          <w:ilvl w:val="3"/>
          <w:numId w:val="7"/>
        </w:numPr>
        <w:tabs>
          <w:tab w:val="left" w:pos="1575"/>
          <w:tab w:val="clear" w:pos="1980"/>
        </w:tabs>
        <w:spacing w:line="500" w:lineRule="exact"/>
        <w:ind w:left="1575" w:hanging="735"/>
        <w:rPr>
          <w:rFonts w:hint="eastAsia" w:ascii="宋体" w:hAnsi="宋体" w:eastAsia="宋体" w:cs="宋体"/>
          <w:sz w:val="24"/>
          <w:szCs w:val="24"/>
        </w:rPr>
      </w:pPr>
      <w:r>
        <w:rPr>
          <w:rFonts w:hint="eastAsia" w:ascii="宋体" w:hAnsi="宋体" w:eastAsia="宋体" w:cs="宋体"/>
          <w:sz w:val="24"/>
          <w:szCs w:val="24"/>
        </w:rPr>
        <w:t>显示控制：反转显示(左/右；上/下)零移位、</w:t>
      </w:r>
    </w:p>
    <w:p>
      <w:pPr>
        <w:spacing w:line="500" w:lineRule="exact"/>
        <w:ind w:left="1175" w:firstLine="400"/>
        <w:rPr>
          <w:rFonts w:hint="eastAsia" w:ascii="宋体" w:hAnsi="宋体" w:eastAsia="宋体" w:cs="宋体"/>
          <w:sz w:val="24"/>
          <w:szCs w:val="24"/>
        </w:rPr>
      </w:pPr>
      <w:r>
        <w:rPr>
          <w:rFonts w:hint="eastAsia" w:ascii="宋体" w:hAnsi="宋体" w:eastAsia="宋体" w:cs="宋体"/>
          <w:sz w:val="24"/>
          <w:szCs w:val="24"/>
        </w:rPr>
        <w:t>B—刷新(手控、时间)、D扩展、B/D扩展，局放及移位</w:t>
      </w:r>
    </w:p>
    <w:p>
      <w:pPr>
        <w:spacing w:line="500" w:lineRule="exact"/>
        <w:ind w:firstLine="525"/>
        <w:outlineLvl w:val="0"/>
        <w:rPr>
          <w:rFonts w:hint="eastAsia" w:ascii="宋体" w:hAnsi="宋体" w:eastAsia="宋体" w:cs="宋体"/>
          <w:b/>
          <w:sz w:val="24"/>
          <w:szCs w:val="24"/>
        </w:rPr>
      </w:pPr>
      <w:r>
        <w:rPr>
          <w:rFonts w:hint="eastAsia" w:ascii="宋体" w:hAnsi="宋体" w:eastAsia="宋体" w:cs="宋体"/>
          <w:b/>
          <w:sz w:val="24"/>
          <w:szCs w:val="24"/>
        </w:rPr>
        <w:t>6.5彩色多普勒</w:t>
      </w:r>
    </w:p>
    <w:p>
      <w:pPr>
        <w:numPr>
          <w:ilvl w:val="2"/>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显示方式：速度分散显示、能量显示，速度显示、分散显示</w:t>
      </w:r>
    </w:p>
    <w:p>
      <w:pPr>
        <w:numPr>
          <w:ilvl w:val="2"/>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彩色显示帧频：</w:t>
      </w:r>
    </w:p>
    <w:p>
      <w:pPr>
        <w:spacing w:line="500" w:lineRule="exact"/>
        <w:ind w:left="632" w:firstLine="943"/>
        <w:rPr>
          <w:rFonts w:hint="eastAsia" w:ascii="宋体" w:hAnsi="宋体" w:eastAsia="宋体" w:cs="宋体"/>
          <w:sz w:val="24"/>
          <w:szCs w:val="24"/>
        </w:rPr>
      </w:pPr>
      <w:r>
        <w:rPr>
          <w:rFonts w:hint="eastAsia" w:ascii="宋体" w:hAnsi="宋体" w:eastAsia="宋体" w:cs="宋体"/>
          <w:sz w:val="24"/>
          <w:szCs w:val="24"/>
        </w:rPr>
        <w:t>凸阵探头、最大角度，18cm深时，彩色显示帧频≥19帧/ S</w:t>
      </w:r>
    </w:p>
    <w:p>
      <w:pPr>
        <w:numPr>
          <w:ilvl w:val="2"/>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显示位置调整：线阵扫描感兴趣的图像范围：-20°～+20°</w:t>
      </w:r>
    </w:p>
    <w:p>
      <w:pPr>
        <w:numPr>
          <w:ilvl w:val="2"/>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显示控制：零位移动分级、黑/白与彩色比较、彩色对比</w:t>
      </w:r>
    </w:p>
    <w:p>
      <w:pPr>
        <w:numPr>
          <w:ilvl w:val="2"/>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彩色增强功能：彩色多普勒能量图</w:t>
      </w:r>
    </w:p>
    <w:p>
      <w:pPr>
        <w:spacing w:line="500" w:lineRule="exact"/>
        <w:ind w:left="1470" w:hanging="945"/>
        <w:outlineLvl w:val="0"/>
        <w:rPr>
          <w:rFonts w:hint="eastAsia" w:ascii="宋体" w:hAnsi="宋体" w:eastAsia="宋体" w:cs="宋体"/>
          <w:b/>
          <w:bCs/>
          <w:sz w:val="24"/>
          <w:szCs w:val="24"/>
        </w:rPr>
      </w:pPr>
      <w:r>
        <w:rPr>
          <w:rFonts w:hint="eastAsia" w:ascii="宋体" w:hAnsi="宋体" w:eastAsia="宋体" w:cs="宋体"/>
          <w:b/>
          <w:bCs/>
          <w:sz w:val="24"/>
          <w:szCs w:val="24"/>
        </w:rPr>
        <w:t>6.6 超声功率输出调节：</w:t>
      </w:r>
    </w:p>
    <w:p>
      <w:pPr>
        <w:spacing w:line="500" w:lineRule="exact"/>
        <w:ind w:left="1678" w:leftChars="700" w:hanging="208" w:hangingChars="87"/>
        <w:rPr>
          <w:rFonts w:hint="eastAsia" w:ascii="宋体" w:hAnsi="宋体" w:eastAsia="宋体" w:cs="宋体"/>
          <w:sz w:val="24"/>
          <w:szCs w:val="24"/>
        </w:rPr>
      </w:pPr>
      <w:r>
        <w:rPr>
          <w:rFonts w:hint="eastAsia" w:ascii="宋体" w:hAnsi="宋体" w:eastAsia="宋体" w:cs="宋体"/>
          <w:sz w:val="24"/>
          <w:szCs w:val="24"/>
        </w:rPr>
        <w:t>B/M、PWD、Color Doppler输出功率可调</w:t>
      </w:r>
    </w:p>
    <w:p>
      <w:pPr>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技术培训要求</w:t>
      </w:r>
    </w:p>
    <w:p>
      <w:pPr>
        <w:spacing w:line="500" w:lineRule="exact"/>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7.1 现场培训：</w:t>
      </w:r>
    </w:p>
    <w:p>
      <w:pPr>
        <w:spacing w:line="500" w:lineRule="exact"/>
        <w:ind w:left="525" w:firstLine="525"/>
        <w:rPr>
          <w:rFonts w:hint="eastAsia" w:ascii="宋体" w:hAnsi="宋体" w:eastAsia="宋体" w:cs="宋体"/>
          <w:sz w:val="24"/>
          <w:szCs w:val="24"/>
        </w:rPr>
      </w:pPr>
      <w:r>
        <w:rPr>
          <w:rFonts w:hint="eastAsia" w:ascii="宋体" w:hAnsi="宋体" w:eastAsia="宋体" w:cs="宋体"/>
          <w:sz w:val="24"/>
          <w:szCs w:val="24"/>
        </w:rPr>
        <w:t>卖方应提供现场技术培训，保证使用人员正常操作设备的各种功能。</w:t>
      </w:r>
    </w:p>
    <w:p>
      <w:pPr>
        <w:spacing w:line="500" w:lineRule="exact"/>
        <w:ind w:firstLine="482" w:firstLineChars="200"/>
        <w:outlineLvl w:val="0"/>
        <w:rPr>
          <w:rFonts w:hint="eastAsia" w:ascii="宋体" w:hAnsi="宋体" w:eastAsia="宋体" w:cs="宋体"/>
          <w:b/>
          <w:bCs/>
          <w:sz w:val="24"/>
          <w:szCs w:val="24"/>
        </w:rPr>
      </w:pPr>
      <w:r>
        <w:rPr>
          <w:rFonts w:hint="eastAsia" w:ascii="宋体" w:hAnsi="宋体" w:eastAsia="宋体" w:cs="宋体"/>
          <w:b/>
          <w:bCs/>
          <w:sz w:val="24"/>
          <w:szCs w:val="24"/>
        </w:rPr>
        <w:t>7.2集中培训：</w:t>
      </w:r>
    </w:p>
    <w:p>
      <w:pPr>
        <w:tabs>
          <w:tab w:val="left" w:pos="315"/>
        </w:tabs>
        <w:spacing w:line="500" w:lineRule="exact"/>
        <w:ind w:firstLine="525"/>
        <w:rPr>
          <w:rFonts w:hint="eastAsia" w:ascii="宋体" w:hAnsi="宋体" w:eastAsia="宋体" w:cs="宋体"/>
          <w:sz w:val="24"/>
          <w:szCs w:val="24"/>
        </w:rPr>
      </w:pPr>
      <w:r>
        <w:rPr>
          <w:rFonts w:hint="eastAsia" w:ascii="宋体" w:hAnsi="宋体" w:eastAsia="宋体" w:cs="宋体"/>
          <w:sz w:val="24"/>
          <w:szCs w:val="24"/>
        </w:rPr>
        <w:t xml:space="preserve">     根据设备技术要求，可向买方提供使用和维修技术人员培训。</w:t>
      </w:r>
    </w:p>
    <w:p>
      <w:pPr>
        <w:numPr>
          <w:ilvl w:val="1"/>
          <w:numId w:val="9"/>
        </w:numPr>
        <w:tabs>
          <w:tab w:val="left" w:pos="902"/>
        </w:tabs>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网络教育：</w:t>
      </w:r>
    </w:p>
    <w:p>
      <w:pPr>
        <w:tabs>
          <w:tab w:val="left" w:pos="315"/>
        </w:tabs>
        <w:spacing w:line="500" w:lineRule="exact"/>
        <w:ind w:left="521" w:leftChars="248"/>
        <w:rPr>
          <w:rFonts w:hint="eastAsia" w:ascii="宋体" w:hAnsi="宋体" w:eastAsia="宋体" w:cs="宋体"/>
          <w:sz w:val="24"/>
          <w:szCs w:val="24"/>
        </w:rPr>
      </w:pPr>
      <w:r>
        <w:rPr>
          <w:rFonts w:hint="eastAsia" w:ascii="宋体" w:hAnsi="宋体" w:eastAsia="宋体" w:cs="宋体"/>
          <w:sz w:val="24"/>
          <w:szCs w:val="24"/>
        </w:rPr>
        <w:t>* 专业化产品俱乐部网站，提供与世界各地用户和专家进行网上交流和学习的平台，并随时了解最新的技术进展和各种教育课程、会议信息（附登录图）</w:t>
      </w:r>
    </w:p>
    <w:p>
      <w:pPr>
        <w:autoSpaceDE w:val="0"/>
        <w:autoSpaceDN w:val="0"/>
        <w:ind w:left="420" w:leftChars="200"/>
        <w:jc w:val="left"/>
        <w:textAlignment w:val="auto"/>
        <w:rPr>
          <w:rFonts w:hint="eastAsia" w:ascii="宋体" w:hAnsi="宋体" w:eastAsia="宋体" w:cs="宋体"/>
          <w:kern w:val="0"/>
          <w:sz w:val="24"/>
          <w:szCs w:val="24"/>
          <w:lang w:val="zh-CN"/>
        </w:rPr>
      </w:pPr>
      <w:r>
        <w:rPr>
          <w:rFonts w:hint="eastAsia" w:ascii="宋体" w:hAnsi="宋体" w:eastAsia="宋体" w:cs="宋体"/>
          <w:sz w:val="24"/>
          <w:szCs w:val="24"/>
        </w:rPr>
        <w:t>*远程支持模块：可以通过IPad等无线设备连接互联网迅速、便捷、高效地得到来自于厂家的高质量的远程应用支持服务，解决使用机器中出现的问题（样机现场演示或者操作视频证明）。</w:t>
      </w:r>
    </w:p>
    <w:p>
      <w:pPr>
        <w:autoSpaceDE w:val="0"/>
        <w:autoSpaceDN w:val="0"/>
        <w:adjustRightInd w:val="0"/>
        <w:snapToGrid w:val="0"/>
        <w:spacing w:line="360" w:lineRule="auto"/>
        <w:rPr>
          <w:rFonts w:hint="eastAsia" w:ascii="宋体" w:hAnsi="宋体"/>
          <w:b/>
          <w:sz w:val="24"/>
        </w:rPr>
      </w:pPr>
    </w:p>
    <w:p>
      <w:pPr>
        <w:tabs>
          <w:tab w:val="left" w:pos="315"/>
        </w:tabs>
        <w:spacing w:line="500" w:lineRule="exact"/>
        <w:ind w:left="521" w:leftChars="248"/>
        <w:rPr>
          <w:rFonts w:hint="eastAsia" w:ascii="宋体" w:hAnsi="宋体"/>
          <w:b/>
          <w:sz w:val="24"/>
          <w:szCs w:val="24"/>
        </w:rPr>
      </w:pPr>
    </w:p>
    <w:p>
      <w:pPr>
        <w:snapToGrid w:val="0"/>
        <w:spacing w:line="500" w:lineRule="exact"/>
        <w:jc w:val="both"/>
        <w:rPr>
          <w:rFonts w:hint="eastAsia" w:ascii="宋体" w:hAnsi="宋体"/>
          <w:b/>
          <w:bCs/>
          <w:sz w:val="32"/>
          <w:szCs w:val="32"/>
        </w:rPr>
      </w:pPr>
    </w:p>
    <w:p>
      <w:pPr>
        <w:snapToGrid w:val="0"/>
        <w:spacing w:line="500" w:lineRule="exact"/>
        <w:jc w:val="both"/>
        <w:rPr>
          <w:rFonts w:hint="eastAsia" w:ascii="宋体" w:hAnsi="宋体"/>
          <w:b/>
          <w:bCs/>
          <w:sz w:val="32"/>
          <w:szCs w:val="32"/>
        </w:rPr>
      </w:pPr>
    </w:p>
    <w:p>
      <w:pPr>
        <w:snapToGrid w:val="0"/>
        <w:spacing w:line="500" w:lineRule="exact"/>
        <w:jc w:val="both"/>
        <w:rPr>
          <w:rFonts w:hint="eastAsia" w:ascii="宋体" w:hAnsi="宋体"/>
          <w:b/>
          <w:bCs/>
          <w:sz w:val="32"/>
          <w:szCs w:val="32"/>
        </w:rPr>
      </w:pPr>
    </w:p>
    <w:p>
      <w:pPr>
        <w:snapToGrid w:val="0"/>
        <w:spacing w:line="500" w:lineRule="exact"/>
        <w:jc w:val="both"/>
        <w:rPr>
          <w:rFonts w:hint="eastAsia" w:ascii="宋体" w:hAnsi="宋体"/>
          <w:b/>
          <w:bCs/>
          <w:sz w:val="32"/>
          <w:szCs w:val="32"/>
        </w:rPr>
      </w:pPr>
    </w:p>
    <w:p>
      <w:pPr>
        <w:snapToGrid w:val="0"/>
        <w:spacing w:line="500" w:lineRule="exact"/>
        <w:jc w:val="both"/>
        <w:rPr>
          <w:rFonts w:hint="eastAsia" w:ascii="宋体" w:hAnsi="宋体"/>
          <w:b/>
          <w:bCs/>
          <w:sz w:val="32"/>
          <w:szCs w:val="32"/>
        </w:rPr>
      </w:pPr>
    </w:p>
    <w:p>
      <w:pPr>
        <w:snapToGrid w:val="0"/>
        <w:spacing w:line="500" w:lineRule="exact"/>
        <w:ind w:firstLine="643" w:firstLineChars="200"/>
        <w:jc w:val="center"/>
        <w:rPr>
          <w:rFonts w:hint="eastAsia" w:ascii="宋体" w:hAnsi="宋体"/>
          <w:b/>
          <w:bCs/>
          <w:sz w:val="32"/>
          <w:szCs w:val="32"/>
        </w:rPr>
      </w:pPr>
      <w:r>
        <w:rPr>
          <w:rFonts w:hint="eastAsia" w:ascii="宋体" w:hAnsi="宋体"/>
          <w:b/>
          <w:bCs/>
          <w:sz w:val="32"/>
          <w:szCs w:val="32"/>
        </w:rPr>
        <w:t>评分办法及评分标准</w:t>
      </w:r>
    </w:p>
    <w:p>
      <w:pPr>
        <w:snapToGrid w:val="0"/>
        <w:spacing w:line="500" w:lineRule="exact"/>
        <w:ind w:firstLine="643" w:firstLineChars="200"/>
        <w:jc w:val="center"/>
        <w:rPr>
          <w:rFonts w:hint="eastAsia" w:ascii="宋体" w:hAnsi="宋体"/>
          <w:b/>
          <w:bCs/>
          <w:sz w:val="32"/>
          <w:szCs w:val="32"/>
        </w:rPr>
      </w:pPr>
    </w:p>
    <w:p>
      <w:pPr>
        <w:snapToGrid w:val="0"/>
        <w:spacing w:line="500" w:lineRule="exact"/>
        <w:ind w:firstLine="480" w:firstLineChars="200"/>
        <w:rPr>
          <w:rFonts w:hint="eastAsia" w:ascii="宋体" w:hAnsi="宋体"/>
          <w:bCs/>
          <w:sz w:val="24"/>
        </w:rPr>
      </w:pPr>
      <w:r>
        <w:rPr>
          <w:rFonts w:hint="eastAsia" w:ascii="宋体" w:hAnsi="宋体"/>
          <w:bCs/>
          <w:sz w:val="24"/>
        </w:rPr>
        <w:t>采用综合评分法，满分100分。</w:t>
      </w:r>
    </w:p>
    <w:p>
      <w:pPr>
        <w:snapToGrid w:val="0"/>
        <w:spacing w:line="500" w:lineRule="exact"/>
        <w:ind w:firstLine="480" w:firstLineChars="200"/>
        <w:rPr>
          <w:rFonts w:hint="eastAsia" w:ascii="宋体" w:hAnsi="宋体"/>
          <w:bCs/>
          <w:sz w:val="24"/>
        </w:rPr>
      </w:pPr>
      <w:r>
        <w:rPr>
          <w:rFonts w:hint="eastAsia" w:ascii="宋体" w:hAnsi="宋体"/>
          <w:bCs/>
          <w:sz w:val="24"/>
        </w:rPr>
        <w:t xml:space="preserve"> 综合评分法详细评审标准</w:t>
      </w:r>
    </w:p>
    <w:p>
      <w:pPr>
        <w:snapToGrid w:val="0"/>
        <w:spacing w:line="500" w:lineRule="exact"/>
        <w:ind w:firstLine="480" w:firstLineChars="200"/>
        <w:rPr>
          <w:rFonts w:hint="eastAsia" w:ascii="宋体" w:hAnsi="宋体"/>
          <w:bCs/>
          <w:sz w:val="24"/>
        </w:rPr>
      </w:pPr>
      <w:r>
        <w:rPr>
          <w:rFonts w:hint="eastAsia" w:ascii="宋体" w:hAnsi="宋体"/>
          <w:bCs/>
          <w:sz w:val="24"/>
        </w:rPr>
        <w:t>1、评分因素及分值分配</w:t>
      </w:r>
    </w:p>
    <w:tbl>
      <w:tblPr>
        <w:tblStyle w:val="5"/>
        <w:tblW w:w="84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00"/>
        <w:gridCol w:w="2876"/>
        <w:gridCol w:w="904"/>
        <w:gridCol w:w="38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0" w:hRule="atLeast"/>
          <w:jc w:val="center"/>
        </w:trPr>
        <w:tc>
          <w:tcPr>
            <w:tcW w:w="900" w:type="dxa"/>
            <w:tcBorders>
              <w:top w:val="single" w:color="auto" w:sz="12" w:space="0"/>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序号</w:t>
            </w:r>
          </w:p>
        </w:tc>
        <w:tc>
          <w:tcPr>
            <w:tcW w:w="2876" w:type="dxa"/>
            <w:tcBorders>
              <w:top w:val="single" w:color="auto" w:sz="12"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评分因素</w:t>
            </w:r>
          </w:p>
        </w:tc>
        <w:tc>
          <w:tcPr>
            <w:tcW w:w="904" w:type="dxa"/>
            <w:tcBorders>
              <w:top w:val="single" w:color="auto" w:sz="12"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满分</w:t>
            </w:r>
          </w:p>
        </w:tc>
        <w:tc>
          <w:tcPr>
            <w:tcW w:w="3815" w:type="dxa"/>
            <w:tcBorders>
              <w:top w:val="single" w:color="auto" w:sz="12"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A</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投标报价</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40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B</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技术部分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40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75"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w:t>
            </w:r>
          </w:p>
        </w:tc>
        <w:tc>
          <w:tcPr>
            <w:tcW w:w="2876"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商务部分</w:t>
            </w:r>
          </w:p>
        </w:tc>
        <w:tc>
          <w:tcPr>
            <w:tcW w:w="90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20</w:t>
            </w:r>
          </w:p>
        </w:tc>
        <w:tc>
          <w:tcPr>
            <w:tcW w:w="3815"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详见评审标准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42" w:hRule="atLeast"/>
          <w:jc w:val="center"/>
        </w:trPr>
        <w:tc>
          <w:tcPr>
            <w:tcW w:w="900" w:type="dxa"/>
            <w:tcBorders>
              <w:top w:val="single" w:color="auto" w:sz="4" w:space="0"/>
              <w:left w:val="single" w:color="auto" w:sz="12"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合计</w:t>
            </w:r>
          </w:p>
        </w:tc>
        <w:tc>
          <w:tcPr>
            <w:tcW w:w="2876" w:type="dxa"/>
            <w:tcBorders>
              <w:top w:val="single" w:color="auto" w:sz="4" w:space="0"/>
              <w:left w:val="single" w:color="auto" w:sz="4"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904" w:type="dxa"/>
            <w:tcBorders>
              <w:top w:val="single" w:color="auto" w:sz="4" w:space="0"/>
              <w:left w:val="single" w:color="auto" w:sz="4"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100</w:t>
            </w:r>
          </w:p>
        </w:tc>
        <w:tc>
          <w:tcPr>
            <w:tcW w:w="3815" w:type="dxa"/>
            <w:tcBorders>
              <w:top w:val="single" w:color="auto" w:sz="4" w:space="0"/>
              <w:left w:val="single" w:color="auto" w:sz="4" w:space="0"/>
              <w:bottom w:val="single" w:color="auto" w:sz="12" w:space="0"/>
              <w:right w:val="single" w:color="auto" w:sz="12" w:space="0"/>
            </w:tcBorders>
            <w:vAlign w:val="center"/>
          </w:tcPr>
          <w:p>
            <w:pPr>
              <w:snapToGrid w:val="0"/>
              <w:spacing w:line="500" w:lineRule="exact"/>
              <w:ind w:firstLine="480" w:firstLineChars="200"/>
              <w:rPr>
                <w:rFonts w:hint="eastAsia" w:ascii="宋体" w:hAnsi="宋体"/>
                <w:bCs/>
                <w:sz w:val="24"/>
              </w:rPr>
            </w:pPr>
          </w:p>
        </w:tc>
      </w:tr>
    </w:tbl>
    <w:p>
      <w:pPr>
        <w:snapToGrid w:val="0"/>
        <w:spacing w:line="500" w:lineRule="exact"/>
        <w:ind w:firstLine="480" w:firstLineChars="200"/>
        <w:rPr>
          <w:rFonts w:hint="eastAsia" w:ascii="宋体" w:hAnsi="宋体"/>
          <w:bCs/>
          <w:sz w:val="24"/>
        </w:rPr>
      </w:pPr>
      <w:r>
        <w:rPr>
          <w:rFonts w:hint="eastAsia" w:ascii="宋体" w:hAnsi="宋体"/>
          <w:bCs/>
          <w:sz w:val="24"/>
        </w:rPr>
        <w:t>2、评分因素及分值确定</w:t>
      </w:r>
    </w:p>
    <w:p>
      <w:pPr>
        <w:snapToGrid w:val="0"/>
        <w:spacing w:line="500" w:lineRule="exact"/>
        <w:ind w:firstLine="480" w:firstLineChars="200"/>
        <w:rPr>
          <w:rFonts w:hint="eastAsia" w:ascii="宋体" w:hAnsi="宋体"/>
          <w:bCs/>
          <w:sz w:val="24"/>
        </w:rPr>
      </w:pPr>
      <w:r>
        <w:rPr>
          <w:rFonts w:hint="eastAsia" w:ascii="宋体" w:hAnsi="宋体"/>
          <w:bCs/>
          <w:sz w:val="24"/>
        </w:rPr>
        <w:t>A、投标报价：40分</w:t>
      </w:r>
    </w:p>
    <w:tbl>
      <w:tblPr>
        <w:tblStyle w:val="5"/>
        <w:tblW w:w="8531"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9"/>
        <w:gridCol w:w="2545"/>
        <w:gridCol w:w="1178"/>
        <w:gridCol w:w="397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12" w:space="0"/>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序号</w:t>
            </w:r>
          </w:p>
        </w:tc>
        <w:tc>
          <w:tcPr>
            <w:tcW w:w="2545" w:type="dxa"/>
            <w:tcBorders>
              <w:top w:val="single" w:color="auto" w:sz="12"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评分因素</w:t>
            </w:r>
          </w:p>
        </w:tc>
        <w:tc>
          <w:tcPr>
            <w:tcW w:w="1178" w:type="dxa"/>
            <w:tcBorders>
              <w:top w:val="single" w:color="auto" w:sz="12"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分值</w:t>
            </w:r>
          </w:p>
        </w:tc>
        <w:tc>
          <w:tcPr>
            <w:tcW w:w="3979" w:type="dxa"/>
            <w:tcBorders>
              <w:top w:val="single" w:color="auto" w:sz="12"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评分标准说明</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29" w:type="dxa"/>
            <w:tcBorders>
              <w:top w:val="single" w:color="auto" w:sz="4" w:space="0"/>
              <w:left w:val="single" w:color="auto" w:sz="12"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A1</w:t>
            </w:r>
          </w:p>
        </w:tc>
        <w:tc>
          <w:tcPr>
            <w:tcW w:w="2545" w:type="dxa"/>
            <w:tcBorders>
              <w:top w:val="single" w:color="auto" w:sz="4" w:space="0"/>
              <w:left w:val="single" w:color="auto" w:sz="4"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投标报价得分</w:t>
            </w:r>
          </w:p>
        </w:tc>
        <w:tc>
          <w:tcPr>
            <w:tcW w:w="1178" w:type="dxa"/>
            <w:tcBorders>
              <w:top w:val="single" w:color="auto" w:sz="4" w:space="0"/>
              <w:left w:val="single" w:color="auto" w:sz="4"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40</w:t>
            </w:r>
          </w:p>
        </w:tc>
        <w:tc>
          <w:tcPr>
            <w:tcW w:w="3979" w:type="dxa"/>
            <w:tcBorders>
              <w:top w:val="single" w:color="auto" w:sz="4" w:space="0"/>
              <w:left w:val="single" w:color="auto" w:sz="4" w:space="0"/>
              <w:bottom w:val="single" w:color="auto" w:sz="12"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见注</w:t>
            </w:r>
          </w:p>
        </w:tc>
      </w:tr>
    </w:tbl>
    <w:p>
      <w:pPr>
        <w:snapToGrid w:val="0"/>
        <w:spacing w:line="500" w:lineRule="exact"/>
        <w:ind w:firstLine="480" w:firstLineChars="200"/>
        <w:rPr>
          <w:rFonts w:hint="eastAsia" w:ascii="宋体" w:hAnsi="宋体"/>
          <w:bCs/>
          <w:sz w:val="24"/>
        </w:rPr>
      </w:pPr>
    </w:p>
    <w:p>
      <w:pPr>
        <w:snapToGrid w:val="0"/>
        <w:spacing w:line="500" w:lineRule="exact"/>
        <w:ind w:firstLine="480" w:firstLineChars="200"/>
        <w:rPr>
          <w:rFonts w:hint="eastAsia" w:ascii="宋体" w:hAnsi="宋体"/>
          <w:bCs/>
          <w:sz w:val="24"/>
        </w:rPr>
      </w:pPr>
      <w:r>
        <w:rPr>
          <w:rFonts w:hint="eastAsia" w:ascii="宋体" w:hAnsi="宋体"/>
          <w:bCs/>
          <w:sz w:val="24"/>
        </w:rPr>
        <w:t>注：</w:t>
      </w:r>
    </w:p>
    <w:p>
      <w:pPr>
        <w:snapToGrid w:val="0"/>
        <w:spacing w:line="500" w:lineRule="exact"/>
        <w:ind w:firstLine="480" w:firstLineChars="200"/>
        <w:rPr>
          <w:rFonts w:hint="eastAsia" w:ascii="宋体" w:hAnsi="宋体"/>
          <w:bCs/>
          <w:sz w:val="24"/>
        </w:rPr>
      </w:pPr>
      <w:r>
        <w:rPr>
          <w:rFonts w:hint="eastAsia" w:ascii="宋体" w:hAnsi="宋体"/>
          <w:bCs/>
          <w:sz w:val="24"/>
        </w:rPr>
        <w:t>报价得分=最低有效投标报价/有效投标报价×40</w:t>
      </w:r>
    </w:p>
    <w:p>
      <w:pPr>
        <w:snapToGrid w:val="0"/>
        <w:spacing w:line="500" w:lineRule="exact"/>
        <w:ind w:firstLine="480" w:firstLineChars="200"/>
        <w:rPr>
          <w:rFonts w:hint="eastAsia" w:ascii="宋体" w:hAnsi="宋体"/>
          <w:bCs/>
          <w:sz w:val="24"/>
        </w:rPr>
      </w:pPr>
      <w:r>
        <w:rPr>
          <w:rFonts w:hint="eastAsia" w:ascii="宋体" w:hAnsi="宋体"/>
          <w:bCs/>
          <w:sz w:val="24"/>
        </w:rPr>
        <w:t>计算按四舍五入法则，保留小数点后两位。</w:t>
      </w:r>
    </w:p>
    <w:p>
      <w:pPr>
        <w:snapToGrid w:val="0"/>
        <w:spacing w:line="500" w:lineRule="exact"/>
        <w:ind w:firstLine="480" w:firstLineChars="200"/>
        <w:rPr>
          <w:rFonts w:hint="eastAsia" w:ascii="宋体" w:hAnsi="宋体"/>
          <w:bCs/>
          <w:sz w:val="24"/>
        </w:rPr>
      </w:pPr>
      <w:r>
        <w:rPr>
          <w:rFonts w:hint="eastAsia" w:ascii="宋体" w:hAnsi="宋体"/>
          <w:bCs/>
          <w:sz w:val="24"/>
        </w:rPr>
        <w:t>所有未进入详细评审的投标作为无效投标，其报价不作为评分依据。</w:t>
      </w:r>
    </w:p>
    <w:p>
      <w:pPr>
        <w:snapToGrid w:val="0"/>
        <w:spacing w:line="500" w:lineRule="exact"/>
        <w:ind w:firstLine="480" w:firstLineChars="200"/>
        <w:rPr>
          <w:rFonts w:hint="eastAsia" w:ascii="宋体" w:hAnsi="宋体"/>
          <w:bCs/>
          <w:sz w:val="24"/>
        </w:rPr>
      </w:pPr>
      <w:r>
        <w:rPr>
          <w:rFonts w:hint="eastAsia" w:ascii="宋体" w:hAnsi="宋体"/>
          <w:bCs/>
          <w:sz w:val="24"/>
        </w:rPr>
        <w:t>经评标委员会认定具有下述情况之一的投标，其报价不作为评分依据。</w:t>
      </w:r>
    </w:p>
    <w:p>
      <w:pPr>
        <w:snapToGrid w:val="0"/>
        <w:spacing w:line="500" w:lineRule="exact"/>
        <w:ind w:firstLine="480" w:firstLineChars="200"/>
        <w:rPr>
          <w:rFonts w:hint="eastAsia" w:ascii="宋体" w:hAnsi="宋体"/>
          <w:bCs/>
          <w:sz w:val="24"/>
        </w:rPr>
      </w:pPr>
      <w:r>
        <w:rPr>
          <w:rFonts w:hint="eastAsia" w:ascii="宋体" w:hAnsi="宋体"/>
          <w:bCs/>
          <w:sz w:val="24"/>
        </w:rPr>
        <w:t>低于成本价的投标。</w:t>
      </w:r>
    </w:p>
    <w:p>
      <w:pPr>
        <w:snapToGrid w:val="0"/>
        <w:spacing w:line="500" w:lineRule="exact"/>
        <w:ind w:firstLine="480" w:firstLineChars="200"/>
        <w:rPr>
          <w:rFonts w:hint="eastAsia" w:ascii="宋体" w:hAnsi="宋体"/>
          <w:bCs/>
          <w:sz w:val="24"/>
        </w:rPr>
      </w:pPr>
      <w:r>
        <w:rPr>
          <w:rFonts w:hint="eastAsia" w:ascii="宋体" w:hAnsi="宋体"/>
          <w:bCs/>
          <w:sz w:val="24"/>
        </w:rPr>
        <w:t>虚假投标。</w:t>
      </w:r>
    </w:p>
    <w:p>
      <w:pPr>
        <w:snapToGrid w:val="0"/>
        <w:spacing w:line="500" w:lineRule="exact"/>
        <w:ind w:firstLine="480" w:firstLineChars="200"/>
        <w:rPr>
          <w:rFonts w:hint="eastAsia" w:ascii="宋体" w:hAnsi="宋体"/>
          <w:bCs/>
          <w:sz w:val="24"/>
        </w:rPr>
      </w:pPr>
      <w:r>
        <w:rPr>
          <w:rFonts w:hint="eastAsia" w:ascii="宋体" w:hAnsi="宋体"/>
          <w:bCs/>
          <w:sz w:val="24"/>
        </w:rPr>
        <w:t>未满足招标文件实质性要求的投标。</w:t>
      </w:r>
    </w:p>
    <w:p>
      <w:pPr>
        <w:snapToGrid w:val="0"/>
        <w:spacing w:line="500" w:lineRule="exact"/>
        <w:ind w:firstLine="480" w:firstLineChars="200"/>
        <w:rPr>
          <w:rFonts w:hint="eastAsia" w:ascii="宋体" w:hAnsi="宋体"/>
          <w:bCs/>
          <w:sz w:val="24"/>
        </w:rPr>
      </w:pPr>
      <w:r>
        <w:rPr>
          <w:rFonts w:hint="eastAsia" w:ascii="宋体" w:hAnsi="宋体"/>
          <w:bCs/>
          <w:sz w:val="24"/>
        </w:rPr>
        <w:t>B、技术部分：40分</w:t>
      </w:r>
    </w:p>
    <w:tbl>
      <w:tblPr>
        <w:tblStyle w:val="5"/>
        <w:tblW w:w="92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053"/>
        <w:gridCol w:w="1051"/>
        <w:gridCol w:w="5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16" w:type="dxa"/>
            <w:tcBorders>
              <w:top w:val="single" w:color="auto" w:sz="12" w:space="0"/>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序号</w:t>
            </w:r>
          </w:p>
        </w:tc>
        <w:tc>
          <w:tcPr>
            <w:tcW w:w="2053" w:type="dxa"/>
            <w:tcBorders>
              <w:top w:val="single" w:color="auto" w:sz="12"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评分因素</w:t>
            </w:r>
          </w:p>
        </w:tc>
        <w:tc>
          <w:tcPr>
            <w:tcW w:w="1051" w:type="dxa"/>
            <w:tcBorders>
              <w:top w:val="single" w:color="auto" w:sz="12"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分值</w:t>
            </w:r>
          </w:p>
        </w:tc>
        <w:tc>
          <w:tcPr>
            <w:tcW w:w="5304" w:type="dxa"/>
            <w:tcBorders>
              <w:top w:val="single" w:color="auto" w:sz="12"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评分标准说明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816" w:type="dxa"/>
            <w:tcBorders>
              <w:top w:val="single" w:color="auto" w:sz="4" w:space="0"/>
              <w:left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B1</w:t>
            </w:r>
          </w:p>
        </w:tc>
        <w:tc>
          <w:tcPr>
            <w:tcW w:w="2053" w:type="dxa"/>
            <w:tcBorders>
              <w:top w:val="single" w:color="auto" w:sz="4" w:space="0"/>
              <w:left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技术水平</w:t>
            </w:r>
          </w:p>
        </w:tc>
        <w:tc>
          <w:tcPr>
            <w:tcW w:w="105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根据所投产品生产工艺技术水平进行评价，分三档进行评价打分：</w:t>
            </w:r>
            <w:r>
              <w:rPr>
                <w:rFonts w:hint="eastAsia" w:ascii="宋体" w:hAnsi="宋体"/>
                <w:bCs/>
                <w:sz w:val="24"/>
                <w:lang w:eastAsia="zh-CN"/>
              </w:rPr>
              <w:t>好</w:t>
            </w:r>
            <w:r>
              <w:rPr>
                <w:rFonts w:hint="eastAsia" w:ascii="宋体" w:hAnsi="宋体"/>
                <w:bCs/>
                <w:sz w:val="24"/>
                <w:lang w:val="en-US" w:eastAsia="zh-CN"/>
              </w:rPr>
              <w:t xml:space="preserve"> </w:t>
            </w:r>
            <w:r>
              <w:rPr>
                <w:rFonts w:hint="eastAsia" w:ascii="宋体" w:hAnsi="宋体"/>
                <w:bCs/>
                <w:sz w:val="24"/>
              </w:rPr>
              <w:t>（5分）；</w:t>
            </w:r>
            <w:r>
              <w:rPr>
                <w:rFonts w:hint="eastAsia" w:ascii="宋体" w:hAnsi="宋体"/>
                <w:bCs/>
                <w:sz w:val="24"/>
                <w:lang w:eastAsia="zh-CN"/>
              </w:rPr>
              <w:t>较好</w:t>
            </w:r>
            <w:r>
              <w:rPr>
                <w:rFonts w:hint="eastAsia" w:ascii="宋体" w:hAnsi="宋体"/>
                <w:bCs/>
                <w:sz w:val="24"/>
              </w:rPr>
              <w:t>（3分）；</w:t>
            </w:r>
            <w:r>
              <w:rPr>
                <w:rFonts w:hint="eastAsia" w:ascii="宋体" w:hAnsi="宋体"/>
                <w:bCs/>
                <w:sz w:val="24"/>
                <w:lang w:eastAsia="zh-CN"/>
              </w:rPr>
              <w:t>一般</w:t>
            </w:r>
            <w:r>
              <w:rPr>
                <w:rFonts w:hint="eastAsia" w:ascii="宋体" w:hAnsi="宋体"/>
                <w:bCs/>
                <w:sz w:val="24"/>
              </w:rPr>
              <w:t>（1分）。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restart"/>
            <w:tcBorders>
              <w:top w:val="single" w:color="auto" w:sz="4" w:space="0"/>
              <w:left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B2</w:t>
            </w:r>
          </w:p>
        </w:tc>
        <w:tc>
          <w:tcPr>
            <w:tcW w:w="2053" w:type="dxa"/>
            <w:vMerge w:val="restart"/>
            <w:tcBorders>
              <w:top w:val="single" w:color="auto" w:sz="4" w:space="0"/>
              <w:left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产品性能及系统功能</w:t>
            </w:r>
          </w:p>
        </w:tc>
        <w:tc>
          <w:tcPr>
            <w:tcW w:w="1051" w:type="dxa"/>
            <w:vMerge w:val="restart"/>
            <w:tcBorders>
              <w:top w:val="single" w:color="auto" w:sz="4" w:space="0"/>
              <w:left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35</w:t>
            </w: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根据所投产品的性能、精度进行评价打分：</w:t>
            </w:r>
            <w:r>
              <w:rPr>
                <w:rFonts w:hint="eastAsia" w:ascii="宋体" w:hAnsi="宋体"/>
                <w:bCs/>
                <w:sz w:val="24"/>
                <w:lang w:eastAsia="zh-CN"/>
              </w:rPr>
              <w:t>好</w:t>
            </w:r>
            <w:r>
              <w:rPr>
                <w:rFonts w:hint="eastAsia" w:ascii="宋体" w:hAnsi="宋体"/>
                <w:bCs/>
                <w:sz w:val="24"/>
              </w:rPr>
              <w:t>（</w:t>
            </w:r>
            <w:r>
              <w:rPr>
                <w:rFonts w:hint="eastAsia" w:ascii="宋体" w:hAnsi="宋体"/>
                <w:bCs/>
                <w:sz w:val="24"/>
                <w:lang w:val="en-US" w:eastAsia="zh-CN"/>
              </w:rPr>
              <w:t>11</w:t>
            </w:r>
            <w:r>
              <w:rPr>
                <w:rFonts w:hint="eastAsia" w:ascii="宋体" w:hAnsi="宋体"/>
                <w:bCs/>
                <w:sz w:val="24"/>
              </w:rPr>
              <w:t>分）；</w:t>
            </w:r>
            <w:r>
              <w:rPr>
                <w:rFonts w:hint="eastAsia" w:ascii="宋体" w:hAnsi="宋体"/>
                <w:bCs/>
                <w:sz w:val="24"/>
                <w:lang w:eastAsia="zh-CN"/>
              </w:rPr>
              <w:t>较好</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分）；</w:t>
            </w:r>
            <w:r>
              <w:rPr>
                <w:rFonts w:hint="eastAsia" w:ascii="宋体" w:hAnsi="宋体"/>
                <w:bCs/>
                <w:sz w:val="24"/>
                <w:lang w:eastAsia="zh-CN"/>
              </w:rPr>
              <w:t>一般</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2053" w:type="dxa"/>
            <w:vMerge w:val="continue"/>
            <w:tcBorders>
              <w:left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1051" w:type="dxa"/>
            <w:vMerge w:val="continue"/>
            <w:tcBorders>
              <w:left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根据所投产品的可靠性、稳定性等是否优良进行评价打分：</w:t>
            </w:r>
            <w:r>
              <w:rPr>
                <w:rFonts w:hint="eastAsia" w:ascii="宋体" w:hAnsi="宋体"/>
                <w:bCs/>
                <w:sz w:val="24"/>
                <w:lang w:eastAsia="zh-CN"/>
              </w:rPr>
              <w:t>好</w:t>
            </w:r>
            <w:r>
              <w:rPr>
                <w:rFonts w:hint="eastAsia" w:ascii="宋体" w:hAnsi="宋体"/>
                <w:bCs/>
                <w:sz w:val="24"/>
              </w:rPr>
              <w:t>（</w:t>
            </w:r>
            <w:r>
              <w:rPr>
                <w:rFonts w:hint="eastAsia" w:ascii="宋体" w:hAnsi="宋体"/>
                <w:bCs/>
                <w:sz w:val="24"/>
                <w:lang w:val="en-US" w:eastAsia="zh-CN"/>
              </w:rPr>
              <w:t>12</w:t>
            </w:r>
            <w:r>
              <w:rPr>
                <w:rFonts w:hint="eastAsia" w:ascii="宋体" w:hAnsi="宋体"/>
                <w:bCs/>
                <w:sz w:val="24"/>
              </w:rPr>
              <w:t>分）；</w:t>
            </w:r>
            <w:r>
              <w:rPr>
                <w:rFonts w:hint="eastAsia" w:ascii="宋体" w:hAnsi="宋体"/>
                <w:bCs/>
                <w:sz w:val="24"/>
                <w:lang w:eastAsia="zh-CN"/>
              </w:rPr>
              <w:t>较好</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分）；</w:t>
            </w:r>
            <w:r>
              <w:rPr>
                <w:rFonts w:hint="eastAsia" w:ascii="宋体" w:hAnsi="宋体"/>
                <w:bCs/>
                <w:sz w:val="24"/>
                <w:lang w:eastAsia="zh-CN"/>
              </w:rPr>
              <w:t>一般</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7" w:hRule="atLeast"/>
          <w:jc w:val="center"/>
        </w:trPr>
        <w:tc>
          <w:tcPr>
            <w:tcW w:w="816" w:type="dxa"/>
            <w:vMerge w:val="continue"/>
            <w:tcBorders>
              <w:left w:val="single" w:color="auto" w:sz="12"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2053" w:type="dxa"/>
            <w:vMerge w:val="continue"/>
            <w:tcBorders>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1051" w:type="dxa"/>
            <w:vMerge w:val="continue"/>
            <w:tcBorders>
              <w:left w:val="single" w:color="auto" w:sz="4" w:space="0"/>
              <w:bottom w:val="single" w:color="auto" w:sz="4" w:space="0"/>
              <w:right w:val="single" w:color="auto" w:sz="4" w:space="0"/>
            </w:tcBorders>
            <w:vAlign w:val="center"/>
          </w:tcPr>
          <w:p>
            <w:pPr>
              <w:snapToGrid w:val="0"/>
              <w:spacing w:line="500" w:lineRule="exact"/>
              <w:ind w:firstLine="480" w:firstLineChars="200"/>
              <w:rPr>
                <w:rFonts w:hint="eastAsia" w:ascii="宋体" w:hAnsi="宋体"/>
                <w:bCs/>
                <w:sz w:val="24"/>
              </w:rPr>
            </w:pPr>
          </w:p>
        </w:tc>
        <w:tc>
          <w:tcPr>
            <w:tcW w:w="5304" w:type="dxa"/>
            <w:tcBorders>
              <w:top w:val="single" w:color="auto" w:sz="4" w:space="0"/>
              <w:left w:val="single" w:color="auto" w:sz="4" w:space="0"/>
              <w:bottom w:val="single" w:color="auto" w:sz="4"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根据所投产品的功能是否齐全，是否完全满足招标文件要求，是否有偏离进行评价打分：</w:t>
            </w:r>
            <w:r>
              <w:rPr>
                <w:rFonts w:hint="eastAsia" w:ascii="宋体" w:hAnsi="宋体"/>
                <w:bCs/>
                <w:sz w:val="24"/>
                <w:lang w:eastAsia="zh-CN"/>
              </w:rPr>
              <w:t>好</w:t>
            </w:r>
            <w:r>
              <w:rPr>
                <w:rFonts w:hint="eastAsia" w:ascii="宋体" w:hAnsi="宋体"/>
                <w:bCs/>
                <w:sz w:val="24"/>
              </w:rPr>
              <w:t>（</w:t>
            </w:r>
            <w:r>
              <w:rPr>
                <w:rFonts w:hint="eastAsia" w:ascii="宋体" w:hAnsi="宋体"/>
                <w:bCs/>
                <w:sz w:val="24"/>
                <w:lang w:val="en-US" w:eastAsia="zh-CN"/>
              </w:rPr>
              <w:t>12</w:t>
            </w:r>
            <w:r>
              <w:rPr>
                <w:rFonts w:hint="eastAsia" w:ascii="宋体" w:hAnsi="宋体"/>
                <w:bCs/>
                <w:sz w:val="24"/>
              </w:rPr>
              <w:t>分）；</w:t>
            </w:r>
            <w:r>
              <w:rPr>
                <w:rFonts w:hint="eastAsia" w:ascii="宋体" w:hAnsi="宋体"/>
                <w:bCs/>
                <w:sz w:val="24"/>
                <w:lang w:eastAsia="zh-CN"/>
              </w:rPr>
              <w:t>较好</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分）；</w:t>
            </w:r>
            <w:r>
              <w:rPr>
                <w:rFonts w:hint="eastAsia" w:ascii="宋体" w:hAnsi="宋体"/>
                <w:bCs/>
                <w:sz w:val="24"/>
                <w:lang w:eastAsia="zh-CN"/>
              </w:rPr>
              <w:t>一般</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分）。</w:t>
            </w:r>
          </w:p>
        </w:tc>
      </w:tr>
    </w:tbl>
    <w:p>
      <w:pPr>
        <w:snapToGrid w:val="0"/>
        <w:spacing w:line="500" w:lineRule="exact"/>
        <w:ind w:firstLine="480" w:firstLineChars="200"/>
        <w:rPr>
          <w:rFonts w:hint="eastAsia" w:ascii="宋体" w:hAnsi="宋体"/>
          <w:bCs/>
          <w:sz w:val="24"/>
        </w:rPr>
      </w:pPr>
    </w:p>
    <w:p>
      <w:pPr>
        <w:snapToGrid w:val="0"/>
        <w:spacing w:line="500" w:lineRule="exact"/>
        <w:ind w:firstLine="480" w:firstLineChars="200"/>
        <w:rPr>
          <w:rFonts w:hint="eastAsia" w:ascii="宋体" w:hAnsi="宋体"/>
          <w:bCs/>
          <w:sz w:val="24"/>
        </w:rPr>
      </w:pPr>
      <w:r>
        <w:rPr>
          <w:rFonts w:hint="eastAsia" w:ascii="宋体" w:hAnsi="宋体"/>
          <w:bCs/>
          <w:sz w:val="24"/>
        </w:rPr>
        <w:t>C、商务部分：20分</w:t>
      </w:r>
    </w:p>
    <w:tbl>
      <w:tblPr>
        <w:tblStyle w:val="5"/>
        <w:tblW w:w="94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679"/>
        <w:gridCol w:w="1848"/>
        <w:gridCol w:w="797"/>
        <w:gridCol w:w="61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12" w:space="0"/>
              <w:left w:val="single" w:color="auto" w:sz="12"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序号</w:t>
            </w:r>
          </w:p>
        </w:tc>
        <w:tc>
          <w:tcPr>
            <w:tcW w:w="1848" w:type="dxa"/>
            <w:tcBorders>
              <w:top w:val="single" w:color="auto" w:sz="12"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评分因素</w:t>
            </w:r>
          </w:p>
        </w:tc>
        <w:tc>
          <w:tcPr>
            <w:tcW w:w="797" w:type="dxa"/>
            <w:tcBorders>
              <w:top w:val="single" w:color="auto" w:sz="12"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分值</w:t>
            </w:r>
          </w:p>
        </w:tc>
        <w:tc>
          <w:tcPr>
            <w:tcW w:w="6156" w:type="dxa"/>
            <w:tcBorders>
              <w:top w:val="single" w:color="auto" w:sz="12" w:space="0"/>
              <w:left w:val="single" w:color="auto" w:sz="6" w:space="0"/>
              <w:bottom w:val="single" w:color="auto" w:sz="6" w:space="0"/>
              <w:right w:val="single" w:color="auto" w:sz="12" w:space="0"/>
            </w:tcBorders>
            <w:vAlign w:val="center"/>
          </w:tcPr>
          <w:p>
            <w:pPr>
              <w:snapToGrid w:val="0"/>
              <w:spacing w:line="500" w:lineRule="exact"/>
              <w:ind w:firstLine="480" w:firstLineChars="200"/>
              <w:rPr>
                <w:rFonts w:hint="eastAsia" w:ascii="宋体" w:hAnsi="宋体"/>
                <w:bCs/>
                <w:sz w:val="24"/>
              </w:rPr>
            </w:pPr>
          </w:p>
          <w:p>
            <w:pPr>
              <w:snapToGrid w:val="0"/>
              <w:spacing w:line="500" w:lineRule="exact"/>
              <w:ind w:firstLine="480" w:firstLineChars="200"/>
              <w:rPr>
                <w:rFonts w:hint="eastAsia" w:ascii="宋体" w:hAnsi="宋体"/>
                <w:bCs/>
                <w:sz w:val="24"/>
              </w:rPr>
            </w:pPr>
            <w:r>
              <w:rPr>
                <w:rFonts w:hint="eastAsia" w:ascii="宋体" w:hAnsi="宋体"/>
                <w:bCs/>
                <w:sz w:val="24"/>
              </w:rPr>
              <w:t>评分标准说明</w:t>
            </w:r>
          </w:p>
          <w:p>
            <w:pPr>
              <w:snapToGrid w:val="0"/>
              <w:spacing w:line="500" w:lineRule="exact"/>
              <w:ind w:firstLine="480" w:firstLineChars="200"/>
              <w:rPr>
                <w:rFonts w:hint="eastAsia" w:ascii="宋体" w:hAnsi="宋体"/>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C1</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财务状况</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投标人需提供2014年以来财务报告通过中介机构审计（如是新注册公司，提供最新报告），且要素齐全、真实完整，根据其注册资本（实收资本）、资产总额、资产负债率、主营业务收入、利润总额等情况综合评定，0-3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C2</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销售业绩</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3</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投标人2014年1月1日以来，具有类似项目业绩、所投项目业绩单次合同金额在：</w:t>
            </w:r>
          </w:p>
          <w:p>
            <w:pPr>
              <w:snapToGrid w:val="0"/>
              <w:spacing w:line="500" w:lineRule="exact"/>
              <w:ind w:firstLine="480" w:firstLineChars="200"/>
              <w:rPr>
                <w:rFonts w:hint="eastAsia" w:ascii="宋体" w:hAnsi="宋体"/>
                <w:bCs/>
                <w:sz w:val="24"/>
              </w:rPr>
            </w:pPr>
            <w:r>
              <w:rPr>
                <w:rFonts w:hint="eastAsia" w:ascii="宋体" w:hAnsi="宋体"/>
                <w:bCs/>
                <w:sz w:val="24"/>
              </w:rPr>
              <w:t>第1包：</w:t>
            </w:r>
            <w:r>
              <w:rPr>
                <w:rFonts w:hint="eastAsia" w:ascii="宋体" w:hAnsi="宋体"/>
                <w:bCs/>
                <w:sz w:val="24"/>
                <w:lang w:val="en-US" w:eastAsia="zh-CN"/>
              </w:rPr>
              <w:t>197</w:t>
            </w:r>
            <w:r>
              <w:rPr>
                <w:rFonts w:hint="eastAsia" w:ascii="宋体" w:hAnsi="宋体"/>
                <w:bCs/>
                <w:sz w:val="24"/>
              </w:rPr>
              <w:t>万元以上（含</w:t>
            </w:r>
            <w:r>
              <w:rPr>
                <w:rFonts w:hint="eastAsia" w:ascii="宋体" w:hAnsi="宋体"/>
                <w:bCs/>
                <w:sz w:val="24"/>
                <w:lang w:val="en-US" w:eastAsia="zh-CN"/>
              </w:rPr>
              <w:t>197</w:t>
            </w:r>
            <w:r>
              <w:rPr>
                <w:rFonts w:hint="eastAsia" w:ascii="宋体" w:hAnsi="宋体"/>
                <w:bCs/>
                <w:sz w:val="24"/>
              </w:rPr>
              <w:t>万）；</w:t>
            </w:r>
          </w:p>
          <w:p>
            <w:pPr>
              <w:snapToGrid w:val="0"/>
              <w:spacing w:line="500" w:lineRule="exact"/>
              <w:ind w:firstLine="480" w:firstLineChars="200"/>
              <w:rPr>
                <w:rFonts w:hint="eastAsia" w:ascii="宋体" w:hAnsi="宋体"/>
                <w:bCs/>
                <w:sz w:val="24"/>
              </w:rPr>
            </w:pPr>
            <w:r>
              <w:rPr>
                <w:rFonts w:hint="eastAsia" w:ascii="宋体" w:hAnsi="宋体"/>
                <w:bCs/>
                <w:sz w:val="24"/>
              </w:rPr>
              <w:t>第2包：</w:t>
            </w:r>
            <w:r>
              <w:rPr>
                <w:rFonts w:hint="eastAsia" w:ascii="宋体" w:hAnsi="宋体"/>
                <w:bCs/>
                <w:sz w:val="24"/>
                <w:lang w:val="en-US" w:eastAsia="zh-CN"/>
              </w:rPr>
              <w:t>249</w:t>
            </w:r>
            <w:r>
              <w:rPr>
                <w:rFonts w:hint="eastAsia" w:ascii="宋体" w:hAnsi="宋体"/>
                <w:bCs/>
                <w:sz w:val="24"/>
              </w:rPr>
              <w:t>元以上（含</w:t>
            </w:r>
            <w:r>
              <w:rPr>
                <w:rFonts w:hint="eastAsia" w:ascii="宋体" w:hAnsi="宋体"/>
                <w:bCs/>
                <w:sz w:val="24"/>
                <w:lang w:val="en-US" w:eastAsia="zh-CN"/>
              </w:rPr>
              <w:t>249</w:t>
            </w:r>
            <w:r>
              <w:rPr>
                <w:rFonts w:hint="eastAsia" w:ascii="宋体" w:hAnsi="宋体"/>
                <w:bCs/>
                <w:sz w:val="24"/>
              </w:rPr>
              <w:t>万）;合同及验收报告齐全，每提供一份得1分，最多得3分，不提供者为0分。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C3</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质量保证期</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符合招标文件质保期要求的不加分，每增加一年加1分，最高加2分。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C4</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投标文件规范程度</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装订规范、文字清晰得、无差错得1分，所提供资料准确完整得1分。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67" w:hRule="atLeast"/>
          <w:jc w:val="center"/>
        </w:trPr>
        <w:tc>
          <w:tcPr>
            <w:tcW w:w="679" w:type="dxa"/>
            <w:tcBorders>
              <w:top w:val="single" w:color="auto" w:sz="6" w:space="0"/>
              <w:left w:val="single" w:color="auto" w:sz="12" w:space="0"/>
              <w:bottom w:val="single" w:color="auto" w:sz="6"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C5</w:t>
            </w:r>
          </w:p>
        </w:tc>
        <w:tc>
          <w:tcPr>
            <w:tcW w:w="1848" w:type="dxa"/>
            <w:tcBorders>
              <w:top w:val="single" w:color="auto" w:sz="6" w:space="0"/>
              <w:left w:val="single" w:color="auto" w:sz="4"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技术培训及售后服务承诺</w:t>
            </w:r>
          </w:p>
        </w:tc>
        <w:tc>
          <w:tcPr>
            <w:tcW w:w="797" w:type="dxa"/>
            <w:tcBorders>
              <w:top w:val="single" w:color="auto" w:sz="6" w:space="0"/>
              <w:left w:val="single" w:color="auto" w:sz="6" w:space="0"/>
              <w:bottom w:val="single" w:color="auto" w:sz="6"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8</w:t>
            </w:r>
          </w:p>
        </w:tc>
        <w:tc>
          <w:tcPr>
            <w:tcW w:w="6156" w:type="dxa"/>
            <w:tcBorders>
              <w:top w:val="single" w:color="auto" w:sz="6" w:space="0"/>
              <w:left w:val="single" w:color="auto" w:sz="6" w:space="0"/>
              <w:bottom w:val="single" w:color="auto" w:sz="6" w:space="0"/>
              <w:right w:val="single" w:color="auto" w:sz="12"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售后服务计划完整、可行，0-3分。</w:t>
            </w:r>
          </w:p>
          <w:p>
            <w:pPr>
              <w:snapToGrid w:val="0"/>
              <w:spacing w:line="500" w:lineRule="exact"/>
              <w:ind w:firstLine="480" w:firstLineChars="200"/>
              <w:rPr>
                <w:rFonts w:hint="eastAsia" w:ascii="宋体" w:hAnsi="宋体"/>
                <w:bCs/>
                <w:sz w:val="24"/>
              </w:rPr>
            </w:pPr>
            <w:r>
              <w:rPr>
                <w:rFonts w:hint="eastAsia" w:ascii="宋体" w:hAnsi="宋体"/>
                <w:bCs/>
                <w:sz w:val="24"/>
              </w:rPr>
              <w:t>培训计划完整、可行，0-2分。</w:t>
            </w:r>
          </w:p>
          <w:p>
            <w:pPr>
              <w:snapToGrid w:val="0"/>
              <w:spacing w:line="500" w:lineRule="exact"/>
              <w:ind w:firstLine="480" w:firstLineChars="200"/>
              <w:rPr>
                <w:rFonts w:hint="eastAsia" w:ascii="宋体" w:hAnsi="宋体"/>
                <w:bCs/>
                <w:sz w:val="24"/>
              </w:rPr>
            </w:pPr>
            <w:r>
              <w:rPr>
                <w:rFonts w:hint="eastAsia" w:ascii="宋体" w:hAnsi="宋体"/>
                <w:bCs/>
                <w:sz w:val="24"/>
              </w:rPr>
              <w:t>投标人售后服务能够实现本地化的（需提供必要的证明材料，如营业场所购房合同或产权证、租赁协议等），0-1分。</w:t>
            </w:r>
          </w:p>
          <w:p>
            <w:pPr>
              <w:snapToGrid w:val="0"/>
              <w:spacing w:line="500" w:lineRule="exact"/>
              <w:ind w:firstLine="480" w:firstLineChars="200"/>
              <w:rPr>
                <w:rFonts w:hint="eastAsia" w:ascii="宋体" w:hAnsi="宋体"/>
                <w:bCs/>
                <w:sz w:val="24"/>
              </w:rPr>
            </w:pPr>
            <w:r>
              <w:rPr>
                <w:rFonts w:hint="eastAsia" w:ascii="宋体" w:hAnsi="宋体"/>
                <w:bCs/>
                <w:sz w:val="24"/>
              </w:rPr>
              <w:t>根据招标文件要求的机器故障响应时间、及解决问题时间，0-2分。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993" w:hRule="atLeast"/>
          <w:jc w:val="center"/>
        </w:trPr>
        <w:tc>
          <w:tcPr>
            <w:tcW w:w="679" w:type="dxa"/>
            <w:tcBorders>
              <w:top w:val="single" w:color="auto" w:sz="6" w:space="0"/>
              <w:left w:val="single" w:color="auto" w:sz="12" w:space="0"/>
              <w:bottom w:val="single" w:color="auto" w:sz="12" w:space="0"/>
              <w:right w:val="single" w:color="auto" w:sz="4"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C6</w:t>
            </w:r>
          </w:p>
        </w:tc>
        <w:tc>
          <w:tcPr>
            <w:tcW w:w="1848" w:type="dxa"/>
            <w:tcBorders>
              <w:top w:val="single" w:color="auto" w:sz="6" w:space="0"/>
              <w:left w:val="single" w:color="auto" w:sz="4" w:space="0"/>
              <w:bottom w:val="single" w:color="auto" w:sz="12"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信誉</w:t>
            </w:r>
          </w:p>
        </w:tc>
        <w:tc>
          <w:tcPr>
            <w:tcW w:w="797" w:type="dxa"/>
            <w:tcBorders>
              <w:top w:val="single" w:color="auto" w:sz="6" w:space="0"/>
              <w:left w:val="single" w:color="auto" w:sz="6" w:space="0"/>
              <w:bottom w:val="single" w:color="auto" w:sz="12" w:space="0"/>
              <w:right w:val="single" w:color="auto" w:sz="6" w:space="0"/>
            </w:tcBorders>
            <w:vAlign w:val="center"/>
          </w:tcPr>
          <w:p>
            <w:pPr>
              <w:snapToGrid w:val="0"/>
              <w:spacing w:line="500" w:lineRule="exact"/>
              <w:ind w:firstLine="480" w:firstLineChars="200"/>
              <w:rPr>
                <w:rFonts w:hint="eastAsia" w:ascii="宋体" w:hAnsi="宋体"/>
                <w:bCs/>
                <w:sz w:val="24"/>
              </w:rPr>
            </w:pPr>
            <w:r>
              <w:rPr>
                <w:rFonts w:hint="eastAsia" w:ascii="宋体" w:hAnsi="宋体"/>
                <w:bCs/>
                <w:sz w:val="24"/>
              </w:rPr>
              <w:t>2</w:t>
            </w:r>
          </w:p>
        </w:tc>
        <w:tc>
          <w:tcPr>
            <w:tcW w:w="6156" w:type="dxa"/>
            <w:tcBorders>
              <w:top w:val="single" w:color="auto" w:sz="6" w:space="0"/>
              <w:left w:val="single" w:color="auto" w:sz="6" w:space="0"/>
              <w:bottom w:val="single" w:color="auto" w:sz="12" w:space="0"/>
              <w:right w:val="single" w:color="auto" w:sz="12" w:space="0"/>
            </w:tcBorders>
            <w:vAlign w:val="center"/>
          </w:tcPr>
          <w:p>
            <w:pPr>
              <w:snapToGrid w:val="0"/>
              <w:spacing w:line="500" w:lineRule="exact"/>
              <w:ind w:firstLine="480" w:firstLineChars="200"/>
              <w:rPr>
                <w:rFonts w:hint="eastAsia" w:ascii="宋体" w:hAnsi="宋体"/>
                <w:bCs/>
                <w:sz w:val="24"/>
              </w:rPr>
            </w:pPr>
          </w:p>
          <w:p>
            <w:pPr>
              <w:snapToGrid w:val="0"/>
              <w:spacing w:line="500" w:lineRule="exact"/>
              <w:ind w:firstLine="480" w:firstLineChars="200"/>
              <w:rPr>
                <w:rFonts w:hint="eastAsia" w:ascii="宋体" w:hAnsi="宋体"/>
                <w:bCs/>
                <w:sz w:val="24"/>
              </w:rPr>
            </w:pPr>
            <w:r>
              <w:rPr>
                <w:rFonts w:hint="eastAsia" w:ascii="宋体" w:hAnsi="宋体"/>
                <w:bCs/>
                <w:sz w:val="24"/>
              </w:rPr>
              <w:t>提供工商企业信用信息公示报告，包含基础信息、行政许可信息、行政处罚信息、列入经营异常名录信息、列入严重违法失信企业名单（黑名单）信息（国家企业信用信息公示系统http://www.gsxt.gov.cn）；企业所在地税务主管部门出具的纳税情况证明等信用情况，无不良信息者每项得1分，未提供或有不良信息者不得分。</w:t>
            </w:r>
          </w:p>
          <w:p>
            <w:pPr>
              <w:snapToGrid w:val="0"/>
              <w:spacing w:line="500" w:lineRule="exact"/>
              <w:ind w:firstLine="480" w:firstLineChars="200"/>
              <w:rPr>
                <w:rFonts w:hint="eastAsia" w:ascii="宋体" w:hAnsi="宋体"/>
                <w:bCs/>
                <w:sz w:val="24"/>
              </w:rPr>
            </w:pPr>
          </w:p>
        </w:tc>
      </w:tr>
    </w:tbl>
    <w:p>
      <w:pPr>
        <w:snapToGrid w:val="0"/>
        <w:spacing w:line="500" w:lineRule="exact"/>
        <w:ind w:firstLine="480" w:firstLineChars="200"/>
        <w:rPr>
          <w:rFonts w:hint="eastAsia" w:ascii="宋体" w:hAnsi="宋体"/>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体">
    <w:altName w:val="仿宋"/>
    <w:panose1 w:val="00000000000000000000"/>
    <w:charset w:val="86"/>
    <w:family w:val="roman"/>
    <w:pitch w:val="default"/>
    <w:sig w:usb0="00000000" w:usb1="00000000" w:usb2="00000010" w:usb3="00000000" w:csb0="00040001" w:csb1="00000000"/>
  </w:font>
  <w:font w:name="GE Inspira Pitch">
    <w:altName w:val="Calibri"/>
    <w:panose1 w:val="020F0603030400020203"/>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F20"/>
    <w:multiLevelType w:val="multilevel"/>
    <w:tmpl w:val="0DA23F20"/>
    <w:lvl w:ilvl="0" w:tentative="0">
      <w:start w:val="1"/>
      <w:numFmt w:val="decimal"/>
      <w:lvlText w:val="5.3.%1"/>
      <w:lvlJc w:val="left"/>
      <w:pPr>
        <w:tabs>
          <w:tab w:val="left" w:pos="720"/>
        </w:tabs>
        <w:ind w:left="425" w:hanging="4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B2425D"/>
    <w:multiLevelType w:val="multilevel"/>
    <w:tmpl w:val="13B2425D"/>
    <w:lvl w:ilvl="0" w:tentative="0">
      <w:start w:val="7"/>
      <w:numFmt w:val="decimal"/>
      <w:lvlText w:val="%1"/>
      <w:lvlJc w:val="left"/>
      <w:pPr>
        <w:ind w:left="360" w:hanging="360"/>
      </w:pPr>
      <w:rPr>
        <w:rFonts w:hint="default"/>
      </w:rPr>
    </w:lvl>
    <w:lvl w:ilvl="1" w:tentative="0">
      <w:start w:val="3"/>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2">
    <w:nsid w:val="183903D7"/>
    <w:multiLevelType w:val="singleLevel"/>
    <w:tmpl w:val="183903D7"/>
    <w:lvl w:ilvl="0" w:tentative="0">
      <w:start w:val="1"/>
      <w:numFmt w:val="decimal"/>
      <w:lvlText w:val="5.4.%1"/>
      <w:lvlJc w:val="left"/>
      <w:pPr>
        <w:tabs>
          <w:tab w:val="left" w:pos="720"/>
        </w:tabs>
        <w:ind w:left="425" w:hanging="425"/>
      </w:pPr>
      <w:rPr>
        <w:rFonts w:hint="eastAsia"/>
      </w:rPr>
    </w:lvl>
  </w:abstractNum>
  <w:abstractNum w:abstractNumId="3">
    <w:nsid w:val="360A6765"/>
    <w:multiLevelType w:val="multilevel"/>
    <w:tmpl w:val="360A6765"/>
    <w:lvl w:ilvl="0" w:tentative="0">
      <w:start w:val="6"/>
      <w:numFmt w:val="japaneseCounting"/>
      <w:lvlText w:val="%1、"/>
      <w:lvlJc w:val="left"/>
      <w:pPr>
        <w:tabs>
          <w:tab w:val="left" w:pos="585"/>
        </w:tabs>
        <w:ind w:left="585" w:hanging="4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4">
    <w:nsid w:val="3F492470"/>
    <w:multiLevelType w:val="singleLevel"/>
    <w:tmpl w:val="3F492470"/>
    <w:lvl w:ilvl="0" w:tentative="0">
      <w:start w:val="1"/>
      <w:numFmt w:val="japaneseCounting"/>
      <w:lvlText w:val="%1、"/>
      <w:lvlJc w:val="left"/>
      <w:pPr>
        <w:tabs>
          <w:tab w:val="left" w:pos="825"/>
        </w:tabs>
        <w:ind w:left="825" w:hanging="720"/>
      </w:pPr>
      <w:rPr>
        <w:rFonts w:hint="eastAsia"/>
        <w:b w:val="0"/>
      </w:rPr>
    </w:lvl>
  </w:abstractNum>
  <w:abstractNum w:abstractNumId="5">
    <w:nsid w:val="586A3291"/>
    <w:multiLevelType w:val="multilevel"/>
    <w:tmpl w:val="586A3291"/>
    <w:lvl w:ilvl="0" w:tentative="0">
      <w:start w:val="1"/>
      <w:numFmt w:val="decimal"/>
      <w:lvlText w:val="6.3.%1"/>
      <w:lvlJc w:val="left"/>
      <w:pPr>
        <w:tabs>
          <w:tab w:val="left" w:pos="2670"/>
        </w:tabs>
        <w:ind w:left="2375"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3.%3"/>
      <w:lvlJc w:val="left"/>
      <w:pPr>
        <w:tabs>
          <w:tab w:val="left" w:pos="1560"/>
        </w:tabs>
        <w:ind w:left="1265" w:hanging="425"/>
      </w:pPr>
      <w:rPr>
        <w:rFonts w:hint="eastAsia"/>
      </w:rPr>
    </w:lvl>
    <w:lvl w:ilvl="3" w:tentative="0">
      <w:start w:val="1"/>
      <w:numFmt w:val="decimal"/>
      <w:lvlText w:val="6.4.%4"/>
      <w:lvlJc w:val="left"/>
      <w:pPr>
        <w:tabs>
          <w:tab w:val="left" w:pos="1980"/>
        </w:tabs>
        <w:ind w:left="1685" w:hanging="425"/>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691A35"/>
    <w:multiLevelType w:val="singleLevel"/>
    <w:tmpl w:val="5B691A35"/>
    <w:lvl w:ilvl="0" w:tentative="0">
      <w:start w:val="1"/>
      <w:numFmt w:val="decimal"/>
      <w:lvlText w:val="5.2.%1"/>
      <w:lvlJc w:val="left"/>
      <w:pPr>
        <w:tabs>
          <w:tab w:val="left" w:pos="720"/>
        </w:tabs>
        <w:ind w:left="425" w:hanging="425"/>
      </w:pPr>
      <w:rPr>
        <w:rFonts w:hint="eastAsia"/>
      </w:rPr>
    </w:lvl>
  </w:abstractNum>
  <w:abstractNum w:abstractNumId="7">
    <w:nsid w:val="69D60104"/>
    <w:multiLevelType w:val="multilevel"/>
    <w:tmpl w:val="69D60104"/>
    <w:lvl w:ilvl="0" w:tentative="0">
      <w:start w:val="1"/>
      <w:numFmt w:val="decimal"/>
      <w:lvlText w:val="6.5.%1"/>
      <w:lvlJc w:val="left"/>
      <w:pPr>
        <w:tabs>
          <w:tab w:val="left" w:pos="4565"/>
        </w:tabs>
        <w:ind w:left="4270" w:hanging="425"/>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6.5.%3"/>
      <w:lvlJc w:val="left"/>
      <w:pPr>
        <w:tabs>
          <w:tab w:val="left" w:pos="1560"/>
        </w:tabs>
        <w:ind w:left="1265" w:hanging="42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DC65E6C"/>
    <w:multiLevelType w:val="singleLevel"/>
    <w:tmpl w:val="7DC65E6C"/>
    <w:lvl w:ilvl="0" w:tentative="0">
      <w:start w:val="1"/>
      <w:numFmt w:val="decimal"/>
      <w:lvlText w:val="5.5.%1"/>
      <w:lvlJc w:val="left"/>
      <w:pPr>
        <w:tabs>
          <w:tab w:val="left" w:pos="720"/>
        </w:tabs>
        <w:ind w:left="425" w:hanging="425"/>
      </w:pPr>
      <w:rPr>
        <w:rFonts w:hint="eastAsia"/>
      </w:rPr>
    </w:lvl>
  </w:abstractNum>
  <w:num w:numId="1">
    <w:abstractNumId w:val="4"/>
  </w:num>
  <w:num w:numId="2">
    <w:abstractNumId w:val="6"/>
  </w:num>
  <w:num w:numId="3">
    <w:abstractNumId w:val="0"/>
  </w:num>
  <w:num w:numId="4">
    <w:abstractNumId w:val="2"/>
  </w:num>
  <w:num w:numId="5">
    <w:abstractNumId w:val="8"/>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A3F58"/>
    <w:rsid w:val="01061CC8"/>
    <w:rsid w:val="02EC3D29"/>
    <w:rsid w:val="04552C93"/>
    <w:rsid w:val="0D9C3D69"/>
    <w:rsid w:val="0E3D38A2"/>
    <w:rsid w:val="119D7D46"/>
    <w:rsid w:val="145F7DD5"/>
    <w:rsid w:val="15BE7DAD"/>
    <w:rsid w:val="1B3B3A4A"/>
    <w:rsid w:val="1CA60612"/>
    <w:rsid w:val="1F4D7DC8"/>
    <w:rsid w:val="2F0D5884"/>
    <w:rsid w:val="2F453106"/>
    <w:rsid w:val="31C67E3B"/>
    <w:rsid w:val="349B0B14"/>
    <w:rsid w:val="37952E32"/>
    <w:rsid w:val="3B260B1E"/>
    <w:rsid w:val="3F293AAA"/>
    <w:rsid w:val="3FC873B8"/>
    <w:rsid w:val="43F47161"/>
    <w:rsid w:val="448A3A26"/>
    <w:rsid w:val="455B0834"/>
    <w:rsid w:val="457903BD"/>
    <w:rsid w:val="558B368F"/>
    <w:rsid w:val="56DF3C71"/>
    <w:rsid w:val="58D1663A"/>
    <w:rsid w:val="5A5D02C4"/>
    <w:rsid w:val="5B2C7F63"/>
    <w:rsid w:val="5E9C0249"/>
    <w:rsid w:val="5F841469"/>
    <w:rsid w:val="669E51C8"/>
    <w:rsid w:val="69CD7A0F"/>
    <w:rsid w:val="6A691B25"/>
    <w:rsid w:val="6B257717"/>
    <w:rsid w:val="6CFF3D91"/>
    <w:rsid w:val="70655318"/>
    <w:rsid w:val="72CC3951"/>
    <w:rsid w:val="73BF773F"/>
    <w:rsid w:val="787D6957"/>
    <w:rsid w:val="78955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adjustRightInd/>
      <w:spacing w:after="160"/>
      <w:jc w:val="left"/>
      <w:textAlignment w:val="auto"/>
    </w:pPr>
    <w:rPr>
      <w:rFonts w:ascii="仿宋体" w:eastAsia="仿宋体"/>
      <w:kern w:val="0"/>
      <w:sz w:val="20"/>
      <w:lang w:eastAsia="en-US"/>
    </w:rPr>
  </w:style>
  <w:style w:type="paragraph" w:customStyle="1"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中国机械进出口（集团）有限公司:王旭升</cp:lastModifiedBy>
  <dcterms:modified xsi:type="dcterms:W3CDTF">2017-07-13T09:47:12Z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