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ind w:left="840" w:hanging="420"/>
      </w:pPr>
      <w:r>
        <w:rPr>
          <w:rFonts w:hint="eastAsia"/>
        </w:rPr>
        <w:t>投标分项报价一览</w:t>
      </w:r>
      <w:r>
        <w:t>表</w:t>
      </w:r>
    </w:p>
    <w:p>
      <w:pPr>
        <w:adjustRightInd w:val="0"/>
        <w:snapToGrid w:val="0"/>
        <w:spacing w:afterLines="50" w:line="320" w:lineRule="exact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 w:cs="Times New Roman"/>
          <w:sz w:val="24"/>
          <w:szCs w:val="24"/>
        </w:rPr>
        <w:t>招</w:t>
      </w:r>
      <w:r>
        <w:rPr>
          <w:rFonts w:ascii="宋体" w:hAnsi="宋体" w:cs="Times New Roman"/>
          <w:sz w:val="24"/>
          <w:szCs w:val="24"/>
        </w:rPr>
        <w:t>标项目</w:t>
      </w:r>
      <w:r>
        <w:rPr>
          <w:rFonts w:hint="eastAsia" w:ascii="宋体" w:hAnsi="宋体" w:cs="Times New Roman"/>
          <w:sz w:val="24"/>
          <w:szCs w:val="24"/>
        </w:rPr>
        <w:t>名</w:t>
      </w:r>
      <w:r>
        <w:rPr>
          <w:rFonts w:ascii="宋体" w:hAnsi="宋体" w:cs="Times New Roman"/>
          <w:sz w:val="24"/>
          <w:szCs w:val="24"/>
        </w:rPr>
        <w:t>称</w:t>
      </w:r>
      <w:r>
        <w:rPr>
          <w:rFonts w:hint="eastAsia" w:ascii="宋体" w:hAnsi="宋体" w:cs="Times New Roman"/>
          <w:sz w:val="24"/>
          <w:szCs w:val="24"/>
        </w:rPr>
        <w:t>：</w:t>
      </w:r>
      <w:r>
        <w:rPr>
          <w:rFonts w:hint="eastAsia" w:ascii="宋体" w:cs="宋体"/>
          <w:sz w:val="24"/>
          <w:lang w:val="zh-CN"/>
        </w:rPr>
        <w:t>液相色谱仪、X射线荧光光谱仪等设备</w:t>
      </w:r>
      <w:bookmarkStart w:id="0" w:name="_GoBack"/>
      <w:bookmarkEnd w:id="0"/>
    </w:p>
    <w:p>
      <w:pPr>
        <w:adjustRightInd w:val="0"/>
        <w:snapToGrid w:val="0"/>
        <w:spacing w:afterLines="50" w:line="32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招</w:t>
      </w:r>
      <w:r>
        <w:rPr>
          <w:rFonts w:ascii="宋体" w:hAnsi="宋体"/>
          <w:sz w:val="24"/>
          <w:szCs w:val="24"/>
        </w:rPr>
        <w:t>标项目编号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cs="宋体"/>
          <w:sz w:val="24"/>
          <w:lang w:val="zh-CN"/>
        </w:rPr>
        <w:t>ZFCG－G2017038-1</w:t>
      </w:r>
      <w:r>
        <w:rPr>
          <w:rFonts w:hint="eastAsia" w:ascii="宋体" w:hAnsi="宋体"/>
          <w:sz w:val="24"/>
          <w:szCs w:val="24"/>
        </w:rPr>
        <w:t>号</w:t>
      </w:r>
    </w:p>
    <w:p>
      <w:pPr>
        <w:spacing w:afterLines="50" w:line="320" w:lineRule="exact"/>
        <w:rPr>
          <w:rFonts w:ascii="宋体" w:hAnsi="宋体" w:cs="Arial"/>
          <w:sz w:val="24"/>
          <w:szCs w:val="24"/>
        </w:rPr>
      </w:pPr>
      <w:r>
        <w:rPr>
          <w:rFonts w:ascii="宋体" w:hAnsi="宋体" w:cs="Arial"/>
          <w:sz w:val="24"/>
          <w:szCs w:val="24"/>
        </w:rPr>
        <w:t>单</w:t>
      </w:r>
      <w:r>
        <w:rPr>
          <w:rFonts w:hint="eastAsia" w:ascii="宋体" w:hAnsi="宋体" w:cs="Arial"/>
          <w:sz w:val="24"/>
          <w:szCs w:val="24"/>
        </w:rPr>
        <w:t>位：元（人民</w:t>
      </w:r>
      <w:r>
        <w:rPr>
          <w:rFonts w:ascii="宋体" w:hAnsi="宋体" w:cs="Arial"/>
          <w:sz w:val="24"/>
          <w:szCs w:val="24"/>
        </w:rPr>
        <w:t>币</w:t>
      </w:r>
      <w:r>
        <w:rPr>
          <w:rFonts w:hint="eastAsia" w:ascii="宋体" w:hAnsi="宋体" w:cs="Arial"/>
          <w:sz w:val="24"/>
          <w:szCs w:val="24"/>
        </w:rPr>
        <w:t>）</w:t>
      </w:r>
    </w:p>
    <w:tbl>
      <w:tblPr>
        <w:tblStyle w:val="4"/>
        <w:tblpPr w:leftFromText="180" w:rightFromText="180" w:vertAnchor="page" w:horzAnchor="margin" w:tblpY="3966"/>
        <w:tblW w:w="1400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481"/>
        <w:gridCol w:w="1350"/>
        <w:gridCol w:w="5344"/>
        <w:gridCol w:w="543"/>
        <w:gridCol w:w="544"/>
        <w:gridCol w:w="1369"/>
        <w:gridCol w:w="1350"/>
        <w:gridCol w:w="146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553" w:type="dxa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ascii="宋体" w:hAnsi="宋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名</w:t>
            </w:r>
            <w:r>
              <w:rPr>
                <w:rFonts w:ascii="宋体" w:hAnsi="宋体" w:cs="Times New Roman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ascii="宋体" w:hAnsi="宋体" w:cs="Times New Roman"/>
                <w:b/>
                <w:bCs/>
                <w:sz w:val="24"/>
                <w:szCs w:val="24"/>
              </w:rPr>
              <w:t>规</w:t>
            </w: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格型</w:t>
            </w:r>
            <w:r>
              <w:rPr>
                <w:rFonts w:ascii="宋体" w:hAnsi="宋体" w:cs="Times New Roman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5344" w:type="dxa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sz w:val="24"/>
                <w:szCs w:val="24"/>
              </w:rPr>
              <w:t>技术参数</w:t>
            </w: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单价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总价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</w:rPr>
              <w:t>产地及厂家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53" w:type="dxa"/>
          </w:tcPr>
          <w:p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微波消解仪</w:t>
            </w:r>
          </w:p>
        </w:tc>
        <w:tc>
          <w:tcPr>
            <w:tcW w:w="1350" w:type="dxa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MASTER 40</w:t>
            </w:r>
          </w:p>
        </w:tc>
        <w:tc>
          <w:tcPr>
            <w:tcW w:w="534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1、微波频率：2450MHz。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2、工业级双磁控管（≥2 x 1200w）；微波最大输出功率：≥2200W，0-2200W 非脉冲连续自动变频控制。满足≥40个消解罐消解\萃取工作。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3、微波炉腔：316L不锈钢腔体，多层特氟隆防腐涂层，腔体体积≥65L。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4、防爆安全炉门：六层钢结构自弹出防爆缓冲设计，炉门采用双重锁定自检系统。电子和机械双重控制。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5、温度、压力双重控制系统，并且同时控制。可选择温度为主控参数或压力为主控参数。反应过程中不管是温度\压力值超过设定值，仪器都能自动调整微波输出功率，有效防止爆罐。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6、主控罐温度控制系统：插入式高精度铂电阻温度传感，测温范围：优于或等于0-330℃, 控制精度±0.1℃，显示精度±1℃。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7、全罐温度监控系统：IR红外温度全罐监测，测温范围：优于或等于0-330℃，控制精度±0.1℃，显示精度±1℃。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8、主控罐压力控制系统：压电晶体压力传感，控压范围：优于或等于0-15MPa (2200psi)，控制精度±0.01MPa，显示精度±0.1MPa。测压元件不和样品直接接触，克服了导气管测压承压低，易污染的缺陷。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9、全罐压力监控系统：顶部安全泄压片设计定量“切割”控制，超压自动泄压，定量值可调。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10、炉腔内微波搅拌技术：高通量罐架设计，金属部件设计可以让炉腔内的微波场随着罐架的旋转而搅拌，消解罐在微波场分布均匀的状态下加热。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11、消解转子360°连续旋转技术：温压测控装置和消解罐随转盘同方向同步旋转技术，无需360度来回旋转，旋转过程中无停顿，保证微波加热均匀性；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12、优于或等于液晶屏双页面实时显示，数字显示包括：压力、温度、时间、微波功率以及工步等；曲线显示包括：反应罐内温度和压力随时间上升爬坡曲线。仪器可储存至少50种应用方法，同时用户可以自动编辑、存储、修改和删除特定样品的应用方法。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13、无线可视监控系统（选配）：高清摄像实时监测炉腔内反应过程，普通手机及平板电脑即可无线连接进行远程观察控制。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14、配备专用联体消解转子工具车，使转子装入和移出炉腔均不需手工操作。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15、消解罐设计无需使用防爆膜等耗材，后续使用费用低。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16、炉腔排风系统：大功率防腐蚀离心式风机，排风量优于或等于5.8m3/min。15分钟从200℃降到60℃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17、要求工作温度250℃，压力不低于5MPA的工作条件下，40罐的消解罐转子能正常工作，适合特难溶样品的消解。（见本投标文件“3.4检测报告”）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罐联体消解转子的技术参数：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1、处理样品数：≥40 （高通量）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2、消解转子结构：高强度合金转盘一体框架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3、样品反应罐外罐：宇航复合纤维材料防爆外罐。耐压≥10000psi，耐温≥600℃，物理性能及耐腐蚀性能优于传统改性PEEK材料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4、样品反应罐内罐：进口TFM材料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5、每个反应罐容积：≧45ml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6、最高设计压力： ≥10 MPa (1450psi)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7、最高工作压力：≥6.0MPa (800psi)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8、最高设计温度：≥300℃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9、最高工作温度：≥250℃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10、适用样品种类：食品，化妆品，环境，生物和药物等</w:t>
            </w:r>
          </w:p>
        </w:tc>
        <w:tc>
          <w:tcPr>
            <w:tcW w:w="543" w:type="dxa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台</w:t>
            </w:r>
          </w:p>
        </w:tc>
        <w:tc>
          <w:tcPr>
            <w:tcW w:w="544" w:type="dxa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1</w:t>
            </w:r>
          </w:p>
        </w:tc>
        <w:tc>
          <w:tcPr>
            <w:tcW w:w="1369" w:type="dxa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24</w:t>
            </w:r>
            <w:r>
              <w:rPr>
                <w:rFonts w:hint="eastAsia" w:ascii="宋体" w:cs="宋体"/>
                <w:sz w:val="24"/>
              </w:rPr>
              <w:t>6</w:t>
            </w:r>
            <w:r>
              <w:rPr>
                <w:rFonts w:hint="eastAsia" w:ascii="宋体" w:cs="宋体"/>
                <w:sz w:val="24"/>
                <w:lang w:val="zh-CN"/>
              </w:rPr>
              <w:t>800.00</w:t>
            </w:r>
          </w:p>
        </w:tc>
        <w:tc>
          <w:tcPr>
            <w:tcW w:w="1350" w:type="dxa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24</w:t>
            </w:r>
            <w:r>
              <w:rPr>
                <w:rFonts w:hint="eastAsia" w:ascii="宋体" w:cs="宋体"/>
                <w:sz w:val="24"/>
              </w:rPr>
              <w:t>6</w:t>
            </w:r>
            <w:r>
              <w:rPr>
                <w:rFonts w:hint="eastAsia" w:ascii="宋体" w:cs="宋体"/>
                <w:sz w:val="24"/>
                <w:lang w:val="zh-CN"/>
              </w:rPr>
              <w:t>800.00</w:t>
            </w:r>
          </w:p>
        </w:tc>
        <w:tc>
          <w:tcPr>
            <w:tcW w:w="1466" w:type="dxa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上海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上海新仪微波化学科技有限公司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53" w:type="dxa"/>
            <w:vMerge w:val="restart"/>
          </w:tcPr>
          <w:p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ascii="宋体" w:hAnsi="宋体" w:cs="Arial"/>
                <w:sz w:val="24"/>
                <w:szCs w:val="24"/>
              </w:rPr>
              <w:t>2</w:t>
            </w:r>
          </w:p>
        </w:tc>
        <w:tc>
          <w:tcPr>
            <w:tcW w:w="1481" w:type="dxa"/>
            <w:vMerge w:val="restart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配置要求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5344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65升工业级双磁控管微波炉、1台。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台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1</w:t>
            </w:r>
          </w:p>
        </w:tc>
        <w:tc>
          <w:tcPr>
            <w:tcW w:w="136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135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146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48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5344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红外全罐温度检测系统、1 套。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套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1</w:t>
            </w:r>
          </w:p>
        </w:tc>
        <w:tc>
          <w:tcPr>
            <w:tcW w:w="136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48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5344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压电晶体压力传感器、1 套。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套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1</w:t>
            </w:r>
          </w:p>
        </w:tc>
        <w:tc>
          <w:tcPr>
            <w:tcW w:w="136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48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5344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高精度铂电阻温度传感器、2 套。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套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2</w:t>
            </w:r>
          </w:p>
        </w:tc>
        <w:tc>
          <w:tcPr>
            <w:tcW w:w="136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5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48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5344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高压微波反应罐、40 套（其中：温压双控主控罐、1 套；宇航复合纤维外罐、40 套；微波反应内罐总成（TFM）、40 套）。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套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40</w:t>
            </w:r>
          </w:p>
        </w:tc>
        <w:tc>
          <w:tcPr>
            <w:tcW w:w="136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48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5344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可升降微波反应罐装卸车、1 辆。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辆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1</w:t>
            </w:r>
          </w:p>
        </w:tc>
        <w:tc>
          <w:tcPr>
            <w:tcW w:w="136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48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5344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可装载40罐高强度合金消解转子框架（带压电晶体传感器）、1 副。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副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1</w:t>
            </w:r>
          </w:p>
        </w:tc>
        <w:tc>
          <w:tcPr>
            <w:tcW w:w="136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48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5344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40孔溶样杯架、1 个。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个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1</w:t>
            </w:r>
          </w:p>
        </w:tc>
        <w:tc>
          <w:tcPr>
            <w:tcW w:w="136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48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5344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工具盒（其他附件若干）、1</w:t>
            </w:r>
            <w:r>
              <w:rPr>
                <w:rFonts w:hint="eastAsia" w:ascii="宋体" w:cs="宋体"/>
                <w:sz w:val="24"/>
              </w:rPr>
              <w:t>套。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套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1</w:t>
            </w:r>
          </w:p>
        </w:tc>
        <w:tc>
          <w:tcPr>
            <w:tcW w:w="136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48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5344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固定力矩电动工具、1套。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套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1</w:t>
            </w:r>
          </w:p>
        </w:tc>
        <w:tc>
          <w:tcPr>
            <w:tcW w:w="136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3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48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5344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</w:rPr>
              <w:t>20孔赶酸仪ECH-20、2台。</w:t>
            </w:r>
          </w:p>
        </w:tc>
        <w:tc>
          <w:tcPr>
            <w:tcW w:w="543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套</w:t>
            </w:r>
          </w:p>
        </w:tc>
        <w:tc>
          <w:tcPr>
            <w:tcW w:w="54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zh-CN"/>
              </w:rPr>
              <w:t>2</w:t>
            </w:r>
          </w:p>
        </w:tc>
        <w:tc>
          <w:tcPr>
            <w:tcW w:w="136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034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合计</w:t>
            </w:r>
          </w:p>
        </w:tc>
        <w:tc>
          <w:tcPr>
            <w:tcW w:w="11966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大写：</w:t>
            </w:r>
            <w:r>
              <w:rPr>
                <w:rFonts w:hint="eastAsia" w:ascii="宋体" w:cs="宋体"/>
                <w:sz w:val="24"/>
                <w:u w:val="single"/>
                <w:lang w:val="zh-CN"/>
              </w:rPr>
              <w:t>贰拾肆万</w:t>
            </w:r>
            <w:r>
              <w:rPr>
                <w:rFonts w:hint="eastAsia" w:asciiTheme="minorEastAsia" w:hAnsiTheme="minorEastAsia" w:cstheme="minorEastAsia"/>
                <w:kern w:val="12"/>
                <w:sz w:val="24"/>
                <w:szCs w:val="24"/>
                <w:u w:val="single"/>
              </w:rPr>
              <w:t>陆</w:t>
            </w:r>
            <w:r>
              <w:rPr>
                <w:rFonts w:hint="eastAsia" w:ascii="宋体" w:cs="宋体"/>
                <w:sz w:val="24"/>
                <w:u w:val="single"/>
                <w:lang w:val="zh-CN"/>
              </w:rPr>
              <w:t>仟捌佰圆整</w:t>
            </w:r>
            <w:r>
              <w:rPr>
                <w:rFonts w:hint="eastAsia" w:ascii="宋体" w:cs="宋体"/>
                <w:sz w:val="24"/>
                <w:lang w:val="zh-CN"/>
              </w:rPr>
              <w:t xml:space="preserve">                                    小写：</w:t>
            </w:r>
            <w:r>
              <w:rPr>
                <w:rFonts w:hint="eastAsia" w:ascii="宋体" w:cs="宋体"/>
                <w:sz w:val="24"/>
                <w:u w:val="single"/>
                <w:lang w:val="zh-CN"/>
              </w:rPr>
              <w:t>24</w:t>
            </w:r>
            <w:r>
              <w:rPr>
                <w:rFonts w:hint="eastAsia" w:ascii="宋体" w:cs="宋体"/>
                <w:sz w:val="24"/>
                <w:u w:val="single"/>
              </w:rPr>
              <w:t>6</w:t>
            </w:r>
            <w:r>
              <w:rPr>
                <w:rFonts w:hint="eastAsia" w:ascii="宋体" w:cs="宋体"/>
                <w:sz w:val="24"/>
                <w:u w:val="single"/>
                <w:lang w:val="zh-CN"/>
              </w:rPr>
              <w:t>800.00</w:t>
            </w:r>
          </w:p>
        </w:tc>
      </w:tr>
    </w:tbl>
    <w:p>
      <w:pPr>
        <w:spacing w:afterLines="50" w:line="320" w:lineRule="exact"/>
        <w:rPr>
          <w:rFonts w:ascii="宋体" w:hAnsi="宋体" w:cs="Arial"/>
          <w:sz w:val="24"/>
          <w:szCs w:val="24"/>
          <w:u w:val="single"/>
        </w:rPr>
      </w:pPr>
      <w:r>
        <w:rPr>
          <w:rFonts w:hint="eastAsia" w:ascii="宋体" w:hAnsi="宋体" w:cs="Arial"/>
          <w:sz w:val="24"/>
          <w:szCs w:val="24"/>
        </w:rPr>
        <w:t>投</w:t>
      </w:r>
      <w:r>
        <w:rPr>
          <w:rFonts w:ascii="宋体" w:hAnsi="宋体" w:cs="Arial"/>
          <w:sz w:val="24"/>
          <w:szCs w:val="24"/>
        </w:rPr>
        <w:t>标</w:t>
      </w:r>
      <w:r>
        <w:rPr>
          <w:rFonts w:hint="eastAsia" w:ascii="宋体" w:hAnsi="宋体" w:cs="Arial"/>
          <w:sz w:val="24"/>
          <w:szCs w:val="24"/>
        </w:rPr>
        <w:t>人名</w:t>
      </w:r>
      <w:r>
        <w:rPr>
          <w:rFonts w:ascii="宋体" w:hAnsi="宋体" w:cs="Arial"/>
          <w:sz w:val="24"/>
          <w:szCs w:val="24"/>
        </w:rPr>
        <w:t>称</w:t>
      </w:r>
      <w:r>
        <w:rPr>
          <w:rFonts w:hint="eastAsia" w:ascii="宋体" w:hAnsi="宋体" w:cs="Arial"/>
          <w:sz w:val="24"/>
          <w:szCs w:val="24"/>
        </w:rPr>
        <w:t>（并加</w:t>
      </w:r>
      <w:r>
        <w:rPr>
          <w:rFonts w:ascii="宋体" w:hAnsi="宋体" w:cs="Arial"/>
          <w:sz w:val="24"/>
          <w:szCs w:val="24"/>
        </w:rPr>
        <w:t>盖</w:t>
      </w:r>
      <w:r>
        <w:rPr>
          <w:rFonts w:hint="eastAsia" w:ascii="宋体" w:hAnsi="宋体" w:cs="Arial"/>
          <w:sz w:val="24"/>
          <w:szCs w:val="24"/>
        </w:rPr>
        <w:t>公章）：郑州奇点科技有限公司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Calibri"/>
    <w:panose1 w:val="00000000000000000000"/>
    <w:charset w:val="00"/>
    <w:family w:val="modern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pStyle w:val="2"/>
      <w:lvlText w:val="%2.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C12A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黑体" w:eastAsiaTheme="minorEastAsia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tabs>
        <w:tab w:val="left" w:pos="420"/>
      </w:tabs>
      <w:spacing w:line="416" w:lineRule="auto"/>
      <w:jc w:val="center"/>
      <w:outlineLvl w:val="1"/>
    </w:pPr>
    <w:rPr>
      <w:rFonts w:ascii="Arial" w:hAnsi="Arial" w:eastAsia="黑体"/>
      <w:b/>
      <w:sz w:val="32"/>
      <w:szCs w:val="20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许昌市公共资源交易中心:李海涛</cp:lastModifiedBy>
  <dcterms:modified xsi:type="dcterms:W3CDTF">2017-06-07T00:19:14Z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