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cs="宋体"/>
          <w:b/>
          <w:bCs/>
          <w:sz w:val="24"/>
          <w:lang w:val="zh-CN"/>
        </w:rPr>
      </w:pPr>
      <w:bookmarkStart w:id="0" w:name="_Toc480970472"/>
      <w:r>
        <w:rPr>
          <w:rFonts w:hint="eastAsia" w:eastAsiaTheme="minorEastAsia"/>
        </w:rPr>
        <w:t>投标分项报价一览表</w:t>
      </w:r>
      <w:bookmarkEnd w:id="0"/>
    </w:p>
    <w:tbl>
      <w:tblPr>
        <w:tblStyle w:val="6"/>
        <w:tblW w:w="100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97"/>
        <w:gridCol w:w="505"/>
        <w:gridCol w:w="4355"/>
        <w:gridCol w:w="465"/>
        <w:gridCol w:w="465"/>
        <w:gridCol w:w="645"/>
        <w:gridCol w:w="907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序号</w:t>
            </w: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120"/>
              <w:jc w:val="right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名 称</w:t>
            </w:r>
          </w:p>
        </w:tc>
        <w:tc>
          <w:tcPr>
            <w:tcW w:w="4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技术参数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单 位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数 量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单 价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firstLine="120"/>
              <w:jc w:val="both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总价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ind w:left="120" w:hanging="120"/>
              <w:jc w:val="center"/>
              <w:rPr>
                <w:rFonts w:ascii="宋体" w:cs="宋体" w:hAnsiTheme="minorHAnsi" w:eastAsiaTheme="minorEastAsia"/>
                <w:b/>
                <w:bCs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产地及厂家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全自动尿液分析流水线</w:t>
            </w:r>
          </w:p>
        </w:tc>
        <w:tc>
          <w:tcPr>
            <w:tcW w:w="4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一、URIT-1600全自动尿液分析仪技术参数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1、测试原理：多波长反射光比色法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2、检测系统：采用LED冷光源一体化点阵式图像传感器检测系统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3、检测波长数量：≥5个波长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 xml:space="preserve">4、仪器测试项目：可使用适配尿试纸进行11项、12项、14项测试 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5、测试速度：≥300个样本/小时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6、试管进样机构最大容量：11个试管架，110个样本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7、显示：≥8英寸触摸式彩色液晶显示屏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8、尿液颜色识别功能：采用物理方法（RGB三原色法）识别样本的颜色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9、尿液浊度检测功能：分析仪采用物理法（散射法）检测出样板的浊度结果；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10、尿液比重检测功能：分析仪采用物理方法（折射计法）检测样本的尿比重结果，准确度线性范围为1.000—1.055，重复性≤0.5%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11、存储器容量：≥30万条数据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12、试纸仓容量：≥200条试纸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13、尿样需求量： ≤2mL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14、采样方式：采用液面感应技术，当样本量不足时会发出报警提示。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15、急诊插入：有单独急诊测试位，具有急诊插入功能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16、加样方式：矩阵式高速加样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17、正负压清洗：正负压清洗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18、数据通讯：RS-232接口、并口、USB接口、网络接口、PS/2接口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19、操作系统：linux操作系统，全中文操作界面。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20、制造商具有ISO9001、ISO13485、CMD认证，仪器有CE认证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21、制造商有通过SFDA注册的配套尿试纸、质控液。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二、URIT-1280尿液有形成分分析仪技术参数要求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1、工作原理：采用数字成像自动识别原理对尿液中的有形成分进行定性、定量分析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2、检测项目：可检测尿液中多达30种有形成分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3、检测速度：最快测速为100个/小时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4、进样平台容量：最多可放置50个样本，并具有急诊功能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5、红细胞位相检测功能：可通过红细胞形态的鉴定发出红细胞位相报告，可提供3个报告参数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6、样本处理：支持原尿和沉渣尿两种类型标本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7、样本量：≤1.2ml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8、自动对焦：分析仪无需调焦液即可通过软件实现自动对焦功能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9、显微系统：显微系统采用奥林巴斯平场消色差显微物镜，采用高低倍双镜筒显微镜装置，获得国家发明专利（可提供专利复印件）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10、图像分割和拼接功能：具有智能图像分割和拼接功能，能将采集的单张图视野图片，自动拼接成全景图片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11、显微镜调焦装置和显微镜可调节载物台技术获得国家实用新型专利（可提供专利复印件）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12、阴性标本筛查：具有低倍镜阴性标本筛查功能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13、携带污染率：≤0.05%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14、稳定性：分析仪开机8小时内，细胞计数结果的变异系数（CV）≤5%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15、干化学仪匹配：可与任意品牌的干化学仪实现联机并接收结果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16、网络接口：标准网络接口，可以和LIS及HIS系统联网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17、数据存储和查询：存储不少于5万个结果，可实时查询，断电后存储数据不丢失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18、校准：分析仪能自动和手动设置校准系数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19、质控：分析仪能做质控测试、自动绘制L-J指控图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20、清洗功能：自动冲洗一体化，采样针自动清洗、液路定时清洗、关机清洗等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21、自检功能：分析仪能开机自检，当分析仪在测试过程中发生某种障碍时，能显示出相应的故障提示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22、单位选择：测试结果单位可选择“个数每微升”（/uL）或“个数每视野”（/HFP）23、制造商具有通过SFDA注册的校准物，并能提供具有检出限、低浓度、中浓度和高浓度四种水平的质控液（提供产品注册证复印件）</w:t>
            </w: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套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148000元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</w:p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148000元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产地：桂林市高新区信息产业园D-07号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厂家： 桂林优利特医疗电子有限公司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val="zh-CN"/>
              </w:rPr>
              <w:t>计</w:t>
            </w:r>
          </w:p>
        </w:tc>
        <w:tc>
          <w:tcPr>
            <w:tcW w:w="8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大写：壹拾肆万捌仟元整　　　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lang w:val="zh-CN"/>
              </w:rPr>
              <w:t>小写：148000元</w:t>
            </w:r>
          </w:p>
        </w:tc>
      </w:tr>
    </w:tbl>
    <w:p>
      <w:pPr>
        <w:rPr>
          <w:rFonts w:hint="eastAsia"/>
          <w:color w:val="000000"/>
          <w:sz w:val="24"/>
          <w:lang w:val="zh-CN"/>
        </w:rPr>
      </w:pPr>
      <w:r>
        <w:rPr>
          <w:rFonts w:hint="eastAsia"/>
          <w:color w:val="000000"/>
          <w:sz w:val="24"/>
          <w:lang w:val="zh-CN"/>
        </w:rPr>
        <w:t>投标人（公章）：河南诺恒医疗器械有限公司</w:t>
      </w:r>
    </w:p>
    <w:p>
      <w:pPr>
        <w:rPr>
          <w:rFonts w:hint="eastAsia"/>
          <w:color w:val="000000"/>
          <w:sz w:val="24"/>
          <w:lang w:val="zh-CN"/>
        </w:rPr>
      </w:pPr>
      <w:r>
        <w:rPr>
          <w:rFonts w:hint="eastAsia"/>
          <w:color w:val="000000"/>
          <w:sz w:val="24"/>
          <w:lang w:val="zh-CN"/>
        </w:rPr>
        <w:t>投标人法定代表人 （或代理人）签字：</w:t>
      </w:r>
    </w:p>
    <w:p>
      <w:pPr>
        <w:rPr>
          <w:rFonts w:hint="eastAsia"/>
          <w:color w:val="000000"/>
          <w:sz w:val="24"/>
          <w:lang w:val="zh-CN"/>
        </w:rPr>
      </w:pPr>
    </w:p>
    <w:p>
      <w:pPr>
        <w:rPr>
          <w:rFonts w:hint="eastAsia"/>
          <w:color w:val="000000"/>
          <w:sz w:val="24"/>
          <w:lang w:val="zh-CN"/>
        </w:rPr>
      </w:pPr>
    </w:p>
    <w:p>
      <w:pPr>
        <w:rPr>
          <w:rFonts w:hint="eastAsia"/>
          <w:color w:val="000000"/>
          <w:sz w:val="24"/>
          <w:lang w:val="zh-CN"/>
        </w:rPr>
      </w:pPr>
      <w:bookmarkStart w:id="1" w:name="_GoBack"/>
      <w:bookmarkEnd w:id="1"/>
    </w:p>
    <w:p>
      <w:pPr>
        <w:rPr>
          <w:rFonts w:hint="eastAsia"/>
          <w:color w:val="000000"/>
          <w:sz w:val="24"/>
          <w:lang w:val="zh-CN"/>
        </w:rPr>
      </w:pPr>
    </w:p>
    <w:p>
      <w:pPr>
        <w:rPr>
          <w:rFonts w:hint="eastAsia"/>
          <w:color w:val="000000"/>
          <w:sz w:val="24"/>
          <w:lang w:val="zh-CN"/>
        </w:rPr>
      </w:pPr>
    </w:p>
    <w:p>
      <w:pPr>
        <w:rPr>
          <w:rFonts w:hint="eastAsia"/>
          <w:color w:val="000000"/>
          <w:sz w:val="24"/>
          <w:lang w:val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687C"/>
    <w:rsid w:val="001655DE"/>
    <w:rsid w:val="001778FE"/>
    <w:rsid w:val="00323B43"/>
    <w:rsid w:val="003D37D8"/>
    <w:rsid w:val="00426133"/>
    <w:rsid w:val="004358AB"/>
    <w:rsid w:val="008B7726"/>
    <w:rsid w:val="00A30C3C"/>
    <w:rsid w:val="00AC343C"/>
    <w:rsid w:val="00C672D1"/>
    <w:rsid w:val="00D31D50"/>
    <w:rsid w:val="00D910C5"/>
    <w:rsid w:val="582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 w:val="0"/>
      <w:adjustRightInd/>
      <w:snapToGrid/>
      <w:spacing w:before="340" w:after="330" w:line="360" w:lineRule="auto"/>
      <w:jc w:val="center"/>
      <w:outlineLvl w:val="0"/>
    </w:pPr>
    <w:rPr>
      <w:rFonts w:eastAsia="宋体" w:cs="宋体" w:asciiTheme="minorHAnsi" w:hAnsiTheme="minorHAnsi"/>
      <w:b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eastAsia="宋体" w:cs="宋体"/>
      <w:b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241</Words>
  <Characters>1380</Characters>
  <Lines>11</Lines>
  <Paragraphs>3</Paragraphs>
  <TotalTime>0</TotalTime>
  <ScaleCrop>false</ScaleCrop>
  <LinksUpToDate>false</LinksUpToDate>
  <CharactersWithSpaces>1618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许昌市公共资源交易中心:李海涛</cp:lastModifiedBy>
  <dcterms:modified xsi:type="dcterms:W3CDTF">2017-04-28T07:24:30Z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